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/>
      </w:pPr>
      <w:bookmarkStart w:colFirst="0" w:colLast="0" w:name="_1pqoj7vpixsl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tl w:val="0"/>
        </w:rPr>
        <w:t xml:space="preserve">Общие сведения</w:t>
      </w:r>
    </w:p>
    <w:p w:rsidR="00000000" w:rsidDel="00000000" w:rsidP="00000000" w:rsidRDefault="00000000" w:rsidRPr="00000000" w14:paraId="00000002">
      <w:pPr>
        <w:spacing w:after="0" w:line="240" w:lineRule="auto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  <w:t xml:space="preserve">{{p description_doc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2jek7ikzqhx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Данные об объекте тестирования</w:t>
      </w:r>
    </w:p>
    <w:tbl>
      <w:tblPr>
        <w:tblStyle w:val="Table1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381"/>
        <w:gridCol w:w="7467"/>
        <w:tblGridChange w:id="0">
          <w:tblGrid>
            <w:gridCol w:w="2381"/>
            <w:gridCol w:w="74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Наименование АС: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asName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КЭ: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keId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URL-адрес тестового стенда ИФТ: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{{ url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Период тестирования: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{{ dateStart }} – {{ dateEnd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Сегмент сети: 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{{ segment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Исполнители: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{{ executors_list | join('\n') }}</w:t>
            </w:r>
          </w:p>
        </w:tc>
      </w:tr>
    </w:tbl>
    <w:p w:rsidR="00000000" w:rsidDel="00000000" w:rsidP="00000000" w:rsidRDefault="00000000" w:rsidRPr="00000000" w14:paraId="00000010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n9rks9sfdbo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 Модель нарушителя</w:t>
      </w:r>
    </w:p>
    <w:tbl>
      <w:tblPr>
        <w:tblStyle w:val="Table2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{{ goal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квалификации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 qualificationLevel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доступа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{{ accessLevel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знаний о системе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{{ knowledgeLevel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Условия тестирования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{{r testConditions }}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28zfe9ruyvfg" w:id="3"/>
      <w:bookmarkEnd w:id="3"/>
      <w:r w:rsidDel="00000000" w:rsidR="00000000" w:rsidRPr="00000000">
        <w:rPr>
          <w:rtl w:val="0"/>
        </w:rPr>
        <w:t xml:space="preserve">Используемое программное обеспечение</w:t>
      </w:r>
    </w:p>
    <w:tbl>
      <w:tblPr>
        <w:tblStyle w:val="Table3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Burp Suite 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Интегрированная платформа для тестирования безопасности веб-приложений как в ручном, так и в автоматических режимах. Перехватывает сообщения, проходящие по протоколу HTTP(S) в режиме man-in-the-middle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ind w:left="0" w:firstLine="0"/>
        <w:rPr/>
      </w:pPr>
      <w:bookmarkStart w:colFirst="0" w:colLast="0" w:name="_sec039qihgn6" w:id="4"/>
      <w:bookmarkEnd w:id="4"/>
      <w:r w:rsidDel="00000000" w:rsidR="00000000" w:rsidRPr="00000000">
        <w:rPr>
          <w:rtl w:val="0"/>
        </w:rPr>
        <w:t xml:space="preserve">{% for s in software %} {{ s.name }} {{ s.description }}{% endfor %}</w:t>
      </w:r>
    </w:p>
    <w:p w:rsidR="00000000" w:rsidDel="00000000" w:rsidP="00000000" w:rsidRDefault="00000000" w:rsidRPr="00000000" w14:paraId="00000021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c5b01a536wu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Методика тестирования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В качестве методического руководства для тестирования защищенности используется стандарт OWASP WSTG (Web Security Testing Guide).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Сценарии тестирования разбиты на группы по следующим направлениям: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сбор информации;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конфигурациями и развёртыванием;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идентификацией;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аутентификации;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авторизации;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сессиями;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контроля входных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корректной обработки ошибок;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криптографии;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бизнес-логики;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на стороне клиента;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Детальное описание методики и проведенных тестов описано в </w:t>
      </w:r>
    </w:p>
    <w:p w:rsidR="00000000" w:rsidDel="00000000" w:rsidP="00000000" w:rsidRDefault="00000000" w:rsidRPr="00000000" w14:paraId="00000031">
      <w:pPr>
        <w:rPr>
          <w:color w:val="44546a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Приложение 1. Чек-лист проведения тестирования.</w:t>
      </w:r>
      <w:r w:rsidDel="00000000" w:rsidR="00000000" w:rsidRPr="00000000">
        <w:rPr>
          <w:color w:val="44546a"/>
          <w:sz w:val="40"/>
          <w:szCs w:val="40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  <w:sectPr>
          <w:footerReference r:id="rId6" w:type="default"/>
          <w:footerReference r:id="rId7" w:type="first"/>
          <w:pgSz w:h="16838" w:w="11906" w:orient="portrait"/>
          <w:pgMar w:bottom="1021" w:top="1021" w:left="1021" w:right="1021" w:header="680" w:footer="709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gxyynjcuq5gc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Подготовка к тестированию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20" w:line="240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включало в себя проведение практического анализа защищенности веб</w:t>
      </w:r>
      <w:r w:rsidDel="00000000" w:rsidR="00000000" w:rsidRPr="00000000">
        <w:rPr>
          <w:rtl w:val="0"/>
        </w:rPr>
        <w:t xml:space="preserve">/В ходе подготовки к тестированию Исполнителю были предоставлены учетные записи, представленные в таблице 1.</w:t>
      </w:r>
    </w:p>
    <w:p w:rsidR="00000000" w:rsidDel="00000000" w:rsidP="00000000" w:rsidRDefault="00000000" w:rsidRPr="00000000" w14:paraId="00000039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Таблица 1 Перечень предоставленных учетных записей</w:t>
      </w:r>
    </w:p>
    <w:tbl>
      <w:tblPr>
        <w:tblStyle w:val="Table4"/>
        <w:tblW w:w="98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27"/>
        <w:gridCol w:w="4927"/>
        <w:tblGridChange w:id="0">
          <w:tblGrid>
            <w:gridCol w:w="4927"/>
            <w:gridCol w:w="4927"/>
          </w:tblGrid>
        </w:tblGridChange>
      </w:tblGrid>
      <w:tr>
        <w:trPr>
          <w:cantSplit w:val="0"/>
          <w:trHeight w:val="442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Имя учетной записи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Права и роли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021" w:top="1021" w:left="1021" w:right="1021" w:header="283" w:footer="28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947" w:hanging="7947"/>
      </w:pPr>
      <w:rPr/>
    </w:lvl>
    <w:lvl w:ilvl="2">
      <w:start w:val="1"/>
      <w:numFmt w:val="decimal"/>
      <w:lvlText w:val="%1.%2.%3"/>
      <w:lvlJc w:val="left"/>
      <w:pPr>
        <w:ind w:left="1855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