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numPr>
          <w:ilvl w:val="0"/>
          <w:numId w:val="4"/>
        </w:numPr>
        <w:ind w:left="432" w:hanging="432"/>
        <w:rPr>
          <w:rFonts w:ascii="Times New Roman" w:cs="Times New Roman" w:eastAsia="Times New Roman" w:hAnsi="Times New Roman"/>
          <w:b w:val="0"/>
          <w:bCs w:val="0"/>
          <w:sz w:val="40"/>
          <w:szCs w:val="40"/>
        </w:rPr>
      </w:pPr>
      <w:bookmarkStart w:colFirst="0" w:colLast="0" w:name="_b1mjwjhrv9p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40"/>
          <w:szCs w:val="40"/>
          <w:rtl w:val="0"/>
        </w:rPr>
        <w:t xml:space="preserve">Определения</w:t>
      </w:r>
    </w:p>
    <w:p w:rsidR="00000000" w:rsidDel="00000000" w:rsidP="00000000" w:rsidRDefault="00000000" w:rsidRPr="00000000" w14:paraId="00000002">
      <w:pPr>
        <w:pStyle w:val="Heading2"/>
        <w:numPr>
          <w:ilvl w:val="1"/>
          <w:numId w:val="4"/>
        </w:numPr>
        <w:ind w:left="0" w:firstLine="0"/>
        <w:rPr>
          <w:rFonts w:ascii="Times New Roman" w:cs="Times New Roman" w:eastAsia="Times New Roman" w:hAnsi="Times New Roman"/>
          <w:b w:val="0"/>
          <w:bCs w:val="0"/>
          <w:sz w:val="32"/>
          <w:szCs w:val="32"/>
        </w:rPr>
      </w:pPr>
      <w:bookmarkStart w:colFirst="0" w:colLast="0" w:name="_qqw4u734e39o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32"/>
          <w:szCs w:val="32"/>
          <w:rtl w:val="0"/>
        </w:rPr>
        <w:t xml:space="preserve">Классификация уровня угрозы CVSS v4.0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c00000"/>
          <w:sz w:val="28"/>
          <w:szCs w:val="28"/>
          <w:u w:val="none"/>
          <w:shd w:fill="auto" w:val="clear"/>
          <w:vertAlign w:val="baseline"/>
          <w:rtl w:val="0"/>
        </w:rPr>
        <w:t xml:space="preserve">Критичный (9.0-10.0)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– уязвимости могут привести к компрометации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8"/>
          <w:szCs w:val="28"/>
          <w:u w:val="none"/>
          <w:shd w:fill="auto" w:val="clear"/>
          <w:vertAlign w:val="baseline"/>
          <w:rtl w:val="0"/>
        </w:rPr>
        <w:t xml:space="preserve">данных, доступности информационной системы или сервисов, выполнению произвольного кода, неправомерной модификации данных при низкой сложности получения доступа;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ff0000"/>
          <w:sz w:val="28"/>
          <w:szCs w:val="28"/>
          <w:u w:val="none"/>
          <w:shd w:fill="auto" w:val="clear"/>
          <w:vertAlign w:val="baseline"/>
          <w:rtl w:val="0"/>
        </w:rPr>
        <w:t xml:space="preserve">Высокий (7.0-8.9)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8"/>
          <w:szCs w:val="28"/>
          <w:u w:val="none"/>
          <w:shd w:fill="auto" w:val="clear"/>
          <w:vertAlign w:val="baseline"/>
          <w:rtl w:val="0"/>
        </w:rPr>
        <w:t xml:space="preserve">– уязвимости могут привести к компрометации данных, доступности информационной системы или сервисов, выполнению произвольного кода, неправомерной модификации данных;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c55911"/>
          <w:sz w:val="28"/>
          <w:szCs w:val="28"/>
          <w:u w:val="none"/>
          <w:shd w:fill="auto" w:val="clear"/>
          <w:vertAlign w:val="baseline"/>
          <w:rtl w:val="0"/>
        </w:rPr>
        <w:t xml:space="preserve">Средний (4.0-6.9)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8"/>
          <w:szCs w:val="28"/>
          <w:u w:val="none"/>
          <w:shd w:fill="auto" w:val="clear"/>
          <w:vertAlign w:val="baseline"/>
          <w:rtl w:val="0"/>
        </w:rPr>
        <w:t xml:space="preserve">– уязвимости не приводят напрямую к компрометации данных или неавторизованному доступу, но предоставляют возможность или информацию, которая может быть использована нарушителем в совокупности с другими уязвимостями для компрометации ресурса;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b050"/>
          <w:sz w:val="28"/>
          <w:szCs w:val="28"/>
          <w:u w:val="none"/>
          <w:shd w:fill="auto" w:val="clear"/>
          <w:vertAlign w:val="baseline"/>
          <w:rtl w:val="0"/>
        </w:rPr>
        <w:t xml:space="preserve">Низкий (0.0-3.9)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8"/>
          <w:szCs w:val="28"/>
          <w:u w:val="none"/>
          <w:shd w:fill="auto" w:val="clear"/>
          <w:vertAlign w:val="baseline"/>
          <w:rtl w:val="0"/>
        </w:rPr>
        <w:t xml:space="preserve">– все остальные уязвимости, которые не могут привести к компрометации данных, но могут быть использованы нарушителем для сбора информации, формирования вектора атаки.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numPr>
          <w:ilvl w:val="1"/>
          <w:numId w:val="4"/>
        </w:numPr>
        <w:ind w:left="0" w:hanging="15"/>
        <w:rPr>
          <w:rFonts w:ascii="Times New Roman" w:cs="Times New Roman" w:eastAsia="Times New Roman" w:hAnsi="Times New Roman"/>
          <w:b w:val="0"/>
          <w:bCs w:val="0"/>
          <w:sz w:val="32"/>
          <w:szCs w:val="32"/>
        </w:rPr>
      </w:pPr>
      <w:bookmarkStart w:colFirst="0" w:colLast="0" w:name="_h1wlfvdnxr2c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32"/>
          <w:szCs w:val="32"/>
          <w:rtl w:val="0"/>
        </w:rPr>
        <w:t xml:space="preserve">Особенности расчета базовых значений уровня угрозы по методологии CVSS v4.0</w:t>
      </w:r>
    </w:p>
    <w:p w:rsidR="00000000" w:rsidDel="00000000" w:rsidP="00000000" w:rsidRDefault="00000000" w:rsidRPr="00000000" w14:paraId="0000000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Качественная оценка уязвимости, выражаемая через базовые метрики, включает в себя следующие параметры: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вектор атаки (AV) – показывает, как уязвимость может быть использована (эксплуатирована);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сложность атаки (АС) – показывает, насколько легко или сложно использовать данную уязвимость;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уровень привилегий (PR) – требуемый уровень привилегий, необходимых для реализации атаки;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взаимодействие с пользователем (UI) – описывает, требуются ли для успешной реализации атаки какие-либо действия со стороны пользователя атакуемой системы;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требования к атаке (AT) – описывает необходимые условия развертывания и выполнения или переменные уязвимой системы, которые позволяют осуществить атаку.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Помимо базовых метрик также указываются дополнительные: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влияние на конфиденциальность уязвимой системы (VС) – описывает влияние на конфиденциальность данных, обрабатываемых системой;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влияние на целостность уязвимой системы (VI) – описывает влияние на целостность данных, обрабатываемых в системе;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влияние на доступность уязвимой системы (VА) – описывает влияние уязвимости на доступность системы;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влияние на конфиденциальность смежных систем (SC);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влияние на целостность смежных систем (SI);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влияние на доступность смежных систем (SA).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sz w:val="28"/>
          <w:szCs w:val="28"/>
          <w:rtl w:val="0"/>
        </w:rPr>
        <w:t xml:space="preserve">Параметры для расчета базовой оценки выражаются следующей текстовой строкой, называемой вектором, например: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CVSS:4.0/AV:N/AC:L/AT:N/PR:N/UI:N/VC:</w:t>
      </w:r>
      <w:r w:rsidDel="00000000" w:rsidR="00000000" w:rsidRPr="00000000">
        <w:rPr>
          <w:rtl w:val="0"/>
        </w:rPr>
      </w:r>
    </w:p>
    <w:sectPr>
      <w:footerReference r:id="rId6" w:type="default"/>
      <w:footerReference r:id="rId7" w:type="first"/>
      <w:pgSz w:h="16838" w:w="11906" w:orient="portrait"/>
      <w:pgMar w:bottom="1021" w:top="1021" w:left="1021" w:right="1021" w:header="680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  <w:tab w:val="left" w:leader="none" w:pos="2693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ab/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 xml:space="preserve">t</w:t>
    </w:r>
  </w:p>
  <w:p w:rsidR="00000000" w:rsidDel="00000000" w:rsidP="00000000" w:rsidRDefault="00000000" w:rsidRPr="00000000" w14:paraId="0000001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7947" w:hanging="7947"/>
      </w:pPr>
      <w:rPr/>
    </w:lvl>
    <w:lvl w:ilvl="2">
      <w:start w:val="1"/>
      <w:numFmt w:val="decimal"/>
      <w:lvlText w:val="%1.%2.%3"/>
      <w:lvlJc w:val="left"/>
      <w:pPr>
        <w:ind w:left="1855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color w:val="262626"/>
        <w:sz w:val="24"/>
        <w:szCs w:val="24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360" w:line="240" w:lineRule="auto"/>
      <w:ind w:left="432" w:hanging="432"/>
    </w:pPr>
    <w:rPr>
      <w:color w:val="44546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before="280" w:line="276" w:lineRule="auto"/>
      <w:ind w:left="578" w:hanging="578"/>
    </w:pPr>
    <w:rPr>
      <w:sz w:val="32"/>
      <w:szCs w:val="32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360" w:lineRule="auto"/>
      <w:ind w:left="720" w:hanging="720"/>
    </w:pPr>
    <w:rPr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="276" w:lineRule="auto"/>
      <w:ind w:left="578" w:hanging="578"/>
    </w:pPr>
    <w:rPr>
      <w:rFonts w:ascii="Calibri" w:cs="Calibri" w:eastAsia="Calibri" w:hAnsi="Calibri"/>
      <w:i w:val="1"/>
      <w:iCs w:val="1"/>
      <w:sz w:val="32"/>
      <w:szCs w:val="3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