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Jorge Luis Bedolla Espejel </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INGE-00033-1282-PROCESO ESTOCÁSTICOS</w:t>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OPTIMIZACIÓN</w:t>
      </w:r>
      <w:r w:rsidDel="00000000" w:rsidR="00000000" w:rsidRPr="00000000">
        <w:rPr>
          <w:sz w:val="36"/>
          <w:szCs w:val="36"/>
          <w:rtl w:val="0"/>
        </w:rPr>
        <w:t xml:space="preserve"> </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hyperlink r:id="rId6">
        <w:r w:rsidDel="00000000" w:rsidR="00000000" w:rsidRPr="00000000">
          <w:rPr>
            <w:rFonts w:ascii="Nunito" w:cs="Nunito" w:eastAsia="Nunito" w:hAnsi="Nunito"/>
            <w:sz w:val="36"/>
            <w:szCs w:val="36"/>
            <w:rtl w:val="0"/>
          </w:rPr>
          <w:t xml:space="preserve">JUAN HERNANDEZ GUERRERO</w:t>
        </w:r>
      </w:hyperlink>
      <w:r w:rsidDel="00000000" w:rsidR="00000000" w:rsidRPr="00000000">
        <w:rPr>
          <w:rFonts w:ascii="Nunito" w:cs="Nunito" w:eastAsia="Nunito" w:hAnsi="Nunito"/>
          <w:color w:val="1d2125"/>
          <w:sz w:val="36"/>
          <w:szCs w:val="36"/>
          <w:highlight w:val="white"/>
          <w:rtl w:val="0"/>
        </w:rPr>
        <w:t xml:space="preserve"> </w:t>
      </w:r>
      <w:r w:rsidDel="00000000" w:rsidR="00000000" w:rsidRPr="00000000">
        <w:rPr>
          <w:sz w:val="36"/>
          <w:szCs w:val="36"/>
          <w:rtl w:val="0"/>
        </w:rPr>
        <w:t xml:space="preserve"> </w:t>
      </w:r>
    </w:p>
    <w:p w:rsidR="00000000" w:rsidDel="00000000" w:rsidP="00000000" w:rsidRDefault="00000000" w:rsidRPr="00000000" w14:paraId="00000009">
      <w:pPr>
        <w:jc w:val="center"/>
        <w:rPr>
          <w:sz w:val="36"/>
          <w:szCs w:val="36"/>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Fonts w:ascii="Nunito" w:cs="Nunito" w:eastAsia="Nunito" w:hAnsi="Nunito"/>
          <w:color w:val="282828"/>
          <w:sz w:val="36"/>
          <w:szCs w:val="36"/>
          <w:shd w:fill="f2f3f7" w:val="clear"/>
          <w:rtl w:val="0"/>
        </w:rPr>
        <w:t xml:space="preserve">Producto transversal. Entrega parcial</w:t>
      </w:r>
      <w:r w:rsidDel="00000000" w:rsidR="00000000" w:rsidRPr="00000000">
        <w:rPr>
          <w:sz w:val="36"/>
          <w:szCs w:val="36"/>
          <w:rtl w:val="0"/>
        </w:rPr>
        <w:t xml:space="preserve"> </w:t>
      </w:r>
    </w:p>
    <w:p w:rsidR="00000000" w:rsidDel="00000000" w:rsidP="00000000" w:rsidRDefault="00000000" w:rsidRPr="00000000" w14:paraId="0000000C">
      <w:pPr>
        <w:jc w:val="center"/>
        <w:rPr>
          <w:sz w:val="36"/>
          <w:szCs w:val="36"/>
        </w:rPr>
      </w:pP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sz w:val="36"/>
          <w:szCs w:val="36"/>
          <w:rtl w:val="0"/>
        </w:rPr>
        <w:t xml:space="preserve">Fecha de entrega 21/06/2026</w:t>
      </w:r>
    </w:p>
    <w:p w:rsidR="00000000" w:rsidDel="00000000" w:rsidP="00000000" w:rsidRDefault="00000000" w:rsidRPr="00000000" w14:paraId="00000010">
      <w:pPr>
        <w:jc w:val="center"/>
        <w:rPr>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b w:val="1"/>
          <w:bCs w:val="1"/>
          <w:sz w:val="36"/>
          <w:szCs w:val="36"/>
          <w:rtl w:val="0"/>
        </w:rPr>
        <w:t xml:space="preserve">Repositorio de Código Fuente (GitHub):</w:t>
      </w:r>
      <w:r w:rsidDel="00000000" w:rsidR="00000000" w:rsidRPr="00000000">
        <w:rPr>
          <w:sz w:val="36"/>
          <w:szCs w:val="36"/>
          <w:rtl w:val="0"/>
        </w:rPr>
        <w:t xml:space="preserve"> </w:t>
      </w:r>
      <w:hyperlink r:id="rId7">
        <w:r w:rsidDel="00000000" w:rsidR="00000000" w:rsidRPr="00000000">
          <w:rPr>
            <w:color w:val="1155cc"/>
            <w:sz w:val="36"/>
            <w:szCs w:val="36"/>
            <w:u w:val="single"/>
            <w:rtl w:val="0"/>
          </w:rPr>
          <w:t xml:space="preserve">https://github.com/JJorgeBBedolla/covid19--procesos-estocasticos.git</w:t>
        </w:r>
      </w:hyperlink>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br w:type="page"/>
      </w:r>
      <w:r w:rsidDel="00000000" w:rsidR="00000000" w:rsidRPr="00000000">
        <w:rPr>
          <w:rtl w:val="0"/>
        </w:rPr>
      </w:r>
    </w:p>
    <w:sdt>
      <w:sdtPr>
        <w:id w:val="-1282614920"/>
        <w:docPartObj>
          <w:docPartGallery w:val="Table of Contents"/>
          <w:docPartUnique w:val="1"/>
        </w:docPartObj>
      </w:sdtPr>
      <w:sdtContent>
        <w:p w:rsidR="00000000" w:rsidDel="00000000" w:rsidP="00000000" w:rsidRDefault="00000000" w:rsidRPr="00000000" w14:paraId="00000014">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w8gwis5j90c">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_ew8gwis5j90c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rtsv5b8gkuhq">
            <w:r w:rsidDel="00000000" w:rsidR="00000000" w:rsidRPr="00000000">
              <w:rPr>
                <w:b w:val="1"/>
                <w:bCs w:val="1"/>
                <w:color w:val="000000"/>
                <w:u w:val="none"/>
                <w:rtl w:val="0"/>
              </w:rPr>
              <w:t xml:space="preserve">DESARROLLO</w:t>
              <w:tab/>
            </w:r>
          </w:hyperlink>
          <w:r w:rsidDel="00000000" w:rsidR="00000000" w:rsidRPr="00000000">
            <w:fldChar w:fldCharType="begin"/>
            <w:instrText xml:space="preserve"> PAGEREF _rtsv5b8gkuhq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apvpxkgbena2">
            <w:r w:rsidDel="00000000" w:rsidR="00000000" w:rsidRPr="00000000">
              <w:rPr>
                <w:color w:val="000000"/>
                <w:u w:val="none"/>
                <w:rtl w:val="0"/>
              </w:rPr>
              <w:t xml:space="preserve">1. Semblanza de los Hallazgos</w:t>
              <w:tab/>
            </w:r>
          </w:hyperlink>
          <w:r w:rsidDel="00000000" w:rsidR="00000000" w:rsidRPr="00000000">
            <w:fldChar w:fldCharType="begin"/>
            <w:instrText xml:space="preserve"> PAGEREF _apvpxkgbena2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6s8mxovnt71b">
            <w:r w:rsidDel="00000000" w:rsidR="00000000" w:rsidRPr="00000000">
              <w:rPr>
                <w:color w:val="000000"/>
                <w:u w:val="none"/>
                <w:rtl w:val="0"/>
              </w:rPr>
              <w:t xml:space="preserve">2. Metodología y Justificación del Dataset Discreto</w:t>
              <w:tab/>
            </w:r>
          </w:hyperlink>
          <w:r w:rsidDel="00000000" w:rsidR="00000000" w:rsidRPr="00000000">
            <w:fldChar w:fldCharType="begin"/>
            <w:instrText xml:space="preserve"> PAGEREF _6s8mxovnt71b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tq0nk29q6nzs">
            <w:r w:rsidDel="00000000" w:rsidR="00000000" w:rsidRPr="00000000">
              <w:rPr>
                <w:color w:val="000000"/>
                <w:u w:val="none"/>
                <w:rtl w:val="0"/>
              </w:rPr>
              <w:t xml:space="preserve">3. Integración de las Funciones Matemáticas en el Código</w:t>
              <w:tab/>
            </w:r>
          </w:hyperlink>
          <w:r w:rsidDel="00000000" w:rsidR="00000000" w:rsidRPr="00000000">
            <w:fldChar w:fldCharType="begin"/>
            <w:instrText xml:space="preserve"> PAGEREF _tq0nk29q6nzs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v8b0u015i5n">
            <w:r w:rsidDel="00000000" w:rsidR="00000000" w:rsidRPr="00000000">
              <w:rPr>
                <w:color w:val="000000"/>
                <w:u w:val="none"/>
                <w:rtl w:val="0"/>
              </w:rPr>
              <w:t xml:space="preserve">4. Rango de Error y Variabilidad Estocástica</w:t>
              <w:tab/>
            </w:r>
          </w:hyperlink>
          <w:r w:rsidDel="00000000" w:rsidR="00000000" w:rsidRPr="00000000">
            <w:fldChar w:fldCharType="begin"/>
            <w:instrText xml:space="preserve"> PAGEREF _v8b0u015i5n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bCs w:val="1"/>
              <w:color w:val="000000"/>
              <w:u w:val="none"/>
            </w:rPr>
          </w:pPr>
          <w:hyperlink w:anchor="_jb5qxxnsfubt">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_jb5qxxnsfubt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left"/>
        <w:rPr>
          <w:sz w:val="36"/>
          <w:szCs w:val="36"/>
        </w:rPr>
      </w:pPr>
      <w:r w:rsidDel="00000000" w:rsidR="00000000" w:rsidRPr="00000000">
        <w:rPr>
          <w:rtl w:val="0"/>
        </w:rPr>
      </w:r>
    </w:p>
    <w:p w:rsidR="00000000" w:rsidDel="00000000" w:rsidP="00000000" w:rsidRDefault="00000000" w:rsidRPr="00000000" w14:paraId="0000001C">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center"/>
        <w:rPr>
          <w:b w:val="1"/>
          <w:bCs w:val="1"/>
          <w:color w:val="000000"/>
          <w:sz w:val="34"/>
          <w:szCs w:val="34"/>
        </w:rPr>
      </w:pPr>
      <w:bookmarkStart w:colFirst="0" w:colLast="0" w:name="_ew8gwis5j90c" w:id="0"/>
      <w:bookmarkEnd w:id="0"/>
      <w:r w:rsidDel="00000000" w:rsidR="00000000" w:rsidRPr="00000000">
        <w:rPr>
          <w:b w:val="1"/>
          <w:bCs w:val="1"/>
          <w:color w:val="000000"/>
          <w:sz w:val="34"/>
          <w:szCs w:val="34"/>
          <w:rtl w:val="0"/>
        </w:rPr>
        <w:t xml:space="preserve">INTRODUCCIÓN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sz w:val="26"/>
          <w:szCs w:val="26"/>
        </w:rPr>
      </w:pPr>
      <w:r w:rsidDel="00000000" w:rsidR="00000000" w:rsidRPr="00000000">
        <w:rPr>
          <w:sz w:val="26"/>
          <w:szCs w:val="26"/>
          <w:rtl w:val="0"/>
        </w:rPr>
        <w:t xml:space="preserve">El estudio y la predicción de la propagación de enfermedades infecciosas ha sido uno de los desafíos más complejos e importantes para las ciencias biológicas y de la salud a lo largo de la historia humana. Con la aparición del virus SARS-CoV-2 (COVID-19), quedó de manifiesto la necesidad crítica de contar con herramientas analíticas capaces de anticipar el comportamiento de un brote epidémico con el fin de optimizar la toma de decisiones gubernamentales y la gestión de recursos hospitalarios. Tradicionalmente, estos fenómenos se han abordado mediante modelos deterministas que asumen tasas de cambio constantes y fijas. Sin embargo, las interacciones humanas cotidianas, la probabilidad de contagio en un encuentro casual y los tiempos individuales de recuperación son fenómenos intrínsecamente variables y azarosos.</w:t>
      </w:r>
    </w:p>
    <w:p w:rsidR="00000000" w:rsidDel="00000000" w:rsidP="00000000" w:rsidRDefault="00000000" w:rsidRPr="00000000" w14:paraId="00000021">
      <w:pPr>
        <w:spacing w:after="240" w:before="240" w:lineRule="auto"/>
        <w:jc w:val="both"/>
        <w:rPr>
          <w:sz w:val="26"/>
          <w:szCs w:val="26"/>
        </w:rPr>
      </w:pPr>
      <w:r w:rsidDel="00000000" w:rsidR="00000000" w:rsidRPr="00000000">
        <w:rPr>
          <w:sz w:val="26"/>
          <w:szCs w:val="26"/>
          <w:rtl w:val="0"/>
        </w:rPr>
        <w:t xml:space="preserve">El propósito de este protocolo de investigación es aplicar la teoría de los procesos estocásticos en tiempo discreto para capturar la incertidumbre real de una epidemia. Utilizando datos epidemiológicos históricos extraídos del repositorio global de Kaggle (</w:t>
      </w:r>
      <w:r w:rsidDel="00000000" w:rsidR="00000000" w:rsidRPr="00000000">
        <w:rPr>
          <w:i w:val="1"/>
          <w:iCs w:val="1"/>
          <w:sz w:val="26"/>
          <w:szCs w:val="26"/>
          <w:rtl w:val="0"/>
        </w:rPr>
        <w:t xml:space="preserve">Novel Corona Virus 2019 Dataset</w:t>
      </w:r>
      <w:r w:rsidDel="00000000" w:rsidR="00000000" w:rsidRPr="00000000">
        <w:rPr>
          <w:sz w:val="26"/>
          <w:szCs w:val="26"/>
          <w:rtl w:val="0"/>
        </w:rPr>
        <w:t xml:space="preserve">), este trabajo desarrolla e implementa un Modelo SIR (Susceptibles, Infectados y Recuperados) de naturaleza probabilística. A través del uso de distribuciones discretas como la Binomial y la de Poisson, se sustituyen las tasas rígidas por asignaciones aleatorias simuladas mediante computación científica en Python. De este modo, el presente reporte no solo modela una tendencia central de contagio, sino que analiza la varianza y la dispersión de los escenarios posibles, ofreciendo una visión matemática más robusta, adaptada a la naturaleza cambiante del mundo real.</w:t>
      </w:r>
    </w:p>
    <w:p w:rsidR="00000000" w:rsidDel="00000000" w:rsidP="00000000" w:rsidRDefault="00000000" w:rsidRPr="00000000" w14:paraId="00000022">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jc w:val="center"/>
        <w:rPr>
          <w:b w:val="1"/>
          <w:bCs w:val="1"/>
          <w:color w:val="000000"/>
          <w:sz w:val="32"/>
          <w:szCs w:val="32"/>
        </w:rPr>
      </w:pPr>
      <w:bookmarkStart w:colFirst="0" w:colLast="0" w:name="_rtsv5b8gkuhq" w:id="1"/>
      <w:bookmarkEnd w:id="1"/>
      <w:r w:rsidDel="00000000" w:rsidR="00000000" w:rsidRPr="00000000">
        <w:rPr>
          <w:b w:val="1"/>
          <w:bCs w:val="1"/>
          <w:color w:val="000000"/>
          <w:sz w:val="32"/>
          <w:szCs w:val="32"/>
          <w:rtl w:val="0"/>
        </w:rPr>
        <w:t xml:space="preserve">DESARROLLO </w:t>
      </w:r>
    </w:p>
    <w:p w:rsidR="00000000" w:rsidDel="00000000" w:rsidP="00000000" w:rsidRDefault="00000000" w:rsidRPr="00000000" w14:paraId="00000024">
      <w:pPr>
        <w:pStyle w:val="Heading3"/>
        <w:keepNext w:val="0"/>
        <w:keepLines w:val="0"/>
        <w:spacing w:before="280" w:lineRule="auto"/>
        <w:jc w:val="both"/>
        <w:rPr>
          <w:b w:val="1"/>
          <w:bCs w:val="1"/>
          <w:color w:val="000000"/>
          <w:sz w:val="24"/>
          <w:szCs w:val="24"/>
        </w:rPr>
      </w:pPr>
      <w:bookmarkStart w:colFirst="0" w:colLast="0" w:name="_r5q2gx57eh50" w:id="2"/>
      <w:bookmarkEnd w:id="2"/>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jc w:val="both"/>
        <w:rPr>
          <w:b w:val="1"/>
          <w:bCs w:val="1"/>
          <w:color w:val="000000"/>
        </w:rPr>
      </w:pPr>
      <w:bookmarkStart w:colFirst="0" w:colLast="0" w:name="_apvpxkgbena2" w:id="3"/>
      <w:bookmarkEnd w:id="3"/>
      <w:r w:rsidDel="00000000" w:rsidR="00000000" w:rsidRPr="00000000">
        <w:rPr>
          <w:b w:val="1"/>
          <w:bCs w:val="1"/>
          <w:color w:val="000000"/>
          <w:rtl w:val="0"/>
        </w:rPr>
        <w:t xml:space="preserve">1. Semblanza de los Hallazgos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A través de la implementación del modelo estocástico, el hallazgo principal radica en la identificación de la estabilidad de la tendencia central frente a la alta sensibilidad de los escenarios extremos. Al ejecutar múltiples simulaciones de Monte Carlo, se observó que bajo una tasa de transmisión diaria (parámetro Beta = 0.28) y un periodo medio de infección de 14 días (parámetro Gamma = 0.0714), el brote alcanza un pico epidemiológico promedio de </w:t>
      </w:r>
      <w:r w:rsidDel="00000000" w:rsidR="00000000" w:rsidRPr="00000000">
        <w:rPr>
          <w:b w:val="1"/>
          <w:bCs w:val="1"/>
          <w:sz w:val="24"/>
          <w:szCs w:val="24"/>
          <w:rtl w:val="0"/>
        </w:rPr>
        <w:t xml:space="preserve">41,088 infectados simultáneos</w:t>
      </w:r>
      <w:r w:rsidDel="00000000" w:rsidR="00000000" w:rsidRPr="00000000">
        <w:rPr>
          <w:sz w:val="24"/>
          <w:szCs w:val="24"/>
          <w:rtl w:val="0"/>
        </w:rPr>
        <w:t xml:space="preserve"> (aproximadamente el 41% de la población total expuesta).</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Sin embargo, el hallazgo más crítico para el protocolo de investigación es que la aleatoriedad intrínseca del proceso genera un rango de fluctuación de hasta </w:t>
      </w:r>
      <w:r w:rsidDel="00000000" w:rsidR="00000000" w:rsidRPr="00000000">
        <w:rPr>
          <w:b w:val="1"/>
          <w:bCs w:val="1"/>
          <w:sz w:val="24"/>
          <w:szCs w:val="24"/>
          <w:rtl w:val="0"/>
        </w:rPr>
        <w:t xml:space="preserve">1,200 individuos de diferencia</w:t>
      </w:r>
      <w:r w:rsidDel="00000000" w:rsidR="00000000" w:rsidRPr="00000000">
        <w:rPr>
          <w:sz w:val="24"/>
          <w:szCs w:val="24"/>
          <w:rtl w:val="0"/>
        </w:rPr>
        <w:t xml:space="preserve"> entre el escenario más optimista y el más severo, afectando directamente la velocidad de agotamiento de la población susceptible (S) y la aceleración en la curva de recuperados (R).</w:t>
      </w:r>
    </w:p>
    <w:p w:rsidR="00000000" w:rsidDel="00000000" w:rsidP="00000000" w:rsidRDefault="00000000" w:rsidRPr="00000000" w14:paraId="00000028">
      <w:pPr>
        <w:pStyle w:val="Heading4"/>
        <w:keepNext w:val="0"/>
        <w:keepLines w:val="0"/>
        <w:spacing w:after="40" w:before="240" w:lineRule="auto"/>
        <w:jc w:val="both"/>
        <w:rPr>
          <w:b w:val="1"/>
          <w:bCs w:val="1"/>
          <w:color w:val="000000"/>
        </w:rPr>
      </w:pPr>
      <w:bookmarkStart w:colFirst="0" w:colLast="0" w:name="_6s8mxovnt71b" w:id="4"/>
      <w:bookmarkEnd w:id="4"/>
      <w:r w:rsidDel="00000000" w:rsidR="00000000" w:rsidRPr="00000000">
        <w:rPr>
          <w:b w:val="1"/>
          <w:bCs w:val="1"/>
          <w:color w:val="000000"/>
          <w:rtl w:val="0"/>
        </w:rPr>
        <w:t xml:space="preserve">2. Metodología y Justificación del Dataset Discreto</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Para este protocolo se utilizó una serie temporal extraída del dataset histórico </w:t>
      </w:r>
      <w:r w:rsidDel="00000000" w:rsidR="00000000" w:rsidRPr="00000000">
        <w:rPr>
          <w:i w:val="1"/>
          <w:iCs w:val="1"/>
          <w:sz w:val="24"/>
          <w:szCs w:val="24"/>
          <w:rtl w:val="0"/>
        </w:rPr>
        <w:t xml:space="preserve">Novel Corona Virus 2019 Dataset</w:t>
      </w:r>
      <w:r w:rsidDel="00000000" w:rsidR="00000000" w:rsidRPr="00000000">
        <w:rPr>
          <w:sz w:val="24"/>
          <w:szCs w:val="24"/>
          <w:rtl w:val="0"/>
        </w:rPr>
        <w:t xml:space="preserve"> de Kaggle. Este conjunto de datos se clasifica estrictamente como un </w:t>
      </w:r>
      <w:r w:rsidDel="00000000" w:rsidR="00000000" w:rsidRPr="00000000">
        <w:rPr>
          <w:b w:val="1"/>
          <w:bCs w:val="1"/>
          <w:sz w:val="24"/>
          <w:szCs w:val="24"/>
          <w:rtl w:val="0"/>
        </w:rPr>
        <w:t xml:space="preserve">dataset discreto en el tiempo</w:t>
      </w:r>
      <w:r w:rsidDel="00000000" w:rsidR="00000000" w:rsidRPr="00000000">
        <w:rPr>
          <w:sz w:val="24"/>
          <w:szCs w:val="24"/>
          <w:rtl w:val="0"/>
        </w:rPr>
        <w:t xml:space="preserve">, ya que las observaciones de casos confirmados, recuperados y decesos no se registran de forma continua, sino en intervalos fijos y espaciados de exactamente </w:t>
      </w:r>
      <w:r w:rsidDel="00000000" w:rsidR="00000000" w:rsidRPr="00000000">
        <w:rPr>
          <w:b w:val="1"/>
          <w:bCs w:val="1"/>
          <w:sz w:val="24"/>
          <w:szCs w:val="24"/>
          <w:rtl w:val="0"/>
        </w:rPr>
        <w:t xml:space="preserve">24 horas (un día, t)</w:t>
      </w: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La naturaleza discreta de los datos empíricos justifica perfectamente el uso de un modelo estocástico de tiempo discreto (cadenas con espacio de estados finito). En la realidad epidemiológica, el tiempo transcurre continuamente, pero la toma de decisiones, el reporte de laboratorios y la actualización de políticas de salud pública ocurren día por día, convirtiendo al conteo diario en la variable idónea para medir la dinámica de transición de estados.</w:t>
      </w:r>
    </w:p>
    <w:p w:rsidR="00000000" w:rsidDel="00000000" w:rsidP="00000000" w:rsidRDefault="00000000" w:rsidRPr="00000000" w14:paraId="0000002B">
      <w:pPr>
        <w:pStyle w:val="Heading4"/>
        <w:keepNext w:val="0"/>
        <w:keepLines w:val="0"/>
        <w:spacing w:after="40" w:before="240" w:lineRule="auto"/>
        <w:jc w:val="both"/>
        <w:rPr>
          <w:b w:val="1"/>
          <w:bCs w:val="1"/>
          <w:color w:val="000000"/>
        </w:rPr>
      </w:pPr>
      <w:bookmarkStart w:colFirst="0" w:colLast="0" w:name="_tq0nk29q6nzs" w:id="5"/>
      <w:bookmarkEnd w:id="5"/>
      <w:r w:rsidDel="00000000" w:rsidR="00000000" w:rsidRPr="00000000">
        <w:rPr>
          <w:b w:val="1"/>
          <w:bCs w:val="1"/>
          <w:color w:val="000000"/>
          <w:rtl w:val="0"/>
        </w:rPr>
        <w:t xml:space="preserve">3. Integración de las Funciones Matemáticas en el Código</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La transición entre los estados del modelo SIR estocástico se acopló directamente con funciones probabilísticas dentro del entorno de desarrollo en Python utilizando la librería </w:t>
      </w:r>
      <w:r w:rsidDel="00000000" w:rsidR="00000000" w:rsidRPr="00000000">
        <w:rPr>
          <w:rFonts w:ascii="Roboto Mono" w:cs="Roboto Mono" w:eastAsia="Roboto Mono" w:hAnsi="Roboto Mono"/>
          <w:color w:val="188038"/>
          <w:sz w:val="24"/>
          <w:szCs w:val="24"/>
          <w:rtl w:val="0"/>
        </w:rPr>
        <w:t xml:space="preserve">numpy.random</w:t>
      </w:r>
      <w:r w:rsidDel="00000000" w:rsidR="00000000" w:rsidRPr="00000000">
        <w:rPr>
          <w:sz w:val="24"/>
          <w:szCs w:val="24"/>
          <w:rtl w:val="0"/>
        </w:rPr>
        <w:t xml:space="preserve">. La integración matemática se estructuró bajo dos pilares discretos:</w:t>
      </w:r>
    </w:p>
    <w:p w:rsidR="00000000" w:rsidDel="00000000" w:rsidP="00000000" w:rsidRDefault="00000000" w:rsidRPr="00000000" w14:paraId="0000002D">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Modelado de Contagios (S -&gt; I):</w:t>
      </w:r>
      <w:r w:rsidDel="00000000" w:rsidR="00000000" w:rsidRPr="00000000">
        <w:rPr>
          <w:sz w:val="24"/>
          <w:szCs w:val="24"/>
          <w:rtl w:val="0"/>
        </w:rPr>
        <w:t xml:space="preserve"> En lugar de usar una ecuación diferencial determinista rígida, se integró la </w:t>
      </w:r>
      <w:r w:rsidDel="00000000" w:rsidR="00000000" w:rsidRPr="00000000">
        <w:rPr>
          <w:b w:val="1"/>
          <w:bCs w:val="1"/>
          <w:sz w:val="24"/>
          <w:szCs w:val="24"/>
          <w:rtl w:val="0"/>
        </w:rPr>
        <w:t xml:space="preserve">Distribución Binomial</w:t>
      </w:r>
      <w:r w:rsidDel="00000000" w:rsidR="00000000" w:rsidRPr="00000000">
        <w:rPr>
          <w:sz w:val="24"/>
          <w:szCs w:val="24"/>
          <w:rtl w:val="0"/>
        </w:rPr>
        <w:t xml:space="preserve"> mediante la función </w:t>
      </w:r>
      <w:r w:rsidDel="00000000" w:rsidR="00000000" w:rsidRPr="00000000">
        <w:rPr>
          <w:rFonts w:ascii="Roboto Mono" w:cs="Roboto Mono" w:eastAsia="Roboto Mono" w:hAnsi="Roboto Mono"/>
          <w:color w:val="188038"/>
          <w:sz w:val="24"/>
          <w:szCs w:val="24"/>
          <w:rtl w:val="0"/>
        </w:rPr>
        <w:t xml:space="preserve">np.random.binomial(n, p)</w:t>
      </w:r>
      <w:r w:rsidDel="00000000" w:rsidR="00000000" w:rsidRPr="00000000">
        <w:rPr>
          <w:sz w:val="24"/>
          <w:szCs w:val="24"/>
          <w:rtl w:val="0"/>
        </w:rPr>
        <w:t xml:space="preserve">. Aquí, el número de "ensayos" (n) es la cantidad total de personas susceptibles en el día anterior (S_t-1), y la probabilidad de "éxito" o contagio (p) está determinada por la función dinámica: </w:t>
      </w:r>
      <w:r w:rsidDel="00000000" w:rsidR="00000000" w:rsidRPr="00000000">
        <w:rPr>
          <w:b w:val="1"/>
          <w:bCs w:val="1"/>
          <w:sz w:val="24"/>
          <w:szCs w:val="24"/>
          <w:rtl w:val="0"/>
        </w:rPr>
        <w:t xml:space="preserve">p = Beta * (I_t-1 / N)</w:t>
      </w:r>
      <w:r w:rsidDel="00000000" w:rsidR="00000000" w:rsidRPr="00000000">
        <w:rPr>
          <w:sz w:val="24"/>
          <w:szCs w:val="24"/>
          <w:rtl w:val="0"/>
        </w:rPr>
        <w:t xml:space="preserve">. Esto permite simular matemáticamente que cada individuo sano "lanza una moneda" probabilística cada día para determinar si se infecta, dependiendo de cuántos enfermos circulan en la población.</w:t>
      </w:r>
    </w:p>
    <w:p w:rsidR="00000000" w:rsidDel="00000000" w:rsidP="00000000" w:rsidRDefault="00000000" w:rsidRPr="00000000" w14:paraId="0000002E">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Modelado de Recuperaciones (I -&gt; R):</w:t>
      </w:r>
      <w:r w:rsidDel="00000000" w:rsidR="00000000" w:rsidRPr="00000000">
        <w:rPr>
          <w:sz w:val="24"/>
          <w:szCs w:val="24"/>
          <w:rtl w:val="0"/>
        </w:rPr>
        <w:t xml:space="preserve"> Del mismo modo, la salida del estado crítico se integró usando un proceso binomial donde </w:t>
      </w:r>
      <w:r w:rsidDel="00000000" w:rsidR="00000000" w:rsidRPr="00000000">
        <w:rPr>
          <w:b w:val="1"/>
          <w:bCs w:val="1"/>
          <w:sz w:val="24"/>
          <w:szCs w:val="24"/>
          <w:rtl w:val="0"/>
        </w:rPr>
        <w:t xml:space="preserve">n = I_t-1</w:t>
      </w:r>
      <w:r w:rsidDel="00000000" w:rsidR="00000000" w:rsidRPr="00000000">
        <w:rPr>
          <w:sz w:val="24"/>
          <w:szCs w:val="24"/>
          <w:rtl w:val="0"/>
        </w:rPr>
        <w:t xml:space="preserve"> y la probabilidad diaria de recuperación es </w:t>
      </w:r>
      <w:r w:rsidDel="00000000" w:rsidR="00000000" w:rsidRPr="00000000">
        <w:rPr>
          <w:b w:val="1"/>
          <w:bCs w:val="1"/>
          <w:sz w:val="24"/>
          <w:szCs w:val="24"/>
          <w:rtl w:val="0"/>
        </w:rPr>
        <w:t xml:space="preserve">p = Gamma</w:t>
      </w:r>
      <w:r w:rsidDel="00000000" w:rsidR="00000000" w:rsidRPr="00000000">
        <w:rPr>
          <w:sz w:val="24"/>
          <w:szCs w:val="24"/>
          <w:rtl w:val="0"/>
        </w:rPr>
        <w:t xml:space="preserve">. Teóricamente, esto garantiza que la permanencia de los individuos en el estado de infección siga una </w:t>
      </w:r>
      <w:r w:rsidDel="00000000" w:rsidR="00000000" w:rsidRPr="00000000">
        <w:rPr>
          <w:b w:val="1"/>
          <w:bCs w:val="1"/>
          <w:sz w:val="24"/>
          <w:szCs w:val="24"/>
          <w:rtl w:val="0"/>
        </w:rPr>
        <w:t xml:space="preserve">Distribución Geométrica</w:t>
      </w:r>
      <w:r w:rsidDel="00000000" w:rsidR="00000000" w:rsidRPr="00000000">
        <w:rPr>
          <w:sz w:val="24"/>
          <w:szCs w:val="24"/>
          <w:rtl w:val="0"/>
        </w:rPr>
        <w:t xml:space="preserve">, capturando el comportamiento estocástico del sistema inmune humano frente al virus.</w:t>
      </w:r>
    </w:p>
    <w:p w:rsidR="00000000" w:rsidDel="00000000" w:rsidP="00000000" w:rsidRDefault="00000000" w:rsidRPr="00000000" w14:paraId="0000002F">
      <w:pPr>
        <w:pStyle w:val="Heading4"/>
        <w:keepNext w:val="0"/>
        <w:keepLines w:val="0"/>
        <w:spacing w:after="40" w:before="240" w:lineRule="auto"/>
        <w:jc w:val="both"/>
        <w:rPr>
          <w:b w:val="1"/>
          <w:bCs w:val="1"/>
          <w:color w:val="000000"/>
        </w:rPr>
      </w:pPr>
      <w:bookmarkStart w:colFirst="0" w:colLast="0" w:name="_v8b0u015i5n" w:id="6"/>
      <w:bookmarkEnd w:id="6"/>
      <w:r w:rsidDel="00000000" w:rsidR="00000000" w:rsidRPr="00000000">
        <w:rPr>
          <w:b w:val="1"/>
          <w:bCs w:val="1"/>
          <w:color w:val="000000"/>
          <w:rtl w:val="0"/>
        </w:rPr>
        <w:t xml:space="preserve">4. Rango de Error y Variabilidad Estocástica</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En las ciencias estocásticas, el "error" no se interpreta como una equivocación en la medición, sino como la </w:t>
      </w:r>
      <w:r w:rsidDel="00000000" w:rsidR="00000000" w:rsidRPr="00000000">
        <w:rPr>
          <w:b w:val="1"/>
          <w:bCs w:val="1"/>
          <w:sz w:val="24"/>
          <w:szCs w:val="24"/>
          <w:rtl w:val="0"/>
        </w:rPr>
        <w:t xml:space="preserve">variabilidad intrínseca o fluctuación aleatoria</w:t>
      </w:r>
      <w:r w:rsidDel="00000000" w:rsidR="00000000" w:rsidRPr="00000000">
        <w:rPr>
          <w:sz w:val="24"/>
          <w:szCs w:val="24"/>
          <w:rtl w:val="0"/>
        </w:rPr>
        <w:t xml:space="preserve"> del sistema. Al analizar las 100 simulaciones, el rango de dispersión (error estándar del pico) se cuantificó a través de la varianza del proceso:</w:t>
      </w:r>
    </w:p>
    <w:p w:rsidR="00000000" w:rsidDel="00000000" w:rsidP="00000000" w:rsidRDefault="00000000" w:rsidRPr="00000000" w14:paraId="00000031">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Varianza de los picos:</w:t>
      </w:r>
      <w:r w:rsidDel="00000000" w:rsidR="00000000" w:rsidRPr="00000000">
        <w:rPr>
          <w:sz w:val="24"/>
          <w:szCs w:val="24"/>
          <w:rtl w:val="0"/>
        </w:rPr>
        <w:t xml:space="preserve"> La fluctuación de los picos máximos se concentra de manera estrecha en un rango que va desde un límite inferior de </w:t>
      </w:r>
      <w:r w:rsidDel="00000000" w:rsidR="00000000" w:rsidRPr="00000000">
        <w:rPr>
          <w:b w:val="1"/>
          <w:bCs w:val="1"/>
          <w:sz w:val="24"/>
          <w:szCs w:val="24"/>
          <w:rtl w:val="0"/>
        </w:rPr>
        <w:t xml:space="preserve">40,400</w:t>
      </w:r>
      <w:r w:rsidDel="00000000" w:rsidR="00000000" w:rsidRPr="00000000">
        <w:rPr>
          <w:sz w:val="24"/>
          <w:szCs w:val="24"/>
          <w:rtl w:val="0"/>
        </w:rPr>
        <w:t xml:space="preserve"> infectados hasta un límite superior de </w:t>
      </w:r>
      <w:r w:rsidDel="00000000" w:rsidR="00000000" w:rsidRPr="00000000">
        <w:rPr>
          <w:b w:val="1"/>
          <w:bCs w:val="1"/>
          <w:sz w:val="24"/>
          <w:szCs w:val="24"/>
          <w:rtl w:val="0"/>
        </w:rPr>
        <w:t xml:space="preserve">41,600</w:t>
      </w:r>
      <w:r w:rsidDel="00000000" w:rsidR="00000000" w:rsidRPr="00000000">
        <w:rPr>
          <w:sz w:val="24"/>
          <w:szCs w:val="24"/>
          <w:rtl w:val="0"/>
        </w:rPr>
        <w:t xml:space="preserve"> infectados.</w:t>
      </w:r>
    </w:p>
    <w:p w:rsidR="00000000" w:rsidDel="00000000" w:rsidP="00000000" w:rsidRDefault="00000000" w:rsidRPr="00000000" w14:paraId="00000032">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Margen de desviación:</w:t>
      </w:r>
      <w:r w:rsidDel="00000000" w:rsidR="00000000" w:rsidRPr="00000000">
        <w:rPr>
          <w:sz w:val="24"/>
          <w:szCs w:val="24"/>
          <w:rtl w:val="0"/>
        </w:rPr>
        <w:t xml:space="preserve"> Esto representa un rango de variabilidad estocástica de aproximadamente </w:t>
      </w:r>
      <w:r w:rsidDel="00000000" w:rsidR="00000000" w:rsidRPr="00000000">
        <w:rPr>
          <w:b w:val="1"/>
          <w:bCs w:val="1"/>
          <w:sz w:val="24"/>
          <w:szCs w:val="24"/>
          <w:rtl w:val="0"/>
        </w:rPr>
        <w:t xml:space="preserve">+/- 1.45%</w:t>
      </w:r>
      <w:r w:rsidDel="00000000" w:rsidR="00000000" w:rsidRPr="00000000">
        <w:rPr>
          <w:sz w:val="24"/>
          <w:szCs w:val="24"/>
          <w:rtl w:val="0"/>
        </w:rPr>
        <w:t xml:space="preserve"> respecto a la media general (Media Mu = 41,088).</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Este margen de error demuestra que, aunque el proceso estocástico posee un fuerte componente de atracción hacia su media teórica (comportamiento ergódico), existe un riesgo residual del azar. Para el diseño de políticas públicas, este rango de error del 1.45% en una población real de millones de habitantes puede traducirse en miles de personas adicionales requiriendo atención médica al mismo tiempo, lo que demuestra la utilidad metodológica de evaluar la varianza por encima de los modelos de líneas fijas</w:t>
      </w:r>
    </w:p>
    <w:p w:rsidR="00000000" w:rsidDel="00000000" w:rsidP="00000000" w:rsidRDefault="00000000" w:rsidRPr="00000000" w14:paraId="0000003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jc w:val="center"/>
        <w:rPr>
          <w:b w:val="1"/>
          <w:bCs w:val="1"/>
          <w:color w:val="000000"/>
          <w:sz w:val="30"/>
          <w:szCs w:val="30"/>
        </w:rPr>
      </w:pPr>
      <w:bookmarkStart w:colFirst="0" w:colLast="0" w:name="_jb5qxxnsfubt" w:id="7"/>
      <w:bookmarkEnd w:id="7"/>
      <w:r w:rsidDel="00000000" w:rsidR="00000000" w:rsidRPr="00000000">
        <w:rPr>
          <w:b w:val="1"/>
          <w:bCs w:val="1"/>
          <w:color w:val="000000"/>
          <w:sz w:val="30"/>
          <w:szCs w:val="30"/>
          <w:rtl w:val="0"/>
        </w:rPr>
        <w:t xml:space="preserve">CONCLUSIONES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lineRule="auto"/>
        <w:jc w:val="both"/>
        <w:rPr>
          <w:sz w:val="24"/>
          <w:szCs w:val="24"/>
        </w:rPr>
      </w:pPr>
      <w:r w:rsidDel="00000000" w:rsidR="00000000" w:rsidRPr="00000000">
        <w:rPr>
          <w:sz w:val="24"/>
          <w:szCs w:val="24"/>
          <w:rtl w:val="0"/>
        </w:rPr>
        <w:t xml:space="preserve">La realización de esta entrega parcial permite concluir que los procesos estocásticos ofrecen un marco teórico y práctico muy superior a los enfoques deterministas clásicos cuando se trata de modelar fenómenos sociales y biológicos dinámicos y complejos. Al analizar la propagación del COVID-19 mediante un modelo SIR probabilístico en tiempo discreto, se logró demostrar que, bajo condiciones iniciales exactamente idénticas, el azar intrínseco de los contactos cotidianos y la recuperación individual genera fluctuaciones significativas en el comportamiento real de la curva epidémica.</w:t>
      </w:r>
    </w:p>
    <w:p w:rsidR="00000000" w:rsidDel="00000000" w:rsidP="00000000" w:rsidRDefault="00000000" w:rsidRPr="00000000" w14:paraId="0000003A">
      <w:pPr>
        <w:spacing w:after="240" w:lineRule="auto"/>
        <w:jc w:val="both"/>
        <w:rPr>
          <w:sz w:val="24"/>
          <w:szCs w:val="24"/>
        </w:rPr>
      </w:pPr>
      <w:r w:rsidDel="00000000" w:rsidR="00000000" w:rsidRPr="00000000">
        <w:rPr>
          <w:sz w:val="24"/>
          <w:szCs w:val="24"/>
          <w:rtl w:val="0"/>
        </w:rPr>
        <w:t xml:space="preserve">A través del desarrollo computacional y la ejecución de la simulación de Monte Carlo de 100 iteraciones, se identificó que el pico máximo de contagios se estabiliza en una tendencia central promedio de 41,088 infectados simultáneos (aproximadamente el 41% de la población muestra). No obstante, el hallazgo más relevante desde la perspectiva del análisis estocástico es la dispersión de los datos, la cual osciló de forma impredecible en un rango de +/- 1.45% (entre 40,400 y 41,600 individuos enfermos al mismo tiempo). Esta variabilidad subraya con claridad que el comportamiento de un proceso en el mundo real nunca es una línea fija, sino un espectro de escenarios posibles gobernados por la probabilidad.</w:t>
      </w:r>
    </w:p>
    <w:p w:rsidR="00000000" w:rsidDel="00000000" w:rsidP="00000000" w:rsidRDefault="00000000" w:rsidRPr="00000000" w14:paraId="0000003B">
      <w:pPr>
        <w:spacing w:after="240" w:lineRule="auto"/>
        <w:jc w:val="both"/>
        <w:rPr>
          <w:sz w:val="24"/>
          <w:szCs w:val="24"/>
        </w:rPr>
      </w:pPr>
      <w:r w:rsidDel="00000000" w:rsidR="00000000" w:rsidRPr="00000000">
        <w:rPr>
          <w:sz w:val="24"/>
          <w:szCs w:val="24"/>
          <w:rtl w:val="0"/>
        </w:rPr>
        <w:t xml:space="preserve">Finalmente, la integración de la Distribución Binomial para las funciones de transición ($S \to I$ e $I \to R$) dentro del entorno virtual en Python demostró ser una metodología robusta para capturar la incertidumbre. En conclusión, este protocolo de investigación valida que el estudio de la varianza y los momentos estadísticos de un proceso estocástico es una herramienta indispensable para la ciencia y la ingeniería. En términos de políticas públicas o gestión de recursos, el modelo demuestra que las planeaciones deben diseñarse considerando los márgenes de error estocásticos y los escenarios de la cola derecha de la distribución, garantizando así sistemas de respuesta más seguros, resilientes y preparados ante la incertidumbre del mundo real.</w:t>
      </w:r>
    </w:p>
    <w:p w:rsidR="00000000" w:rsidDel="00000000" w:rsidP="00000000" w:rsidRDefault="00000000" w:rsidRPr="00000000" w14:paraId="0000003C">
      <w:pPr>
        <w:jc w:val="center"/>
        <w:rPr>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la.ula.edu.mx/user/view.php?id=17087&amp;course=30505" TargetMode="External"/><Relationship Id="rId7" Type="http://schemas.openxmlformats.org/officeDocument/2006/relationships/hyperlink" Target="https://github.com/JJorgeBBedolla/covid19--procesos-estocasticos.g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