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S20 - Módulo 1. Actividad didáctica 2-M1</w:t>
      </w:r>
    </w:p>
    <w:p w:rsidR="00000000" w:rsidDel="00000000" w:rsidP="00000000" w:rsidRDefault="00000000" w:rsidRPr="00000000" w14:paraId="00000003">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Juan José Suárez Restrepo</w:t>
      </w:r>
    </w:p>
    <w:p w:rsidR="00000000" w:rsidDel="00000000" w:rsidP="00000000" w:rsidRDefault="00000000" w:rsidRPr="00000000" w14:paraId="00000006">
      <w:pPr>
        <w:spacing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Gloria Patricia Herrera Cárdenas</w:t>
      </w:r>
      <w:r w:rsidDel="00000000" w:rsidR="00000000" w:rsidRPr="00000000">
        <w:rPr>
          <w:rtl w:val="0"/>
        </w:rPr>
      </w:r>
    </w:p>
    <w:p w:rsidR="00000000" w:rsidDel="00000000" w:rsidP="00000000" w:rsidRDefault="00000000" w:rsidRPr="00000000" w14:paraId="00000007">
      <w:pPr>
        <w:spacing w:after="240" w:line="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08">
      <w:pPr>
        <w:shd w:fill="ffffff" w:val="clea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hd w:fill="ffffff" w:val="clea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Grupo: 32</w:t>
      </w:r>
      <w:r w:rsidDel="00000000" w:rsidR="00000000" w:rsidRPr="00000000">
        <w:rPr>
          <w:rtl w:val="0"/>
        </w:rPr>
      </w:r>
    </w:p>
    <w:p w:rsidR="00000000" w:rsidDel="00000000" w:rsidP="00000000" w:rsidRDefault="00000000" w:rsidRPr="00000000" w14:paraId="0000000A">
      <w:pPr>
        <w:spacing w:after="240" w:line="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br w:type="textWrapping"/>
      </w:r>
    </w:p>
    <w:p w:rsidR="00000000" w:rsidDel="00000000" w:rsidP="00000000" w:rsidRDefault="00000000" w:rsidRPr="00000000" w14:paraId="0000000B">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Simulación</w:t>
      </w:r>
    </w:p>
    <w:p w:rsidR="00000000" w:rsidDel="00000000" w:rsidP="00000000" w:rsidRDefault="00000000" w:rsidRPr="00000000" w14:paraId="0000000E">
      <w:pPr>
        <w:spacing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Docente: Julián Andrés Loaiza</w:t>
      </w:r>
      <w:r w:rsidDel="00000000" w:rsidR="00000000" w:rsidRPr="00000000">
        <w:rPr>
          <w:rtl w:val="0"/>
        </w:rPr>
      </w:r>
    </w:p>
    <w:p w:rsidR="00000000" w:rsidDel="00000000" w:rsidP="00000000" w:rsidRDefault="00000000" w:rsidRPr="00000000" w14:paraId="00000010">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Institución Universitaria Digital de Antioquia – IU Digital</w:t>
      </w:r>
      <w:r w:rsidDel="00000000" w:rsidR="00000000" w:rsidRPr="00000000">
        <w:rPr>
          <w:rtl w:val="0"/>
        </w:rPr>
      </w:r>
    </w:p>
    <w:p w:rsidR="00000000" w:rsidDel="00000000" w:rsidP="00000000" w:rsidRDefault="00000000" w:rsidRPr="00000000" w14:paraId="00000017">
      <w:pPr>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Bloque 2</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color w:val="000000"/>
          <w:sz w:val="24"/>
          <w:szCs w:val="24"/>
          <w:rtl w:val="0"/>
        </w:rPr>
        <w:t xml:space="preserve">2026 </w:t>
      </w:r>
    </w:p>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Desarrollo de Juego Yahtzee para Dos Jugadores Mediante Python y Simulación de Monte Carlo</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1. Introducción</w:t>
      </w:r>
    </w:p>
    <w:p w:rsidR="00000000" w:rsidDel="00000000" w:rsidP="00000000" w:rsidRDefault="00000000" w:rsidRPr="00000000" w14:paraId="0000001F">
      <w:pPr>
        <w:spacing w:line="480" w:lineRule="auto"/>
        <w:ind w:hanging="709"/>
        <w:rPr>
          <w:rFonts w:ascii="Arial" w:cs="Arial" w:eastAsia="Arial" w:hAnsi="Arial"/>
        </w:rPr>
      </w:pPr>
      <w:r w:rsidDel="00000000" w:rsidR="00000000" w:rsidRPr="00000000">
        <w:rPr>
          <w:rFonts w:ascii="Arial" w:cs="Arial" w:eastAsia="Arial" w:hAnsi="Arial"/>
          <w:rtl w:val="0"/>
        </w:rPr>
        <w:t xml:space="preserve">El presente proyecto tiene como objetivo desarrollar un programa en Python que simule el juego clásico de Yahtzee para dos jugadores. El juego utiliza cinco dados convencionales de seis caras y permite realizar hasta tres lanzamientos por turno, conservando los dados que el jugador considere convenientes para intentar obtener combinaciones de mayor puntuación.</w:t>
      </w:r>
    </w:p>
    <w:p w:rsidR="00000000" w:rsidDel="00000000" w:rsidP="00000000" w:rsidRDefault="00000000" w:rsidRPr="00000000" w14:paraId="00000020">
      <w:pPr>
        <w:spacing w:line="480" w:lineRule="auto"/>
        <w:ind w:hanging="709"/>
        <w:rPr>
          <w:rFonts w:ascii="Arial" w:cs="Arial" w:eastAsia="Arial" w:hAnsi="Arial"/>
        </w:rPr>
      </w:pPr>
      <w:r w:rsidDel="00000000" w:rsidR="00000000" w:rsidRPr="00000000">
        <w:rPr>
          <w:rFonts w:ascii="Arial" w:cs="Arial" w:eastAsia="Arial" w:hAnsi="Arial"/>
          <w:rtl w:val="0"/>
        </w:rPr>
        <w:t xml:space="preserve">El desarrollo permite aplicar conceptos de programación, generación de números aleatorios, estructuras de datos, funciones, validación de entradas y cálculo de probabilidades.</w:t>
      </w:r>
    </w:p>
    <w:p w:rsidR="00000000" w:rsidDel="00000000" w:rsidP="00000000" w:rsidRDefault="00000000" w:rsidRPr="00000000" w14:paraId="00000021">
      <w:pPr>
        <w:spacing w:line="480" w:lineRule="auto"/>
        <w:ind w:hanging="709"/>
        <w:rPr>
          <w:rFonts w:ascii="Arial" w:cs="Arial" w:eastAsia="Arial" w:hAnsi="Arial"/>
        </w:rPr>
      </w:pPr>
      <w:r w:rsidDel="00000000" w:rsidR="00000000" w:rsidRPr="00000000">
        <w:rPr>
          <w:rFonts w:ascii="Arial" w:cs="Arial" w:eastAsia="Arial" w:hAnsi="Arial"/>
          <w:rtl w:val="0"/>
        </w:rPr>
        <w:t xml:space="preserve">Adicionalmente, se implementa una simulación de Monte Carlo para estudiar la probabilidad de obtener un Yahtzee, entendido como cinco dados con el mismo valor. Mediante la ejecución de diferentes cantidades de experimentos, se comparan los resultados experimentales con la probabilidad teórica, con el propósito de analizar la Teoría de los Grandes Números.</w:t>
      </w:r>
    </w:p>
    <w:p w:rsidR="00000000" w:rsidDel="00000000" w:rsidP="00000000" w:rsidRDefault="00000000" w:rsidRPr="00000000" w14:paraId="00000022">
      <w:pPr>
        <w:spacing w:line="480" w:lineRule="auto"/>
        <w:ind w:hanging="709"/>
        <w:rPr>
          <w:rFonts w:ascii="Arial" w:cs="Arial" w:eastAsia="Arial" w:hAnsi="Arial"/>
        </w:rPr>
      </w:pPr>
      <w:r w:rsidDel="00000000" w:rsidR="00000000" w:rsidRPr="00000000">
        <w:rPr>
          <w:rFonts w:ascii="Arial" w:cs="Arial" w:eastAsia="Arial" w:hAnsi="Arial"/>
          <w:rtl w:val="0"/>
        </w:rPr>
        <w:t xml:space="preserve">El proceso de desarrollo se organiza mediante la metodología USA, MODIFICA y CREA, partiendo del análisis de la solución inicial, incorporando mejoras y construyendo una versión propia documentada y verificable.</w:t>
      </w:r>
    </w:p>
    <w:p w:rsidR="00000000" w:rsidDel="00000000" w:rsidP="00000000" w:rsidRDefault="00000000" w:rsidRPr="00000000" w14:paraId="00000023">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24">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25">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26">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27">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2. Metodología</w:t>
      </w:r>
    </w:p>
    <w:p w:rsidR="00000000" w:rsidDel="00000000" w:rsidP="00000000" w:rsidRDefault="00000000" w:rsidRPr="00000000" w14:paraId="00000028">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2.1. USA</w:t>
      </w:r>
    </w:p>
    <w:p w:rsidR="00000000" w:rsidDel="00000000" w:rsidP="00000000" w:rsidRDefault="00000000" w:rsidRPr="00000000" w14:paraId="00000029">
      <w:pPr>
        <w:spacing w:line="480" w:lineRule="auto"/>
        <w:ind w:hanging="709"/>
        <w:rPr>
          <w:rFonts w:ascii="Arial" w:cs="Arial" w:eastAsia="Arial" w:hAnsi="Arial"/>
        </w:rPr>
      </w:pPr>
      <w:r w:rsidDel="00000000" w:rsidR="00000000" w:rsidRPr="00000000">
        <w:rPr>
          <w:rFonts w:ascii="Arial" w:cs="Arial" w:eastAsia="Arial" w:hAnsi="Arial"/>
          <w:rtl w:val="0"/>
        </w:rPr>
        <w:t xml:space="preserve">Se revisa la guía suministrada para identificar el funcionamiento del juego, las reglas de los dados, las condiciones de puntuación y la estructura del algoritmo inicial. Se ejecutan las funcionalidades disponibles y se identifican oportunidades de mejora.</w:t>
      </w:r>
    </w:p>
    <w:p w:rsidR="00000000" w:rsidDel="00000000" w:rsidP="00000000" w:rsidRDefault="00000000" w:rsidRPr="00000000" w14:paraId="0000002A">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2B">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2.2. MODIFICA</w:t>
      </w:r>
    </w:p>
    <w:p w:rsidR="00000000" w:rsidDel="00000000" w:rsidP="00000000" w:rsidRDefault="00000000" w:rsidRPr="00000000" w14:paraId="0000002C">
      <w:pPr>
        <w:spacing w:line="480" w:lineRule="auto"/>
        <w:ind w:hanging="709"/>
        <w:rPr>
          <w:rFonts w:ascii="Arial" w:cs="Arial" w:eastAsia="Arial" w:hAnsi="Arial"/>
        </w:rPr>
      </w:pPr>
      <w:r w:rsidDel="00000000" w:rsidR="00000000" w:rsidRPr="00000000">
        <w:rPr>
          <w:rFonts w:ascii="Arial" w:cs="Arial" w:eastAsia="Arial" w:hAnsi="Arial"/>
          <w:rtl w:val="0"/>
        </w:rPr>
        <w:t xml:space="preserve">Se incorporan mejoras orientadas a la interacción con los jugadores, la validación de las entradas, la conservación selectiva de dados, el cálculo de las combinaciones y la administración de las tarjetas de puntuación.</w:t>
      </w:r>
    </w:p>
    <w:p w:rsidR="00000000" w:rsidDel="00000000" w:rsidP="00000000" w:rsidRDefault="00000000" w:rsidRPr="00000000" w14:paraId="0000002D">
      <w:pPr>
        <w:spacing w:line="480" w:lineRule="auto"/>
        <w:ind w:hanging="709"/>
        <w:rPr>
          <w:rFonts w:ascii="Arial" w:cs="Arial" w:eastAsia="Arial" w:hAnsi="Arial"/>
        </w:rPr>
      </w:pPr>
      <w:r w:rsidDel="00000000" w:rsidR="00000000" w:rsidRPr="00000000">
        <w:rPr>
          <w:rFonts w:ascii="Arial" w:cs="Arial" w:eastAsia="Arial" w:hAnsi="Arial"/>
          <w:rtl w:val="0"/>
        </w:rPr>
        <w:t xml:space="preserve">También se separan las funciones del juego de las funciones estadísticas, facilitando su mantenimiento y las pruebas independientes.</w:t>
      </w:r>
    </w:p>
    <w:p w:rsidR="00000000" w:rsidDel="00000000" w:rsidP="00000000" w:rsidRDefault="00000000" w:rsidRPr="00000000" w14:paraId="0000002E">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2F">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2.3. CREA</w:t>
      </w:r>
    </w:p>
    <w:p w:rsidR="00000000" w:rsidDel="00000000" w:rsidP="00000000" w:rsidRDefault="00000000" w:rsidRPr="00000000" w14:paraId="00000030">
      <w:pPr>
        <w:spacing w:line="480" w:lineRule="auto"/>
        <w:ind w:hanging="709"/>
        <w:rPr>
          <w:rFonts w:ascii="Arial" w:cs="Arial" w:eastAsia="Arial" w:hAnsi="Arial"/>
        </w:rPr>
      </w:pPr>
      <w:r w:rsidDel="00000000" w:rsidR="00000000" w:rsidRPr="00000000">
        <w:rPr>
          <w:rFonts w:ascii="Arial" w:cs="Arial" w:eastAsia="Arial" w:hAnsi="Arial"/>
          <w:rtl w:val="0"/>
        </w:rPr>
        <w:t xml:space="preserve">Se desarrolla la solución en Python mediante funciones independientes para generar lanzamientos, volver a lanzar dados, identificar combinaciones, calcular puntuaciones y determinar el ganador.</w:t>
      </w:r>
    </w:p>
    <w:p w:rsidR="00000000" w:rsidDel="00000000" w:rsidP="00000000" w:rsidRDefault="00000000" w:rsidRPr="00000000" w14:paraId="00000031">
      <w:pPr>
        <w:spacing w:line="480" w:lineRule="auto"/>
        <w:ind w:hanging="709"/>
        <w:rPr>
          <w:rFonts w:ascii="Arial" w:cs="Arial" w:eastAsia="Arial" w:hAnsi="Arial"/>
        </w:rPr>
      </w:pPr>
      <w:r w:rsidDel="00000000" w:rsidR="00000000" w:rsidRPr="00000000">
        <w:rPr>
          <w:rFonts w:ascii="Arial" w:cs="Arial" w:eastAsia="Arial" w:hAnsi="Arial"/>
          <w:rtl w:val="0"/>
        </w:rPr>
        <w:t xml:space="preserve">Posteriormente, se implementa una simulación de Monte Carlo que repite el experimento de lanzar cinco dados y registra cuántas veces aparecen cinco valores iguales.</w:t>
      </w:r>
    </w:p>
    <w:p w:rsidR="00000000" w:rsidDel="00000000" w:rsidP="00000000" w:rsidRDefault="00000000" w:rsidRPr="00000000" w14:paraId="00000032">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33">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34">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35">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2.4. Herramientas utilizadas</w:t>
      </w:r>
    </w:p>
    <w:p w:rsidR="00000000" w:rsidDel="00000000" w:rsidP="00000000" w:rsidRDefault="00000000" w:rsidRPr="00000000" w14:paraId="00000036">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09"/>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 para la implementación.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09"/>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random para generar lanzamientos aleatorios.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09"/>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collections para contar las caras de los dados.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09"/>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y GitHub para gestionar el código fuente y sus modificaciones.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720" w:right="0" w:hanging="709"/>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Matplotlib, si se requiere representar gráficamente los resultados.</w:t>
      </w:r>
    </w:p>
    <w:p w:rsidR="00000000" w:rsidDel="00000000" w:rsidP="00000000" w:rsidRDefault="00000000" w:rsidRPr="00000000" w14:paraId="0000003C">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3D">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2.5. Validación</w:t>
      </w:r>
    </w:p>
    <w:p w:rsidR="00000000" w:rsidDel="00000000" w:rsidP="00000000" w:rsidRDefault="00000000" w:rsidRPr="00000000" w14:paraId="0000003E">
      <w:pPr>
        <w:spacing w:line="480" w:lineRule="auto"/>
        <w:ind w:hanging="709"/>
        <w:rPr>
          <w:rFonts w:ascii="Arial" w:cs="Arial" w:eastAsia="Arial" w:hAnsi="Arial"/>
        </w:rPr>
      </w:pPr>
      <w:r w:rsidDel="00000000" w:rsidR="00000000" w:rsidRPr="00000000">
        <w:rPr>
          <w:rFonts w:ascii="Arial" w:cs="Arial" w:eastAsia="Arial" w:hAnsi="Arial"/>
          <w:rtl w:val="0"/>
        </w:rPr>
        <w:t xml:space="preserve">Se deben realizar pruebas con combinaciones conocidas, verificar las puntuaciones, comprobar que no se utilicen categorías repetidas y confirmar que cada jugador tenga su propia tarjeta. Para la simulación estadística, se ejecutan distintos números de experimentos y se comparan las frecuencias observadas con la probabilidad teórica.</w:t>
      </w:r>
    </w:p>
    <w:p w:rsidR="00000000" w:rsidDel="00000000" w:rsidP="00000000" w:rsidRDefault="00000000" w:rsidRPr="00000000" w14:paraId="0000003F">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40">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3. Resultados</w:t>
      </w:r>
    </w:p>
    <w:p w:rsidR="00000000" w:rsidDel="00000000" w:rsidP="00000000" w:rsidRDefault="00000000" w:rsidRPr="00000000" w14:paraId="00000041">
      <w:pPr>
        <w:spacing w:line="480" w:lineRule="auto"/>
        <w:ind w:hanging="709"/>
        <w:rPr>
          <w:rFonts w:ascii="Arial" w:cs="Arial" w:eastAsia="Arial" w:hAnsi="Arial"/>
        </w:rPr>
      </w:pPr>
      <w:r w:rsidDel="00000000" w:rsidR="00000000" w:rsidRPr="00000000">
        <w:rPr>
          <w:rFonts w:ascii="Arial" w:cs="Arial" w:eastAsia="Arial" w:hAnsi="Arial"/>
          <w:rtl w:val="0"/>
        </w:rPr>
        <w:t xml:space="preserve">En esta sección se documentan los resultados obtenidos después de ejecutar el programa.</w:t>
      </w:r>
    </w:p>
    <w:p w:rsidR="00000000" w:rsidDel="00000000" w:rsidP="00000000" w:rsidRDefault="00000000" w:rsidRPr="00000000" w14:paraId="00000042">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43">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3.1. Funcionamiento del juego</w:t>
      </w:r>
    </w:p>
    <w:p w:rsidR="00000000" w:rsidDel="00000000" w:rsidP="00000000" w:rsidRDefault="00000000" w:rsidRPr="00000000" w14:paraId="00000044">
      <w:pPr>
        <w:spacing w:line="480" w:lineRule="auto"/>
        <w:ind w:hanging="709"/>
        <w:rPr>
          <w:rFonts w:ascii="Arial" w:cs="Arial" w:eastAsia="Arial" w:hAnsi="Arial"/>
        </w:rPr>
      </w:pPr>
      <w:r w:rsidDel="00000000" w:rsidR="00000000" w:rsidRPr="00000000">
        <w:rPr>
          <w:rFonts w:ascii="Arial" w:cs="Arial" w:eastAsia="Arial" w:hAnsi="Arial"/>
          <w:rtl w:val="0"/>
        </w:rPr>
        <w:t xml:space="preserve">Se presentan evidencias de la ejecución de una partida con dos jugadores, incluyendo los lanzamientos, la conservación de dados, las combinaciones obtenidas, las puntuaciones acumuladas y el resultado final.</w:t>
      </w:r>
    </w:p>
    <w:p w:rsidR="00000000" w:rsidDel="00000000" w:rsidP="00000000" w:rsidRDefault="00000000" w:rsidRPr="00000000" w14:paraId="00000045">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46">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3.2. Resultados de Monte Carlo</w:t>
      </w:r>
    </w:p>
    <w:p w:rsidR="00000000" w:rsidDel="00000000" w:rsidP="00000000" w:rsidRDefault="00000000" w:rsidRPr="00000000" w14:paraId="00000047">
      <w:pPr>
        <w:spacing w:line="480" w:lineRule="auto"/>
        <w:ind w:hanging="709"/>
        <w:rPr>
          <w:rFonts w:ascii="Arial" w:cs="Arial" w:eastAsia="Arial" w:hAnsi="Arial"/>
        </w:rPr>
      </w:pPr>
      <w:r w:rsidDel="00000000" w:rsidR="00000000" w:rsidRPr="00000000">
        <w:rPr>
          <w:rFonts w:ascii="Arial" w:cs="Arial" w:eastAsia="Arial" w:hAnsi="Arial"/>
          <w:rtl w:val="0"/>
        </w:rPr>
        <w:t xml:space="preserve">La probabilidad teórica de obtener cinco dados iguales en un solo lanzamiento 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hanging="709"/>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420229526"/>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P(Yahtzee) = 1/1296 ≈ 0,07716 %.</w:t>
          </w:r>
        </w:sdtContent>
      </w:sdt>
    </w:p>
    <w:p w:rsidR="00000000" w:rsidDel="00000000" w:rsidP="00000000" w:rsidRDefault="00000000" w:rsidRPr="00000000" w14:paraId="00000049">
      <w:pPr>
        <w:spacing w:line="480" w:lineRule="auto"/>
        <w:ind w:hanging="709"/>
        <w:rPr>
          <w:rFonts w:ascii="Arial" w:cs="Arial" w:eastAsia="Arial" w:hAnsi="Arial"/>
        </w:rPr>
      </w:pPr>
      <w:r w:rsidDel="00000000" w:rsidR="00000000" w:rsidRPr="00000000">
        <w:rPr>
          <w:rFonts w:ascii="Arial" w:cs="Arial" w:eastAsia="Arial" w:hAnsi="Arial"/>
          <w:rtl w:val="0"/>
        </w:rPr>
        <w:t xml:space="preserve">Se comparan las frecuencias experimentales obtenidas con 1.000, 10.000, 100.000 y 1.000.000 de simulaciones.</w:t>
      </w:r>
    </w:p>
    <w:p w:rsidR="00000000" w:rsidDel="00000000" w:rsidP="00000000" w:rsidRDefault="00000000" w:rsidRPr="00000000" w14:paraId="0000004A">
      <w:pPr>
        <w:spacing w:line="480" w:lineRule="auto"/>
        <w:ind w:hanging="709"/>
        <w:rPr>
          <w:rFonts w:ascii="Arial" w:cs="Arial" w:eastAsia="Arial" w:hAnsi="Arial"/>
        </w:rPr>
      </w:pPr>
      <w:r w:rsidDel="00000000" w:rsidR="00000000" w:rsidRPr="00000000">
        <w:rPr>
          <w:rFonts w:ascii="Arial" w:cs="Arial" w:eastAsia="Arial" w:hAnsi="Arial"/>
          <w:rtl w:val="0"/>
        </w:rPr>
        <w:t xml:space="preserve">Los resultados deben incluir el número de éxitos, la frecuencia relativa y la diferencia absoluta frente al valor teórico. La interpretación se realiza con base en los datos realmente obtenidos durante la ejecución.</w:t>
      </w:r>
    </w:p>
    <w:p w:rsidR="00000000" w:rsidDel="00000000" w:rsidP="00000000" w:rsidRDefault="00000000" w:rsidRPr="00000000" w14:paraId="0000004B">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4C">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3.3. Análisis estadístico</w:t>
      </w:r>
    </w:p>
    <w:p w:rsidR="00000000" w:rsidDel="00000000" w:rsidP="00000000" w:rsidRDefault="00000000" w:rsidRPr="00000000" w14:paraId="0000004D">
      <w:pPr>
        <w:spacing w:line="480" w:lineRule="auto"/>
        <w:ind w:hanging="709"/>
        <w:rPr>
          <w:rFonts w:ascii="Arial" w:cs="Arial" w:eastAsia="Arial" w:hAnsi="Arial"/>
        </w:rPr>
      </w:pPr>
      <w:r w:rsidDel="00000000" w:rsidR="00000000" w:rsidRPr="00000000">
        <w:rPr>
          <w:rFonts w:ascii="Arial" w:cs="Arial" w:eastAsia="Arial" w:hAnsi="Arial"/>
          <w:rtl w:val="0"/>
        </w:rPr>
        <w:t xml:space="preserve">La comparación permite evaluar cómo cambia la estimación de la probabilidad al aumentar el número de experimentos. Se espera que las frecuencias relativas tiendan a aproximarse al valor teórico, aunque pueden existir fluctuaciones entre ejecuciones.</w:t>
      </w:r>
    </w:p>
    <w:p w:rsidR="00000000" w:rsidDel="00000000" w:rsidP="00000000" w:rsidRDefault="00000000" w:rsidRPr="00000000" w14:paraId="0000004E">
      <w:pPr>
        <w:spacing w:line="480" w:lineRule="auto"/>
        <w:ind w:hanging="709"/>
        <w:rPr>
          <w:rFonts w:ascii="Arial" w:cs="Arial" w:eastAsia="Arial" w:hAnsi="Arial"/>
        </w:rPr>
      </w:pPr>
      <w:r w:rsidDel="00000000" w:rsidR="00000000" w:rsidRPr="00000000">
        <w:rPr>
          <w:rFonts w:ascii="Arial" w:cs="Arial" w:eastAsia="Arial" w:hAnsi="Arial"/>
          <w:rtl w:val="0"/>
        </w:rPr>
        <w:t xml:space="preserve">Este comportamiento es consistente con la Teoría de los Grandes Números, siempre que los lanzamientos simulados sean independientes y mantengan la misma distribución de probabilidad.</w:t>
      </w:r>
    </w:p>
    <w:p w:rsidR="00000000" w:rsidDel="00000000" w:rsidP="00000000" w:rsidRDefault="00000000" w:rsidRPr="00000000" w14:paraId="0000004F">
      <w:pPr>
        <w:spacing w:line="480" w:lineRule="auto"/>
        <w:ind w:hanging="709"/>
        <w:rPr>
          <w:rFonts w:ascii="Arial" w:cs="Arial" w:eastAsia="Arial" w:hAnsi="Arial"/>
        </w:rPr>
      </w:pPr>
      <w:r w:rsidDel="00000000" w:rsidR="00000000" w:rsidRPr="00000000">
        <w:rPr>
          <w:rtl w:val="0"/>
        </w:rPr>
      </w:r>
    </w:p>
    <w:p w:rsidR="00000000" w:rsidDel="00000000" w:rsidP="00000000" w:rsidRDefault="00000000" w:rsidRPr="00000000" w14:paraId="00000050">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4. Conclusiones</w:t>
      </w:r>
    </w:p>
    <w:p w:rsidR="00000000" w:rsidDel="00000000" w:rsidP="00000000" w:rsidRDefault="00000000" w:rsidRPr="00000000" w14:paraId="00000051">
      <w:pPr>
        <w:spacing w:line="480" w:lineRule="auto"/>
        <w:ind w:hanging="709"/>
        <w:rPr>
          <w:rFonts w:ascii="Arial" w:cs="Arial" w:eastAsia="Arial" w:hAnsi="Arial"/>
        </w:rPr>
      </w:pPr>
      <w:r w:rsidDel="00000000" w:rsidR="00000000" w:rsidRPr="00000000">
        <w:rPr>
          <w:rFonts w:ascii="Arial" w:cs="Arial" w:eastAsia="Arial" w:hAnsi="Arial"/>
          <w:rtl w:val="0"/>
        </w:rPr>
        <w:t xml:space="preserve">El desarrollo del juego permite integrar conceptos de programación y probabilidad en una aplicación práctica. La separación del algoritmo en funciones facilita la comprensión, las pruebas y el mantenimiento del código.</w:t>
      </w:r>
    </w:p>
    <w:p w:rsidR="00000000" w:rsidDel="00000000" w:rsidP="00000000" w:rsidRDefault="00000000" w:rsidRPr="00000000" w14:paraId="00000052">
      <w:pPr>
        <w:spacing w:line="480" w:lineRule="auto"/>
        <w:ind w:hanging="709"/>
        <w:rPr>
          <w:rFonts w:ascii="Arial" w:cs="Arial" w:eastAsia="Arial" w:hAnsi="Arial"/>
        </w:rPr>
      </w:pPr>
      <w:r w:rsidDel="00000000" w:rsidR="00000000" w:rsidRPr="00000000">
        <w:rPr>
          <w:rFonts w:ascii="Arial" w:cs="Arial" w:eastAsia="Arial" w:hAnsi="Arial"/>
          <w:rtl w:val="0"/>
        </w:rPr>
        <w:t xml:space="preserve">La incorporación de dos jugadores, la conservación selectiva de dados y el registro de puntuaciones permite representar los principales componentes del juego clásico de Yahtzee, siempre que se implementen y validen todas las reglas definidas en el alcance.</w:t>
      </w:r>
    </w:p>
    <w:p w:rsidR="00000000" w:rsidDel="00000000" w:rsidP="00000000" w:rsidRDefault="00000000" w:rsidRPr="00000000" w14:paraId="00000053">
      <w:pPr>
        <w:spacing w:line="480" w:lineRule="auto"/>
        <w:ind w:hanging="709"/>
        <w:rPr>
          <w:rFonts w:ascii="Arial" w:cs="Arial" w:eastAsia="Arial" w:hAnsi="Arial"/>
        </w:rPr>
      </w:pPr>
      <w:r w:rsidDel="00000000" w:rsidR="00000000" w:rsidRPr="00000000">
        <w:rPr>
          <w:rFonts w:ascii="Arial" w:cs="Arial" w:eastAsia="Arial" w:hAnsi="Arial"/>
          <w:rtl w:val="0"/>
        </w:rPr>
        <w:t xml:space="preserve">La simulación de Monte Carlo permite estimar la probabilidad de obtener cinco dados iguales. Al aumentar el número de experimentos, se espera observar una aproximación de la frecuencia relativa al valor teórico de 1/1296.</w:t>
      </w:r>
    </w:p>
    <w:p w:rsidR="00000000" w:rsidDel="00000000" w:rsidP="00000000" w:rsidRDefault="00000000" w:rsidRPr="00000000" w14:paraId="00000054">
      <w:pPr>
        <w:spacing w:line="480" w:lineRule="auto"/>
        <w:ind w:hanging="709"/>
        <w:rPr>
          <w:rFonts w:ascii="Arial" w:cs="Arial" w:eastAsia="Arial" w:hAnsi="Arial"/>
        </w:rPr>
      </w:pPr>
      <w:r w:rsidDel="00000000" w:rsidR="00000000" w:rsidRPr="00000000">
        <w:rPr>
          <w:rFonts w:ascii="Arial" w:cs="Arial" w:eastAsia="Arial" w:hAnsi="Arial"/>
          <w:rtl w:val="0"/>
        </w:rPr>
        <w:t xml:space="preserve">Por último, el uso de GitHub facilita la trazabilidad de los cambios, la documentación de las mejoras y la presentación del proyecto. Los resultados definitivos deben respaldarse con las ejecuciones, las pruebas y las evidencias incorporadas al repositorio.</w:t>
      </w:r>
    </w:p>
    <w:p w:rsidR="00000000" w:rsidDel="00000000" w:rsidP="00000000" w:rsidRDefault="00000000" w:rsidRPr="00000000" w14:paraId="00000055">
      <w:pPr>
        <w:spacing w:line="480" w:lineRule="auto"/>
        <w:ind w:hanging="709"/>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spacing w:line="480" w:lineRule="auto"/>
        <w:ind w:hanging="709"/>
        <w:rPr>
          <w:rFonts w:ascii="Arial" w:cs="Arial" w:eastAsia="Arial" w:hAnsi="Arial"/>
          <w:b w:val="1"/>
          <w:bCs w:val="1"/>
        </w:rPr>
      </w:pPr>
      <w:r w:rsidDel="00000000" w:rsidR="00000000" w:rsidRPr="00000000">
        <w:rPr>
          <w:rFonts w:ascii="Arial" w:cs="Arial" w:eastAsia="Arial" w:hAnsi="Arial"/>
          <w:b w:val="1"/>
          <w:bCs w:val="1"/>
          <w:rtl w:val="0"/>
        </w:rPr>
        <w:t xml:space="preserve">5. Referencias bibliográficas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09"/>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Hasbro. (s. f.). Yahtzee Classic: Instrucciones del juego. </w:t>
      </w:r>
      <w:hyperlink r:id="rId7">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https://instructions.hasbro.com/en-ca/instruction/yahtzee-classic</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0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720" w:right="0" w:hanging="709"/>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Hasbro. (s. f.). Yahtzee: Instrucciones del juego [PDF]. </w:t>
      </w:r>
      <w:hyperlink r:id="rId8">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https://www.hasbro.com/common/instruct/yahtzee.pdf</w:t>
        </w:r>
      </w:hyperlink>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tl w:val="0"/>
        </w:rPr>
      </w:r>
    </w:p>
    <w:sectPr>
      <w:headerReference r:id="rId9" w:type="default"/>
      <w:headerReference r:id="rId10" w:type="firs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-1028699</wp:posOffset>
          </wp:positionH>
          <wp:positionV relativeFrom="paragraph">
            <wp:posOffset>-427354</wp:posOffset>
          </wp:positionV>
          <wp:extent cx="7101840" cy="9429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01840" cy="942975"/>
                  </a:xfrm>
                  <a:prstGeom prst="rect"/>
                  <a:ln/>
                </pic:spPr>
              </pic:pic>
            </a:graphicData>
          </a:graphic>
        </wp:anchor>
      </w:drawing>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-1028699</wp:posOffset>
          </wp:positionH>
          <wp:positionV relativeFrom="paragraph">
            <wp:posOffset>-419733</wp:posOffset>
          </wp:positionV>
          <wp:extent cx="7101840" cy="94297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01840" cy="942975"/>
                  </a:xfrm>
                  <a:prstGeom prst="rect"/>
                  <a:ln/>
                </pic:spPr>
              </pic:pic>
            </a:graphicData>
          </a:graphic>
        </wp:anchor>
      </w:drawing>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D359B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359B2"/>
  </w:style>
  <w:style w:type="paragraph" w:styleId="Piedepgina">
    <w:name w:val="footer"/>
    <w:basedOn w:val="Normal"/>
    <w:link w:val="PiedepginaCar"/>
    <w:uiPriority w:val="99"/>
    <w:unhideWhenUsed w:val="1"/>
    <w:rsid w:val="00D359B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359B2"/>
  </w:style>
  <w:style w:type="paragraph" w:styleId="Default" w:customStyle="1">
    <w:name w:val="Default"/>
    <w:rsid w:val="00203A74"/>
    <w:pPr>
      <w:autoSpaceDE w:val="0"/>
      <w:autoSpaceDN w:val="0"/>
      <w:adjustRightInd w:val="0"/>
      <w:spacing w:after="0" w:line="240" w:lineRule="auto"/>
    </w:pPr>
    <w:rPr>
      <w:rFonts w:ascii="Aptos" w:cs="Aptos" w:hAnsi="Aptos"/>
      <w:color w:val="000000"/>
      <w:sz w:val="24"/>
      <w:szCs w:val="24"/>
    </w:rPr>
  </w:style>
  <w:style w:type="character" w:styleId="Ttulo1Car" w:customStyle="1">
    <w:name w:val="Título 1 Car"/>
    <w:basedOn w:val="Fuentedeprrafopredeter"/>
    <w:link w:val="Ttulo1"/>
    <w:uiPriority w:val="9"/>
    <w:rsid w:val="00CF0C34"/>
    <w:rPr>
      <w:rFonts w:ascii="Times New Roman" w:cs="Times New Roman" w:eastAsia="Times New Roman" w:hAnsi="Times New Roman"/>
      <w:b w:val="1"/>
      <w:bCs w:val="1"/>
      <w:kern w:val="36"/>
      <w:sz w:val="48"/>
      <w:szCs w:val="48"/>
      <w:lang w:eastAsia="es-CO"/>
    </w:rPr>
  </w:style>
  <w:style w:type="paragraph" w:styleId="Prrafodelista">
    <w:name w:val="List Paragraph"/>
    <w:basedOn w:val="Normal"/>
    <w:uiPriority w:val="34"/>
    <w:qFormat w:val="1"/>
    <w:rsid w:val="004227F3"/>
    <w:pPr>
      <w:ind w:left="720"/>
      <w:contextualSpacing w:val="1"/>
    </w:pPr>
  </w:style>
  <w:style w:type="paragraph" w:styleId="NormalWeb">
    <w:name w:val="Normal (Web)"/>
    <w:basedOn w:val="Normal"/>
    <w:uiPriority w:val="99"/>
    <w:semiHidden w:val="1"/>
    <w:unhideWhenUsed w:val="1"/>
    <w:rsid w:val="00290457"/>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Hipervnculo">
    <w:name w:val="Hyperlink"/>
    <w:basedOn w:val="Fuentedeprrafopredeter"/>
    <w:uiPriority w:val="99"/>
    <w:unhideWhenUsed w:val="1"/>
    <w:rsid w:val="00AF4D27"/>
    <w:rPr>
      <w:color w:val="0563c1" w:themeColor="hyperlink"/>
      <w:u w:val="single"/>
    </w:rPr>
  </w:style>
  <w:style w:type="character" w:styleId="Mencinsinresolver">
    <w:name w:val="Unresolved Mention"/>
    <w:basedOn w:val="Fuentedeprrafopredeter"/>
    <w:uiPriority w:val="99"/>
    <w:semiHidden w:val="1"/>
    <w:unhideWhenUsed w:val="1"/>
    <w:rsid w:val="00AF4D2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nstructions.hasbro.com/en-ca/instruction/yahtzee-classic" TargetMode="External"/><Relationship Id="rId8" Type="http://schemas.openxmlformats.org/officeDocument/2006/relationships/hyperlink" Target="https://www.hasbro.com/common/instruct/yahtze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9/PAM1EWiRhbicNgG1EmvkVQw==">CgMxLjAaJAoBMBIfCh0IB0IZCgVBcmlhbBIQQXJpYWwgVW5pY29kZSBNUzgAciExV1ZGTUlYWlFtNXZwU19xa0xmNGNxeWRTQ2Q5Y2NKRU8=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2026-10-23T20:30:00Z</dcterms:created>
  <dc:creator>Patricia Herrera Cárdenas</dc:creator>
</cp:coreProperties>
</file>