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0.png" ContentType="image/png"/>
  <Override PartName="/word/media/rId74.png" ContentType="image/png"/>
  <Override PartName="/word/media/rId67.png" ContentType="image/png"/>
  <Override PartName="/word/media/rId89.png" ContentType="image/png"/>
  <Override PartName="/word/media/rId78.png" ContentType="image/png"/>
  <Override PartName="/word/media/rId81.png" ContentType="image/png"/>
  <Override PartName="/word/media/rId85.png" ContentType="image/png"/>
  <Override PartName="/word/media/rId94.png" ContentType="image/png"/>
  <Override PartName="/word/media/rId98.png" ContentType="image/png"/>
  <Override PartName="/word/media/rId102.png" ContentType="image/png"/>
  <Override PartName="/word/media/rId105.png" ContentType="image/png"/>
  <Override PartName="/word/media/rId109.png" ContentType="image/png"/>
  <Override PartName="/word/media/rId112.png" ContentType="image/png"/>
  <Override PartName="/word/media/rId54.png" ContentType="image/png"/>
  <Override PartName="/word/media/rId58.png" ContentType="image/png"/>
  <Override PartName="/word/media/rId46.png" ContentType="image/png"/>
  <Override PartName="/word/media/rId50.png" ContentType="image/png"/>
  <Override PartName="/word/media/rId21.png" ContentType="image/png"/>
  <Override PartName="/word/media/rId25.png" ContentType="image/png"/>
  <Override PartName="/word/media/rId29.png" ContentType="image/png"/>
  <Override PartName="/word/media/rId33.png" ContentType="image/png"/>
  <Override PartName="/word/media/rId37.png" ContentType="image/png"/>
  <Override PartName="/word/media/rId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OralGuard</w:t>
      </w:r>
      <w:r>
        <w:t xml:space="preserve"> </w:t>
      </w:r>
      <w:r>
        <w:t xml:space="preserve">/</w:t>
      </w:r>
      <w:r>
        <w:t xml:space="preserve"> </w:t>
      </w:r>
      <w:r>
        <w:t xml:space="preserve">MoralGuard</w:t>
      </w:r>
      <w:r>
        <w:t xml:space="preserve"> </w:t>
      </w:r>
      <w:r>
        <w:t xml:space="preserve">프로젝트</w:t>
      </w:r>
      <w:r>
        <w:t xml:space="preserve"> </w:t>
      </w:r>
      <w:r>
        <w:t xml:space="preserve">보고서</w:t>
      </w:r>
    </w:p>
    <w:p>
      <w:pPr>
        <w:pStyle w:val="Subtitle"/>
      </w:pPr>
      <w:r>
        <w:t xml:space="preserve">스마트</w:t>
      </w:r>
      <w:r>
        <w:t xml:space="preserve"> </w:t>
      </w:r>
      <w:r>
        <w:t xml:space="preserve">칫솔</w:t>
      </w:r>
      <w:r>
        <w:t xml:space="preserve"> </w:t>
      </w:r>
      <w:r>
        <w:t xml:space="preserve">센서</w:t>
      </w:r>
      <w:r>
        <w:t xml:space="preserve"> </w:t>
      </w:r>
      <w:r>
        <w:t xml:space="preserve">기반</w:t>
      </w:r>
      <w:r>
        <w:t xml:space="preserve"> </w:t>
      </w:r>
      <w:r>
        <w:t xml:space="preserve">구강</w:t>
      </w:r>
      <w:r>
        <w:t xml:space="preserve"> </w:t>
      </w:r>
      <w:r>
        <w:t xml:space="preserve">건강</w:t>
      </w:r>
      <w:r>
        <w:t xml:space="preserve"> </w:t>
      </w:r>
      <w:r>
        <w:t xml:space="preserve">지수(DOHI)</w:t>
      </w:r>
      <w:r>
        <w:t xml:space="preserve"> </w:t>
      </w:r>
      <w:r>
        <w:t xml:space="preserve">설계</w:t>
      </w:r>
      <w:r>
        <w:t xml:space="preserve"> </w:t>
      </w:r>
      <w:r>
        <w:t xml:space="preserve">및</w:t>
      </w:r>
      <w:r>
        <w:t xml:space="preserve"> </w:t>
      </w:r>
      <w:r>
        <w:t xml:space="preserve">300인</w:t>
      </w:r>
      <w:r>
        <w:t xml:space="preserve"> </w:t>
      </w:r>
      <w:r>
        <w:t xml:space="preserve">코호트</w:t>
      </w:r>
      <w:r>
        <w:t xml:space="preserve"> </w:t>
      </w:r>
      <w:r>
        <w:t xml:space="preserve">통계</w:t>
      </w:r>
      <w:r>
        <w:t xml:space="preserve"> </w:t>
      </w:r>
      <w:r>
        <w:t xml:space="preserve">분석</w:t>
      </w:r>
    </w:p>
    <w:p>
      <w:pPr>
        <w:pStyle w:val="Date"/>
      </w:pPr>
      <w:r>
        <w:t xml:space="preserve">2026-07-04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0" w:name="프로젝트-개요"/>
    <w:p>
      <w:pPr>
        <w:pStyle w:val="Heading1"/>
      </w:pPr>
      <w:r>
        <w:t xml:space="preserve">1. 프로젝트 개요</w:t>
      </w:r>
    </w:p>
    <w:p>
      <w:pPr>
        <w:pStyle w:val="FirstParagraph"/>
      </w:pPr>
      <w:r>
        <w:t xml:space="preserve">본 프로젝트는 스마트 칫솔 센서 데이터(압력·시간·커버리지)와 식이 행동 데이터(당 섭취 빈도·식품 산성도·양치 지연 시간)를 결합하여 하루 단위 구강 건강 지수인</w:t>
      </w:r>
      <w:r>
        <w:t xml:space="preserve"> </w:t>
      </w:r>
      <w:r>
        <w:rPr>
          <w:bCs/>
          <w:b/>
        </w:rPr>
        <w:t xml:space="preserve">DOHI(Daily Oral Health Index)</w:t>
      </w:r>
      <w:r>
        <w:t xml:space="preserve"> </w:t>
      </w:r>
      <w:r>
        <w:t xml:space="preserve">를 산출하고, 이를 두 가지 형태의 웹 애플리케이션으로 구현했다.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OralGuard Dashboard</w:t>
      </w:r>
      <w:r>
        <w:t xml:space="preserve">: 합성 300인 코호트(180일 평균 행동 데이터)를 생성·채점·분석하여 인구 집단 수준의 통계와 페르소나, 개입 시뮬레이션을 제공하는 6탭 대시보드.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MoralGuard 모바일 앱</w:t>
      </w:r>
      <w:r>
        <w:t xml:space="preserve">: 가상 환자</w:t>
      </w:r>
      <w:r>
        <w:t xml:space="preserve"> </w:t>
      </w:r>
      <w:r>
        <w:t xml:space="preserve">“</w:t>
      </w:r>
      <w:r>
        <w:t xml:space="preserve">민재</w:t>
      </w:r>
      <w:r>
        <w:t xml:space="preserve">”</w:t>
      </w:r>
      <w:r>
        <w:t xml:space="preserve"> </w:t>
      </w:r>
      <w:r>
        <w:t xml:space="preserve">1인의 180일 일별 데이터와 세션 단위 상세 데이터를 보여주는 스마트폰 프레임 프로토타입(Home/Trends/Calendar/Comparison 4탭). Comparison 탭은 OralGuard의 코호트 결과를 재사용해 개인 대 집단 비교를 제공한다.</w:t>
      </w:r>
    </w:p>
    <w:p>
      <w:pPr>
        <w:pStyle w:val="FirstParagraph"/>
      </w:pPr>
      <w:r>
        <w:t xml:space="preserve">두 앱은 동일한 DRS(탈회 위험도) · ARS(마모 위험도) · BES(양치 비효율도) · DOHI 채점 방법론을 공유하도록 통일되어 있다(세부 내용은 3장 참고).</w:t>
      </w:r>
    </w:p>
    <w:bookmarkEnd w:id="20"/>
    <w:bookmarkStart w:id="63" w:name="앱-설계-과정"/>
    <w:p>
      <w:pPr>
        <w:pStyle w:val="Heading1"/>
      </w:pPr>
      <w:r>
        <w:t xml:space="preserve">2. 앱 설계 과정</w:t>
      </w:r>
    </w:p>
    <w:bookmarkStart w:id="45" w:name="oralguard-dashboard-6탭"/>
    <w:p>
      <w:pPr>
        <w:pStyle w:val="Heading2"/>
      </w:pPr>
      <w:r>
        <w:t xml:space="preserve">2.1 OralGuard Dashboard (6탭)</w:t>
      </w:r>
    </w:p>
    <w:bookmarkStart w:id="24" w:name="탭-1-오늘의-dohi"/>
    <w:p>
      <w:pPr>
        <w:pStyle w:val="Heading3"/>
      </w:pPr>
      <w:r>
        <w:t xml:space="preserve">탭 1 — 오늘의 DOHI</w:t>
      </w:r>
    </w:p>
    <w:p>
      <w:pPr>
        <w:pStyle w:val="FirstParagraph"/>
      </w:pPr>
      <w:r>
        <w:t xml:space="preserve">코호트 평균에 가장 가까운 대표 환자(P0155) 1명을 뽑아, DOHI와 세 하위 지표(DRS·ARS·BES)를 반원 게이지로 보여준다. 각 게이지 아래에는 값에 따라 자동으로 바뀌는 한 줄 피드백 문구가 붙는다.</w:t>
      </w:r>
    </w:p>
    <w:p>
      <w:pPr>
        <w:pStyle w:val="CaptionedFigure"/>
      </w:pPr>
      <w:r>
        <w:drawing>
          <wp:inline>
            <wp:extent cx="5334000" cy="5926666"/>
            <wp:effectExtent b="0" l="0" r="0" t="0"/>
            <wp:docPr descr="오늘의 DOHI 탭" title="" id="22" name="Picture"/>
            <a:graphic>
              <a:graphicData uri="http://schemas.openxmlformats.org/drawingml/2006/picture">
                <pic:pic>
                  <pic:nvPicPr>
                    <pic:cNvPr descr="assets/oralguard_tab1_dohi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9266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오늘의 DOHI 탭</w:t>
      </w:r>
    </w:p>
    <w:bookmarkEnd w:id="24"/>
    <w:bookmarkStart w:id="28" w:name="탭-2-스테판-곡선-시뮬레이터"/>
    <w:p>
      <w:pPr>
        <w:pStyle w:val="Heading3"/>
      </w:pPr>
      <w:r>
        <w:t xml:space="preserve">탭 2 — 스테판 곡선 시뮬레이터</w:t>
      </w:r>
    </w:p>
    <w:p>
      <w:pPr>
        <w:pStyle w:val="FirstParagraph"/>
      </w:pPr>
      <w:r>
        <w:t xml:space="preserve">식사 횟수·식품 산성도·양치 지연 시간 슬라이더를 조작하면, 그날의 구강 pH 변화(스테판 곡선)를 실시간으로 다시 그리고 pH 5.5 미만으로 떨어진 누적 시간(탈회 위험 노출 시간)을 계산해 보여준다.</w:t>
      </w:r>
    </w:p>
    <w:p>
      <w:pPr>
        <w:pStyle w:val="CaptionedFigure"/>
      </w:pPr>
      <w:r>
        <w:drawing>
          <wp:inline>
            <wp:extent cx="5334000" cy="6169660"/>
            <wp:effectExtent b="0" l="0" r="0" t="0"/>
            <wp:docPr descr="스테판 곡선 시뮬레이터" title="" id="26" name="Picture"/>
            <a:graphic>
              <a:graphicData uri="http://schemas.openxmlformats.org/drawingml/2006/picture">
                <pic:pic>
                  <pic:nvPicPr>
                    <pic:cNvPr descr="assets/oralguard_tab2_stephan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1696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스테판 곡선 시뮬레이터</w:t>
      </w:r>
    </w:p>
    <w:bookmarkEnd w:id="28"/>
    <w:bookmarkStart w:id="32" w:name="탭-3-양치-분석"/>
    <w:p>
      <w:pPr>
        <w:pStyle w:val="Heading3"/>
      </w:pPr>
      <w:r>
        <w:t xml:space="preserve">탭 3 — 양치 분석</w:t>
      </w:r>
    </w:p>
    <w:p>
      <w:pPr>
        <w:pStyle w:val="FirstParagraph"/>
      </w:pPr>
      <w:r>
        <w:t xml:space="preserve">18구역(협측 8·교합면 4·설측 6) 커버리지를 색상 히트맵으로, 브러싱 압력을 게이지로, 양치 시간을 권장 구간(120~180초) 음영이 표시된 바 형태로 보여준다.</w:t>
      </w:r>
    </w:p>
    <w:p>
      <w:pPr>
        <w:pStyle w:val="CaptionedFigure"/>
      </w:pPr>
      <w:r>
        <w:drawing>
          <wp:inline>
            <wp:extent cx="5334000" cy="5926666"/>
            <wp:effectExtent b="0" l="0" r="0" t="0"/>
            <wp:docPr descr="양치 분석 탭" title="" id="30" name="Picture"/>
            <a:graphic>
              <a:graphicData uri="http://schemas.openxmlformats.org/drawingml/2006/picture">
                <pic:pic>
                  <pic:nvPicPr>
                    <pic:cNvPr descr="assets/oralguard_tab3_brushing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9266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양치 분석 탭</w:t>
      </w:r>
    </w:p>
    <w:bookmarkEnd w:id="32"/>
    <w:bookmarkStart w:id="36" w:name="탭-4-180일-궤적"/>
    <w:p>
      <w:pPr>
        <w:pStyle w:val="Heading3"/>
      </w:pPr>
      <w:r>
        <w:t xml:space="preserve">탭 4 — 180일 궤적</w:t>
      </w:r>
    </w:p>
    <w:p>
      <w:pPr>
        <w:pStyle w:val="FirstParagraph"/>
      </w:pPr>
      <w:r>
        <w:t xml:space="preserve">K-means로 분류한 4개 페르소나(과압마모형·당과다형·저위생형·균형형) 각각의 180일 DOHI 추이를 한 그래프에 겹쳐 보여주고, 아래에 페르소나별 평균 점수 카드를 나열한다.</w:t>
      </w:r>
    </w:p>
    <w:p>
      <w:pPr>
        <w:pStyle w:val="CaptionedFigure"/>
      </w:pPr>
      <w:r>
        <w:drawing>
          <wp:inline>
            <wp:extent cx="5334000" cy="6400800"/>
            <wp:effectExtent b="0" l="0" r="0" t="0"/>
            <wp:docPr descr="180일 궤적 탭" title="" id="34" name="Picture"/>
            <a:graphic>
              <a:graphicData uri="http://schemas.openxmlformats.org/drawingml/2006/picture">
                <pic:pic>
                  <pic:nvPicPr>
                    <pic:cNvPr descr="assets/oralguard_tab4_trajectory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400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180일 궤적 탭</w:t>
      </w:r>
    </w:p>
    <w:bookmarkEnd w:id="36"/>
    <w:bookmarkStart w:id="40" w:name="탭-5-코호트-비교"/>
    <w:p>
      <w:pPr>
        <w:pStyle w:val="Heading3"/>
      </w:pPr>
      <w:r>
        <w:t xml:space="preserve">탭 5 — 코호트 비교</w:t>
      </w:r>
    </w:p>
    <w:p>
      <w:pPr>
        <w:pStyle w:val="FirstParagraph"/>
      </w:pPr>
      <w:r>
        <w:t xml:space="preserve">대표 환자의 DOHI가 300명 코호트 중 어느 위치(백분위)에 있는지 히스토그램과 등급 분포 도넛 차트로 보여준다.</w:t>
      </w:r>
    </w:p>
    <w:p>
      <w:pPr>
        <w:pStyle w:val="CaptionedFigure"/>
      </w:pPr>
      <w:r>
        <w:drawing>
          <wp:inline>
            <wp:extent cx="5334000" cy="8842586"/>
            <wp:effectExtent b="0" l="0" r="0" t="0"/>
            <wp:docPr descr="코호트 비교 탭" title="" id="38" name="Picture"/>
            <a:graphic>
              <a:graphicData uri="http://schemas.openxmlformats.org/drawingml/2006/picture">
                <pic:pic>
                  <pic:nvPicPr>
                    <pic:cNvPr descr="assets/oralguard_tab5_comparison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8425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코호트 비교 탭</w:t>
      </w:r>
    </w:p>
    <w:bookmarkEnd w:id="40"/>
    <w:bookmarkStart w:id="44" w:name="탭-6-개입-시뮬레이션"/>
    <w:p>
      <w:pPr>
        <w:pStyle w:val="Heading3"/>
      </w:pPr>
      <w:r>
        <w:t xml:space="preserve">탭 6 — 개입 시뮬레이션</w:t>
      </w:r>
    </w:p>
    <w:p>
      <w:pPr>
        <w:pStyle w:val="FirstParagraph"/>
      </w:pPr>
      <w:r>
        <w:t xml:space="preserve">“</w:t>
      </w:r>
      <w:r>
        <w:t xml:space="preserve">양치 지연 30분 이상 대기(S1)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양치 시간 45초→120초(S2)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브러싱 압력 3N→1.5N(S3)</w:t>
      </w:r>
      <w:r>
        <w:t xml:space="preserve">”</w:t>
      </w:r>
      <w:r>
        <w:t xml:space="preserve"> </w:t>
      </w:r>
      <w:r>
        <w:t xml:space="preserve">세 가지 습관 개선 시나리오를 적용하기 전/후로 DRS·ARS·BES·DOHI가 어떻게 바뀌는지 막대그래프로 비교한다.</w:t>
      </w:r>
    </w:p>
    <w:p>
      <w:pPr>
        <w:pStyle w:val="CaptionedFigure"/>
      </w:pPr>
      <w:r>
        <w:drawing>
          <wp:inline>
            <wp:extent cx="5334000" cy="11142133"/>
            <wp:effectExtent b="0" l="0" r="0" t="0"/>
            <wp:docPr descr="개입 시뮬레이션 탭" title="" id="42" name="Picture"/>
            <a:graphic>
              <a:graphicData uri="http://schemas.openxmlformats.org/drawingml/2006/picture">
                <pic:pic>
                  <pic:nvPicPr>
                    <pic:cNvPr descr="assets/oralguard_tab6_intervention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11421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개입 시뮬레이션 탭</w:t>
      </w:r>
    </w:p>
    <w:bookmarkEnd w:id="44"/>
    <w:bookmarkEnd w:id="45"/>
    <w:bookmarkStart w:id="62" w:name="moralguard-모바일-앱-4탭"/>
    <w:p>
      <w:pPr>
        <w:pStyle w:val="Heading2"/>
      </w:pPr>
      <w:r>
        <w:t xml:space="preserve">2.2 MoralGuard 모바일 앱 (4탭)</w:t>
      </w:r>
    </w:p>
    <w:bookmarkStart w:id="49" w:name="home"/>
    <w:p>
      <w:pPr>
        <w:pStyle w:val="Heading3"/>
      </w:pPr>
      <w:r>
        <w:t xml:space="preserve">Home</w:t>
      </w:r>
    </w:p>
    <w:p>
      <w:pPr>
        <w:pStyle w:val="FirstParagraph"/>
      </w:pPr>
      <w:r>
        <w:t xml:space="preserve">오늘 하루의 종합 DOHI, 양치 압력·구강 pH·커버리지 요약, 최근 세션의 압력 변화 그래프를 한 화면에 보여준다.</w:t>
      </w:r>
    </w:p>
    <w:p>
      <w:pPr>
        <w:pStyle w:val="CaptionedFigure"/>
      </w:pPr>
      <w:r>
        <w:drawing>
          <wp:inline>
            <wp:extent cx="5003800" cy="10820400"/>
            <wp:effectExtent b="0" l="0" r="0" t="0"/>
            <wp:docPr descr="Home 탭" title="" id="47" name="Picture"/>
            <a:graphic>
              <a:graphicData uri="http://schemas.openxmlformats.org/drawingml/2006/picture">
                <pic:pic>
                  <pic:nvPicPr>
                    <pic:cNvPr descr="assets/moralguard_home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03800" cy="1082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Home 탭</w:t>
      </w:r>
    </w:p>
    <w:bookmarkEnd w:id="49"/>
    <w:bookmarkStart w:id="53" w:name="trends"/>
    <w:p>
      <w:pPr>
        <w:pStyle w:val="Heading3"/>
      </w:pPr>
      <w:r>
        <w:t xml:space="preserve">Trends</w:t>
      </w:r>
    </w:p>
    <w:p>
      <w:pPr>
        <w:pStyle w:val="FirstParagraph"/>
      </w:pPr>
      <w:r>
        <w:t xml:space="preserve">두 개의 실제 브러싱 세션(07:12, 22:41)을 선택해 압력·pH·커버리지 상세 그래프와 DOHI 산출 공식의 단계별 계산 과정을 그대로 노출한다.</w:t>
      </w:r>
    </w:p>
    <w:p>
      <w:pPr>
        <w:pStyle w:val="CaptionedFigure"/>
      </w:pPr>
      <w:r>
        <w:drawing>
          <wp:inline>
            <wp:extent cx="5003800" cy="10820400"/>
            <wp:effectExtent b="0" l="0" r="0" t="0"/>
            <wp:docPr descr="Trends 탭" title="" id="51" name="Picture"/>
            <a:graphic>
              <a:graphicData uri="http://schemas.openxmlformats.org/drawingml/2006/picture">
                <pic:pic>
                  <pic:nvPicPr>
                    <pic:cNvPr descr="assets/moralguard_trends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03800" cy="1082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Trends 탭</w:t>
      </w:r>
    </w:p>
    <w:bookmarkEnd w:id="53"/>
    <w:bookmarkStart w:id="57" w:name="calendar"/>
    <w:p>
      <w:pPr>
        <w:pStyle w:val="Heading3"/>
      </w:pPr>
      <w:r>
        <w:t xml:space="preserve">Calendar</w:t>
      </w:r>
    </w:p>
    <w:p>
      <w:pPr>
        <w:pStyle w:val="FirstParagraph"/>
      </w:pPr>
      <w:r>
        <w:t xml:space="preserve">월별 캘린더에 등급별 색상 점을 표시하고, 날짜를 클릭하면 그날의 DRS·ARS·BES·DOHI 요약을 보여준다.</w:t>
      </w:r>
    </w:p>
    <w:p>
      <w:pPr>
        <w:pStyle w:val="CaptionedFigure"/>
      </w:pPr>
      <w:r>
        <w:drawing>
          <wp:inline>
            <wp:extent cx="5003800" cy="10820400"/>
            <wp:effectExtent b="0" l="0" r="0" t="0"/>
            <wp:docPr descr="Calendar 탭" title="" id="55" name="Picture"/>
            <a:graphic>
              <a:graphicData uri="http://schemas.openxmlformats.org/drawingml/2006/picture">
                <pic:pic>
                  <pic:nvPicPr>
                    <pic:cNvPr descr="assets/moralguard_calendar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03800" cy="1082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Calendar 탭</w:t>
      </w:r>
    </w:p>
    <w:bookmarkEnd w:id="57"/>
    <w:bookmarkStart w:id="61" w:name="comparison"/>
    <w:p>
      <w:pPr>
        <w:pStyle w:val="Heading3"/>
      </w:pPr>
      <w:r>
        <w:t xml:space="preserve">Comparison</w:t>
      </w:r>
    </w:p>
    <w:p>
      <w:pPr>
        <w:pStyle w:val="FirstParagraph"/>
      </w:pPr>
      <w:r>
        <w:t xml:space="preserve">민재 개인의 180일 궤적을 OralGuard의 4개 페르소나 궤적과 겹쳐 그리고, 300명 코호트 분포 내 위치와 개입 시뮬레이션까지 한 화면에서 이어서 보여준다.</w:t>
      </w:r>
    </w:p>
    <w:p>
      <w:pPr>
        <w:pStyle w:val="CaptionedFigure"/>
      </w:pPr>
      <w:r>
        <w:drawing>
          <wp:inline>
            <wp:extent cx="5003800" cy="10820400"/>
            <wp:effectExtent b="0" l="0" r="0" t="0"/>
            <wp:docPr descr="Comparison 탭" title="" id="59" name="Picture"/>
            <a:graphic>
              <a:graphicData uri="http://schemas.openxmlformats.org/drawingml/2006/picture">
                <pic:pic>
                  <pic:nvPicPr>
                    <pic:cNvPr descr="assets/moralguard_comparison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03800" cy="1082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Comparison 탭</w:t>
      </w:r>
    </w:p>
    <w:bookmarkEnd w:id="61"/>
    <w:bookmarkEnd w:id="62"/>
    <w:bookmarkEnd w:id="63"/>
    <w:bookmarkStart w:id="66" w:name="데이터-및-채점-방법론"/>
    <w:p>
      <w:pPr>
        <w:pStyle w:val="Heading1"/>
      </w:pPr>
      <w:r>
        <w:t xml:space="preserve">3. 데이터 및 채점 방법론</w:t>
      </w:r>
    </w:p>
    <w:bookmarkStart w:id="64" w:name="코호트-생성"/>
    <w:p>
      <w:pPr>
        <w:pStyle w:val="Heading2"/>
      </w:pPr>
      <w:r>
        <w:t xml:space="preserve">3.1 코호트 생성</w:t>
      </w:r>
    </w:p>
    <w:p>
      <w:pPr>
        <w:pStyle w:val="FirstParagraph"/>
      </w:pPr>
      <w:r>
        <w:rPr>
          <w:rStyle w:val="VerbatimChar"/>
        </w:rPr>
        <w:t xml:space="preserve">numpy</w:t>
      </w:r>
      <w:r>
        <w:t xml:space="preserve"> </w:t>
      </w:r>
      <w:r>
        <w:t xml:space="preserve">정규분포/범주분포 기반으로 300명의 180일 평균 행동 데이터(양치 시간·압력·빈도, 3영역 커버리지, 당 섭취 빈도, 식품 유형, 양치 지연 시간, 나이, 기저 ICDAS 점수)를 생성한다(시드 고정,</w:t>
      </w:r>
      <w:r>
        <w:t xml:space="preserve"> </w:t>
      </w:r>
      <w:r>
        <w:rPr>
          <w:rStyle w:val="VerbatimChar"/>
        </w:rPr>
        <w:t xml:space="preserve">scripts/generate_cohort.py</w:t>
      </w:r>
      <w:r>
        <w:t xml:space="preserve">).</w:t>
      </w:r>
    </w:p>
    <w:bookmarkEnd w:id="64"/>
    <w:bookmarkStart w:id="65" w:name="session-first-채점-알고리즘"/>
    <w:p>
      <w:pPr>
        <w:pStyle w:val="Heading2"/>
      </w:pPr>
      <w:r>
        <w:t xml:space="preserve">3.2 Session-first 채점 알고리즘</w:t>
      </w:r>
    </w:p>
    <w:p>
      <w:pPr>
        <w:pStyle w:val="FirstParagraph"/>
      </w:pPr>
      <w:r>
        <w:t xml:space="preserve">MoralGuard 모바일 앱에서 먼저 설계한 세션 단위 알고리즘을 OralGuard 300인 코호트에도 동일하게 이식했다(이전에는 코호트 파이프라인이 더 단순한 일 단위 근사식을 쓰고 있었음).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DRS (탈회 위험도)</w:t>
      </w:r>
      <w:r>
        <w:t xml:space="preserve">: 그 사람의 식품 유형·당 섭취 빈도로 하루치 스테판 곡선 pH 궤적을 직접 시뮬레이션하여, pH 5.5 미만으로 떨어진 실제 누적 시간을 200분 기준으로 정규화.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ARS/BES (마모 위험도/양치 비효율도)</w:t>
      </w:r>
      <w:r>
        <w:t xml:space="preserve">: 하루 브러싱 횟수만큼의 개별 세션을 각각 시뮬레이션(그 사람의 평균 압력·시간·커버리지 주변에 노이즈를 부여)하고, 세션별 점수를 평균하여 산출. 압력-위험 곡선은 0N부터 완만히 증가하다 3.0N·3.9N을 기점으로 급격히 가팔라지는 구간별 곡선을 사용.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DOHI</w:t>
      </w:r>
      <w:r>
        <w:t xml:space="preserve">:</w:t>
      </w:r>
      <w:r>
        <w:t xml:space="preserve"> </w:t>
      </w:r>
      <w:r>
        <w:rPr>
          <w:rStyle w:val="VerbatimChar"/>
        </w:rPr>
        <w:t xml:space="preserve">100 − (0.45×DRS + 0.25×ARS + 0.30×BES)</w:t>
      </w:r>
      <w:r>
        <w:t xml:space="preserve"> </w:t>
      </w:r>
      <w:r>
        <w:t xml:space="preserve">(BES는 DRS·ARS와 동일하게</w:t>
      </w:r>
      <w:r>
        <w:t xml:space="preserve"> </w:t>
      </w:r>
      <w:r>
        <w:t xml:space="preserve">“</w:t>
      </w:r>
      <w:r>
        <w:t xml:space="preserve">높을수록 나쁨</w:t>
      </w:r>
      <w:r>
        <w:t xml:space="preserve">”</w:t>
      </w:r>
      <w:r>
        <w:t xml:space="preserve"> </w:t>
      </w:r>
      <w:r>
        <w:t xml:space="preserve">스케일이므로 별도 반전 없이 그대로 가중합).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ICDAS 진행 시뮬레이션</w:t>
      </w:r>
      <w:r>
        <w:t xml:space="preserve">: 등급(Excellent/Good/Fair/Poor)별로 다른 확률(2%/8%/20%/45%)의 베르누이 시행으로 180일 후 우식 진행 여부(</w:t>
      </w:r>
      <w:r>
        <w:rPr>
          <w:rStyle w:val="VerbatimChar"/>
        </w:rPr>
        <w:t xml:space="preserve">progressed</w:t>
      </w:r>
      <w:r>
        <w:t xml:space="preserve">)를 부여 — 이는 회귀분석·ROC-AUC 평가의 정답(y) 변수로 쓰인다.</w:t>
      </w:r>
    </w:p>
    <w:p>
      <w:pPr>
        <w:pStyle w:val="FirstParagraph"/>
      </w:pPr>
      <w:r>
        <w:t xml:space="preserve">이 변경으로 이전에는 298/300명이 ARS=0으로 몰려 있던 문제(구 채점식의 압력 임계값이 2.5N 이하를 전부 0으로 처리)가 해소되어, ARS가 실제 변별력 있는 분포(평균 9.2, 표준편차 5.7)를 갖게 되었다.</w:t>
      </w:r>
    </w:p>
    <w:bookmarkEnd w:id="65"/>
    <w:bookmarkEnd w:id="66"/>
    <w:bookmarkStart w:id="93" w:name="코호트-분석-결과-전체-대시보드-파이프라인"/>
    <w:p>
      <w:pPr>
        <w:pStyle w:val="Heading1"/>
      </w:pPr>
      <w:r>
        <w:t xml:space="preserve">4. 코호트 분석 결과 (전체 대시보드 파이프라인)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N = 300, DOHI 평균 77.33 (표준편차 5.83)</w:t>
      </w:r>
    </w:p>
    <w:p>
      <w:pPr>
        <w:numPr>
          <w:ilvl w:val="0"/>
          <w:numId w:val="1003"/>
        </w:numPr>
        <w:pStyle w:val="Compact"/>
      </w:pPr>
      <w:r>
        <w:t xml:space="preserve">등급 분포: Good 218명(72.7%) · Fair 79명(26.3%) · Poor 3명(1.0%) · Excellent 0명 — BES가 구조적으로 30점 이하로 잘 내려가지 않아 코호트/민재 개인 데이터 모두에서 Excellent 등급은 나타나지 않았다(포팅 이전 값이 아니라 알고리즘 자체의 구조적 특성).</w:t>
      </w:r>
    </w:p>
    <w:p>
      <w:pPr>
        <w:numPr>
          <w:ilvl w:val="0"/>
          <w:numId w:val="1003"/>
        </w:numPr>
        <w:pStyle w:val="Compact"/>
      </w:pPr>
      <w:r>
        <w:t xml:space="preserve">ICDAS 진행률: 전체 13.0%, 등급별로는 Good 8.26% → Fair 24.05% → Poor 66.67%로 단조 증가(등급이 실제 임상 결과와 잘 대응됨을 시사).</w:t>
      </w:r>
    </w:p>
    <w:p>
      <w:pPr>
        <w:pStyle w:val="CaptionedFigure"/>
      </w:pPr>
      <w:r>
        <w:drawing>
          <wp:inline>
            <wp:extent cx="5334000" cy="2182090"/>
            <wp:effectExtent b="0" l="0" r="0" t="0"/>
            <wp:docPr descr="DOHI 분포 및 등급 분포" title="" id="68" name="Picture"/>
            <a:graphic>
              <a:graphicData uri="http://schemas.openxmlformats.org/drawingml/2006/picture">
                <pic:pic>
                  <pic:nvPicPr>
                    <pic:cNvPr descr="../figures/dohi_distribution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820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DOHI 분포 및 등급 분포</w:t>
      </w:r>
    </w:p>
    <w:bookmarkStart w:id="73" w:name="상관관계"/>
    <w:p>
      <w:pPr>
        <w:pStyle w:val="Heading2"/>
      </w:pPr>
      <w:r>
        <w:t xml:space="preserve">4.1 상관관계</w:t>
      </w:r>
    </w:p>
    <w:p>
      <w:pPr>
        <w:pStyle w:val="CaptionedFigure"/>
      </w:pPr>
      <w:r>
        <w:drawing>
          <wp:inline>
            <wp:extent cx="5334000" cy="4445000"/>
            <wp:effectExtent b="0" l="0" r="0" t="0"/>
            <wp:docPr descr="상관관계 히트맵" title="" id="71" name="Picture"/>
            <a:graphic>
              <a:graphicData uri="http://schemas.openxmlformats.org/drawingml/2006/picture">
                <pic:pic>
                  <pic:nvPicPr>
                    <pic:cNvPr descr="../figures/correlation_heatmap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4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상관관계 히트맵</w:t>
      </w:r>
    </w:p>
    <w:bookmarkEnd w:id="73"/>
    <w:bookmarkStart w:id="77" w:name="구역-커버리지"/>
    <w:p>
      <w:pPr>
        <w:pStyle w:val="Heading2"/>
      </w:pPr>
      <w:r>
        <w:t xml:space="preserve">4.2 18구역 커버리지</w:t>
      </w:r>
    </w:p>
    <w:p>
      <w:pPr>
        <w:pStyle w:val="CaptionedFigure"/>
      </w:pPr>
      <w:r>
        <w:drawing>
          <wp:inline>
            <wp:extent cx="5334000" cy="2074333"/>
            <wp:effectExtent b="0" l="0" r="0" t="0"/>
            <wp:docPr descr="18구역 커버리지 히트맵" title="" id="75" name="Picture"/>
            <a:graphic>
              <a:graphicData uri="http://schemas.openxmlformats.org/drawingml/2006/picture">
                <pic:pic>
                  <pic:nvPicPr>
                    <pic:cNvPr descr="../figures/coverage_heatmap.pn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743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18구역 커버리지 히트맵</w:t>
      </w:r>
    </w:p>
    <w:bookmarkEnd w:id="77"/>
    <w:bookmarkStart w:id="84" w:name="k-means-페르소나-k4"/>
    <w:p>
      <w:pPr>
        <w:pStyle w:val="Heading2"/>
      </w:pPr>
      <w:r>
        <w:t xml:space="preserve">4.3 K-means 페르소나 (k=4)</w:t>
      </w:r>
    </w:p>
    <w:p>
      <w:pPr>
        <w:pStyle w:val="FirstParagraph"/>
      </w:pPr>
      <w:r>
        <w:t xml:space="preserve">k=3으로는 항상 DRS·ARS·BES 중 하나가 지배적인</w:t>
      </w:r>
      <w:r>
        <w:t xml:space="preserve"> </w:t>
      </w:r>
      <w:r>
        <w:t xml:space="preserve">“</w:t>
      </w:r>
      <w:r>
        <w:t xml:space="preserve">위험</w:t>
      </w:r>
      <w:r>
        <w:t xml:space="preserve">”</w:t>
      </w:r>
      <w:r>
        <w:t xml:space="preserve"> </w:t>
      </w:r>
      <w:r>
        <w:t xml:space="preserve">유형만 3개 나오고, 세 지표 모두 평균보다 낮은</w:t>
      </w:r>
      <w:r>
        <w:t xml:space="preserve"> </w:t>
      </w:r>
      <w:r>
        <w:t xml:space="preserve">“</w:t>
      </w:r>
      <w:r>
        <w:t xml:space="preserve">좋은 예시</w:t>
      </w:r>
      <w:r>
        <w:t xml:space="preserve">”</w:t>
      </w:r>
      <w:r>
        <w:t xml:space="preserve"> </w:t>
      </w:r>
      <w:r>
        <w:t xml:space="preserve">페르소나는 나타나지 않았다. k=4로 늘리자 실루엣 점수가 오히려 k=3(0.269)보다 k=4(0.283)에서 근소하게 높으면서, 동시에 세 위험 지표가 모두 평균 이하이고 DOHI가 가장 높은(82.85)</w:t>
      </w:r>
      <w:r>
        <w:t xml:space="preserve"> </w:t>
      </w:r>
      <w:r>
        <w:rPr>
          <w:bCs/>
          <w:b/>
        </w:rPr>
        <w:t xml:space="preserve">균형형</w:t>
      </w:r>
      <w:r>
        <w:t xml:space="preserve"> </w:t>
      </w:r>
      <w:r>
        <w:t xml:space="preserve">페르소나가 자연스럽게 분리되었다.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페르소나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DOHI 평균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DRS 평균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ARS 평균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BES 평균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과압마모형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72.67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17.83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51.80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당과다형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75.52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56.78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저위생형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77.89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65.34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균형형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82.85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45.35</w:t>
            </w:r>
          </w:p>
        </w:tc>
      </w:tr>
    </w:tbl>
    <w:p>
      <w:pPr>
        <w:pStyle w:val="CaptionedFigure"/>
      </w:pPr>
      <w:r>
        <w:drawing>
          <wp:inline>
            <wp:extent cx="5334000" cy="2182090"/>
            <wp:effectExtent b="0" l="0" r="0" t="0"/>
            <wp:docPr descr="K-means 페르소나 군집 및 평균 DOHI" title="" id="79" name="Picture"/>
            <a:graphic>
              <a:graphicData uri="http://schemas.openxmlformats.org/drawingml/2006/picture">
                <pic:pic>
                  <pic:nvPicPr>
                    <pic:cNvPr descr="../figures/persona_clusters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820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K-means 페르소나 군집 및 평균 DOHI</w:t>
      </w:r>
    </w:p>
    <w:p>
      <w:pPr>
        <w:pStyle w:val="CaptionedFigure"/>
      </w:pPr>
      <w:r>
        <w:drawing>
          <wp:inline>
            <wp:extent cx="5334000" cy="2667000"/>
            <wp:effectExtent b="0" l="0" r="0" t="0"/>
            <wp:docPr descr="페르소나별 180일 DOHI 궤적" title="" id="82" name="Picture"/>
            <a:graphic>
              <a:graphicData uri="http://schemas.openxmlformats.org/drawingml/2006/picture">
                <pic:pic>
                  <pic:nvPicPr>
                    <pic:cNvPr descr="../figures/persona_trajectories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페르소나별 180일 DOHI 궤적</w:t>
      </w:r>
    </w:p>
    <w:bookmarkEnd w:id="84"/>
    <w:bookmarkStart w:id="88" w:name="roc-auc-icdas-진행-예측력"/>
    <w:p>
      <w:pPr>
        <w:pStyle w:val="Heading2"/>
      </w:pPr>
      <w:r>
        <w:t xml:space="preserve">4.4 ROC-AUC (ICDAS 진행 예측력)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지표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AUC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DRS 단독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0.639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BES 단독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0.594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DOHI (종합)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0.721</w:t>
            </w:r>
          </w:p>
        </w:tc>
      </w:tr>
    </w:tbl>
    <w:p>
      <w:pPr>
        <w:pStyle w:val="BodyText"/>
      </w:pPr>
      <w:r>
        <w:t xml:space="preserve">세 지표를 결합한 DOHI가 개별 하위 지표보다 진행 여부를 더 잘 구분해내며, 이는 복합 지수 설계의 타당성을 뒷받침한다.</w:t>
      </w:r>
    </w:p>
    <w:p>
      <w:pPr>
        <w:pStyle w:val="CaptionedFigure"/>
      </w:pPr>
      <w:r>
        <w:drawing>
          <wp:inline>
            <wp:extent cx="5071462" cy="4610420"/>
            <wp:effectExtent b="0" l="0" r="0" t="0"/>
            <wp:docPr descr="ROC 곡선" title="" id="86" name="Picture"/>
            <a:graphic>
              <a:graphicData uri="http://schemas.openxmlformats.org/drawingml/2006/picture">
                <pic:pic>
                  <pic:nvPicPr>
                    <pic:cNvPr descr="../figures/roc_curves.png" id="87" name="Picture"/>
                    <pic:cNvPicPr>
                      <a:picLocks noChangeArrowheads="1"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71462" cy="46104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ROC 곡선</w:t>
      </w:r>
    </w:p>
    <w:bookmarkEnd w:id="88"/>
    <w:bookmarkStart w:id="92" w:name="개입-시뮬레이션"/>
    <w:p>
      <w:pPr>
        <w:pStyle w:val="Heading2"/>
      </w:pPr>
      <w:r>
        <w:t xml:space="preserve">4.5 개입 시뮬레이션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시나리오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내용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DOHI 변화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고산성 식품 후 양치 지연 0분→30분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+3.22점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양치 시간 45초→120초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+1.31점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브러싱 압력 3N→1.5N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+2.48점</w:t>
            </w:r>
          </w:p>
        </w:tc>
      </w:tr>
    </w:tbl>
    <w:p>
      <w:pPr>
        <w:pStyle w:val="BodyText"/>
      </w:pPr>
      <w:r>
        <w:t xml:space="preserve">세 습관 교정 중에서는</w:t>
      </w:r>
      <w:r>
        <w:t xml:space="preserve"> </w:t>
      </w:r>
      <w:r>
        <w:t xml:space="preserve">“</w:t>
      </w:r>
      <w:r>
        <w:t xml:space="preserve">산성 식품 섭취 직후 양치를 미루기</w:t>
      </w:r>
      <w:r>
        <w:t xml:space="preserve">”</w:t>
      </w:r>
      <w:r>
        <w:t xml:space="preserve">의 개선 효과(+3.22점)가 가장 크게 나타났다.</w:t>
      </w:r>
    </w:p>
    <w:p>
      <w:pPr>
        <w:pStyle w:val="CaptionedFigure"/>
      </w:pPr>
      <w:r>
        <w:drawing>
          <wp:inline>
            <wp:extent cx="5334000" cy="1846384"/>
            <wp:effectExtent b="0" l="0" r="0" t="0"/>
            <wp:docPr descr="개입 시뮬레이션 전/후 비교" title="" id="90" name="Picture"/>
            <a:graphic>
              <a:graphicData uri="http://schemas.openxmlformats.org/drawingml/2006/picture">
                <pic:pic>
                  <pic:nvPicPr>
                    <pic:cNvPr descr="../figures/intervention_effects.pn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463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개입 시뮬레이션 전/후 비교</w:t>
      </w:r>
    </w:p>
    <w:bookmarkEnd w:id="92"/>
    <w:bookmarkEnd w:id="93"/>
    <w:bookmarkStart w:id="116" w:name="통계-분석-심화-researchstatistical_analysis.py"/>
    <w:p>
      <w:pPr>
        <w:pStyle w:val="Heading1"/>
      </w:pPr>
      <w:r>
        <w:t xml:space="preserve">5. 통계 분석 심화 (research/statistical_analysis.py)</w:t>
      </w:r>
    </w:p>
    <w:p>
      <w:pPr>
        <w:pStyle w:val="FirstParagraph"/>
      </w:pPr>
      <w:r>
        <w:t xml:space="preserve">과제의 통계 분석 요건에 맞춰, 위 대시보드 파이프라인과는 별도로 300인 코호트에 대한 심화 통계 분석을 진행했다(앱에는 통합하지 않은 독립 연구용 스크립트).</w:t>
      </w:r>
    </w:p>
    <w:bookmarkStart w:id="97" w:name="상관계수-13개-변수"/>
    <w:p>
      <w:pPr>
        <w:pStyle w:val="Heading2"/>
      </w:pPr>
      <w:r>
        <w:t xml:space="preserve">5.1 상관계수 (13개 변수)</w:t>
      </w:r>
    </w:p>
    <w:p>
      <w:pPr>
        <w:pStyle w:val="FirstParagraph"/>
      </w:pPr>
      <w:r>
        <w:t xml:space="preserve">DOHI와 절댓값 기준 상관이 가장 큰 변수는</w:t>
      </w:r>
      <w:r>
        <w:t xml:space="preserve"> </w:t>
      </w:r>
      <w:r>
        <w:rPr>
          <w:bCs/>
          <w:b/>
        </w:rPr>
        <w:t xml:space="preserve">DRS (r=−0.820)</w:t>
      </w:r>
      <w:r>
        <w:t xml:space="preserve">, 그다음이</w:t>
      </w:r>
      <w:r>
        <w:t xml:space="preserve"> </w:t>
      </w:r>
      <w:r>
        <w:rPr>
          <w:bCs/>
          <w:b/>
        </w:rPr>
        <w:t xml:space="preserve">BES (r=−0.457)</w:t>
      </w:r>
      <w:r>
        <w:t xml:space="preserve">,</w:t>
      </w:r>
      <w:r>
        <w:t xml:space="preserve"> </w:t>
      </w:r>
      <w:r>
        <w:rPr>
          <w:bCs/>
          <w:b/>
        </w:rPr>
        <w:t xml:space="preserve">양치 빈도 (r=+0.429)</w:t>
      </w:r>
      <w:r>
        <w:t xml:space="preserve"> </w:t>
      </w:r>
      <w:r>
        <w:t xml:space="preserve">순이었다. 나이·양치 시간·교합면 커버리지는 DOHI와 거의 무관했다(|r|&lt;0.05).</w:t>
      </w:r>
    </w:p>
    <w:p>
      <w:pPr>
        <w:pStyle w:val="CaptionedFigure"/>
      </w:pPr>
      <w:r>
        <w:drawing>
          <wp:inline>
            <wp:extent cx="5334000" cy="4491789"/>
            <wp:effectExtent b="0" l="0" r="0" t="0"/>
            <wp:docPr descr="13변수 상관관계 히트맵" title="" id="95" name="Picture"/>
            <a:graphic>
              <a:graphicData uri="http://schemas.openxmlformats.org/drawingml/2006/picture">
                <pic:pic>
                  <pic:nvPicPr>
                    <pic:cNvPr descr="../research/figures/01_correlation_heatmap.png" id="96" name="Picture"/>
                    <pic:cNvPicPr>
                      <a:picLocks noChangeArrowheads="1" noChangeAspect="1"/>
                    </pic:cNvPicPr>
                  </pic:nvPicPr>
                  <pic:blipFill>
                    <a:blip r:embed="rId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917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13변수 상관관계 히트맵</w:t>
      </w:r>
    </w:p>
    <w:bookmarkEnd w:id="97"/>
    <w:bookmarkStart w:id="101" w:name="k-means-k-선택-검증"/>
    <w:p>
      <w:pPr>
        <w:pStyle w:val="Heading2"/>
      </w:pPr>
      <w:r>
        <w:t xml:space="preserve">5.2 K-means k 선택 검증</w:t>
      </w:r>
    </w:p>
    <w:p>
      <w:pPr>
        <w:pStyle w:val="FirstParagraph"/>
      </w:pPr>
      <w:r>
        <w:t xml:space="preserve">k=2~6에 대해 실루엣 점수를 비교한 결과 k=3(0.269)은 k=2(0.276)보다도 낮았고, k=4(0.283)·k=5(0.296)·k=6(0.302)로 갈수록 오히려 계속 높아지는 경향을 보였다. 이 결과가 이후 대시보드의 페르소나 수를 3에서 4로 조정하는 근거가 되었다(4.3절 참고).</w:t>
      </w:r>
    </w:p>
    <w:p>
      <w:pPr>
        <w:pStyle w:val="CaptionedFigure"/>
      </w:pPr>
      <w:r>
        <w:drawing>
          <wp:inline>
            <wp:extent cx="5334000" cy="2182090"/>
            <wp:effectExtent b="0" l="0" r="0" t="0"/>
            <wp:docPr descr="K-means k 선택 (elbow &amp; silhouette)" title="" id="99" name="Picture"/>
            <a:graphic>
              <a:graphicData uri="http://schemas.openxmlformats.org/drawingml/2006/picture">
                <pic:pic>
                  <pic:nvPicPr>
                    <pic:cNvPr descr="../research/figures/02_kmeans_k_selection.pn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820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K-means k 선택 (elbow &amp; silhouette)</w:t>
      </w:r>
    </w:p>
    <w:bookmarkEnd w:id="101"/>
    <w:bookmarkStart w:id="108" w:name="인구양치-빈도별-dohi-비교"/>
    <w:p>
      <w:pPr>
        <w:pStyle w:val="Heading2"/>
      </w:pPr>
      <w:r>
        <w:t xml:space="preserve">5.3 인구·양치 빈도별 DOHI 비교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연령대별</w:t>
      </w:r>
      <w:r>
        <w:t xml:space="preserve">: ANOVA F=2.344 (p=0.055), Kruskal-Wallis H=5.681 (p=0.224) — 두 검정 모두 유의하지 않음. 나이는 DOHI에 뚜렷한 영향을 주지 않는다.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양치 빈도별</w:t>
      </w:r>
      <w:r>
        <w:t xml:space="preserve">: ANOVA F=37.566 (p&lt;0.0001), Kruskal-Wallis H=67.771 (p&lt;0.0001) — 강하게 유의함. Tukey HSD 사후검정 결과 하루 1회 vs 2회(+5.46점), 1회 vs 3회(+7.75점), 2회 vs 3회(+2.29점) 모두 통계적으로 유의한 차이를 보였다(전부 p&lt;0.05).</w:t>
      </w:r>
    </w:p>
    <w:p>
      <w:pPr>
        <w:pStyle w:val="CaptionedFigure"/>
      </w:pPr>
      <w:r>
        <w:drawing>
          <wp:inline>
            <wp:extent cx="5334000" cy="2182090"/>
            <wp:effectExtent b="0" l="0" r="0" t="0"/>
            <wp:docPr descr="DOHI 그룹 비교 박스플롯" title="" id="103" name="Picture"/>
            <a:graphic>
              <a:graphicData uri="http://schemas.openxmlformats.org/drawingml/2006/picture">
                <pic:pic>
                  <pic:nvPicPr>
                    <pic:cNvPr descr="../research/figures/03_dohi_by_group.png" id="104" name="Picture"/>
                    <pic:cNvPicPr>
                      <a:picLocks noChangeArrowheads="1" noChangeAspect="1"/>
                    </pic:cNvPicPr>
                  </pic:nvPicPr>
                  <pic:blipFill>
                    <a:blip r:embed="rId1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820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DOHI 그룹 비교 박스플롯</w:t>
      </w:r>
    </w:p>
    <w:p>
      <w:pPr>
        <w:pStyle w:val="BodyText"/>
      </w:pPr>
      <w:r>
        <w:rPr>
          <w:bCs/>
          <w:b/>
        </w:rPr>
        <w:t xml:space="preserve">다중회귀분석</w:t>
      </w:r>
      <w:r>
        <w:t xml:space="preserve"> </w:t>
      </w:r>
      <w:r>
        <w:t xml:space="preserve">(DOHI ~ 나이 + 양치빈도 + 당섭취빈도 + 양치시간 + 압력 + 지연시간 + 3커버리지, R²=0.369, N=300)에서 유의한 예측 변수는: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변수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계수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p-value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양치빈도=2회 (기준 1회)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+4.79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&lt;0.0001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양치빈도=3회 (기준 1회)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+7.13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&lt;0.0001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당 섭취 빈도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−1.07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&lt;0.0001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브러싱 압력(N)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−2.31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&lt;0.0001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설측 커버리지(%)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&lt;0.0001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협측 커버리지(%)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</w:tr>
    </w:tbl>
    <w:p>
      <w:pPr>
        <w:pStyle w:val="CaptionedFigure"/>
      </w:pPr>
      <w:r>
        <w:drawing>
          <wp:inline>
            <wp:extent cx="5334000" cy="4191000"/>
            <wp:effectExtent b="0" l="0" r="0" t="0"/>
            <wp:docPr descr="회귀계수" title="" id="106" name="Picture"/>
            <a:graphic>
              <a:graphicData uri="http://schemas.openxmlformats.org/drawingml/2006/picture">
                <pic:pic>
                  <pic:nvPicPr>
                    <pic:cNvPr descr="../research/figures/03b_regression_coefficients.png" id="107" name="Picture"/>
                    <pic:cNvPicPr>
                      <a:picLocks noChangeArrowheads="1" noChangeAspect="1"/>
                    </pic:cNvPicPr>
                  </pic:nvPicPr>
                  <pic:blipFill>
                    <a:blip r:embed="rId1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91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회귀계수</w:t>
      </w:r>
    </w:p>
    <w:bookmarkEnd w:id="108"/>
    <w:bookmarkStart w:id="115" w:name="drs-공식-대안-비교-자체-제안-분석"/>
    <w:p>
      <w:pPr>
        <w:pStyle w:val="Heading2"/>
      </w:pPr>
      <w:r>
        <w:t xml:space="preserve">5.4 DRS 공식 대안 비교 (자체 제안 분석)</w:t>
      </w:r>
    </w:p>
    <w:p>
      <w:pPr>
        <w:pStyle w:val="FirstParagraph"/>
      </w:pPr>
      <w:r>
        <w:t xml:space="preserve">기존 DRS 계산 방식을 4가지 방식으로 바꿔가며 실제 임상 결과(</w:t>
      </w:r>
      <w:r>
        <w:rPr>
          <w:rStyle w:val="VerbatimChar"/>
        </w:rPr>
        <w:t xml:space="preserve">progressed</w:t>
      </w:r>
      <w:r>
        <w:t xml:space="preserve">, ICDAS 진행 여부)를 얼마나 잘 분리하는지 ROC-AUC·Cohen’s d·Kolmogorov-Smirnov로 비교했다.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697"/>
        <w:gridCol w:w="1697"/>
        <w:gridCol w:w="2262"/>
        <w:gridCol w:w="226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공식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설명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AUC(DRS 단독)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Cohen’s 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옛 선형 근사식(포팅 전 코호트 공식)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0.342 (작음)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실측 pH&lt;5.5 누적 시간(현재 코호트 공식과 동일 방식)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0.733 (중간)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실측 pH-AUC(깊이 가중)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0.669 (중간)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로지스틱 회귀 기반 위험도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0.697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0.788 (중간)</w:t>
            </w:r>
          </w:p>
        </w:tc>
      </w:tr>
    </w:tbl>
    <w:p>
      <w:pPr>
        <w:pStyle w:val="CaptionedFigure"/>
      </w:pPr>
      <w:r>
        <w:drawing>
          <wp:inline>
            <wp:extent cx="5334000" cy="4889500"/>
            <wp:effectExtent b="0" l="0" r="0" t="0"/>
            <wp:docPr descr="DRS 공식별 ROC 곡선" title="" id="110" name="Picture"/>
            <a:graphic>
              <a:graphicData uri="http://schemas.openxmlformats.org/drawingml/2006/picture">
                <pic:pic>
                  <pic:nvPicPr>
                    <pic:cNvPr descr="../research/figures/04a_drs_variant_roc.png" id="111" name="Picture"/>
                    <pic:cNvPicPr>
                      <a:picLocks noChangeArrowheads="1" noChangeAspect="1"/>
                    </pic:cNvPicPr>
                  </pic:nvPicPr>
                  <pic:blipFill>
                    <a:blip r:embed="rId1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889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DRS 공식별 ROC 곡선</w:t>
      </w:r>
    </w:p>
    <w:p>
      <w:pPr>
        <w:pStyle w:val="CaptionedFigure"/>
      </w:pPr>
      <w:r>
        <w:drawing>
          <wp:inline>
            <wp:extent cx="5334000" cy="1430666"/>
            <wp:effectExtent b="0" l="0" r="0" t="0"/>
            <wp:docPr descr="진행 여부에 따른 DRS 분포 비교" title="" id="113" name="Picture"/>
            <a:graphic>
              <a:graphicData uri="http://schemas.openxmlformats.org/drawingml/2006/picture">
                <pic:pic>
                  <pic:nvPicPr>
                    <pic:cNvPr descr="../research/figures/04b_drs_variant_distributions.png" id="114" name="Picture"/>
                    <pic:cNvPicPr>
                      <a:picLocks noChangeArrowheads="1" noChangeAspect="1"/>
                    </pic:cNvPicPr>
                  </pic:nvPicPr>
                  <pic:blipFill>
                    <a:blip r:embed="rId1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4306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진행 여부에 따른 DRS 분포 비교</w:t>
      </w:r>
    </w:p>
    <w:p>
      <w:pPr>
        <w:pStyle w:val="BodyText"/>
      </w:pPr>
      <w:r>
        <w:rPr>
          <w:bCs/>
          <w:b/>
        </w:rPr>
        <w:t xml:space="preserve">해석상 주의점</w:t>
      </w:r>
      <w:r>
        <w:t xml:space="preserve">: v4(로지스틱 회귀)는 같은 300명 데이터에 학습(fit)하고 같은 데이터로 평가한 in-sample 결과이므로, AUC가 가장 높게 나오는 것은</w:t>
      </w:r>
      <w:r>
        <w:t xml:space="preserve"> </w:t>
      </w:r>
      <w:r>
        <w:t xml:space="preserve">“</w:t>
      </w:r>
      <w:r>
        <w:t xml:space="preserve">더 우월한 공식</w:t>
      </w:r>
      <w:r>
        <w:t xml:space="preserve">”</w:t>
      </w:r>
      <w:r>
        <w:t xml:space="preserve">이어서가 아니라 지도학습의 당연한 결과다. 또한</w:t>
      </w:r>
      <w:r>
        <w:t xml:space="preserve"> </w:t>
      </w:r>
      <w:r>
        <w:rPr>
          <w:rStyle w:val="VerbatimChar"/>
        </w:rPr>
        <w:t xml:space="preserve">progressed</w:t>
      </w:r>
      <w:r>
        <w:t xml:space="preserve"> </w:t>
      </w:r>
      <w:r>
        <w:t xml:space="preserve">변수 자체가 이 코호트의 DOHI/DRS로부터 파생되었기 때문에(등급 → 진행확률 결정), v2 계열 공식이 실제 채점 로직과 방법론적으로 가장 가까워 약한 잔여 순환성이 남아있다. 따라서 이 비교는</w:t>
      </w:r>
      <w:r>
        <w:t xml:space="preserve"> </w:t>
      </w:r>
      <w:r>
        <w:t xml:space="preserve">“</w:t>
      </w:r>
      <w:r>
        <w:t xml:space="preserve">어느 공식이 정답인가</w:t>
      </w:r>
      <w:r>
        <w:t xml:space="preserve">”</w:t>
      </w:r>
      <w:r>
        <w:t xml:space="preserve">가 아니라</w:t>
      </w:r>
      <w:r>
        <w:t xml:space="preserve"> </w:t>
      </w:r>
      <w:r>
        <w:t xml:space="preserve">“</w:t>
      </w:r>
      <w:r>
        <w:t xml:space="preserve">DRS 공식 선택이 최종 결과에 얼마나 민감한가</w:t>
      </w:r>
      <w:r>
        <w:t xml:space="preserve">”</w:t>
      </w:r>
      <w:r>
        <w:t xml:space="preserve">를 보여주는 민감도 분석으로 해석하는 것이 적절하다.</w:t>
      </w:r>
    </w:p>
    <w:bookmarkEnd w:id="115"/>
    <w:bookmarkEnd w:id="116"/>
    <w:bookmarkStart w:id="117" w:name="결론-및-한계"/>
    <w:p>
      <w:pPr>
        <w:pStyle w:val="Heading1"/>
      </w:pPr>
      <w:r>
        <w:t xml:space="preserve">6. 결론 및 한계</w:t>
      </w:r>
    </w:p>
    <w:p>
      <w:pPr>
        <w:numPr>
          <w:ilvl w:val="0"/>
          <w:numId w:val="1005"/>
        </w:numPr>
        <w:pStyle w:val="Compact"/>
      </w:pPr>
      <w:r>
        <w:t xml:space="preserve">DOHI는 세 하위 지표를 결합함으로써 각 하위 지표 단독보다 임상 결과(ICDAS 진행)를 더 잘 예측했다(AUC 0.721 vs 0.594~0.639).</w:t>
      </w:r>
    </w:p>
    <w:p>
      <w:pPr>
        <w:numPr>
          <w:ilvl w:val="0"/>
          <w:numId w:val="1005"/>
        </w:numPr>
        <w:pStyle w:val="Compact"/>
      </w:pPr>
      <w:r>
        <w:t xml:space="preserve">양치 빈도는 DOHI에 가장 뚜렷하고 통계적으로 유의한 영향을 미치는 행동 변수였으며, 나이는 유의한 영향이 없었다.</w:t>
      </w:r>
    </w:p>
    <w:p>
      <w:pPr>
        <w:numPr>
          <w:ilvl w:val="0"/>
          <w:numId w:val="1005"/>
        </w:numPr>
        <w:pStyle w:val="Compact"/>
      </w:pPr>
      <w:r>
        <w:t xml:space="preserve">K-means 페르소나 분석은 세 가지 위험 유형(당과다·저위생·과압마모)뿐 아니라, 세 위험 지표가 모두 낮은 균형형 유형까지 함께 제시함으로써 비교 대상으로서의 완결성을 갖추었다.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한계 1 (순환성)</w:t>
      </w:r>
      <w:r>
        <w:t xml:space="preserve">:</w:t>
      </w:r>
      <w:r>
        <w:t xml:space="preserve"> </w:t>
      </w:r>
      <w:r>
        <w:rPr>
          <w:rStyle w:val="VerbatimChar"/>
        </w:rPr>
        <w:t xml:space="preserve">progressed</w:t>
      </w:r>
      <w:r>
        <w:t xml:space="preserve">(우식 진행 여부)가 코호트 자체의 DOHI/등급으로부터 파생된 변수이기 때문에, DRS 공식 비교 결과를</w:t>
      </w:r>
      <w:r>
        <w:t xml:space="preserve"> </w:t>
      </w:r>
      <w:r>
        <w:t xml:space="preserve">“</w:t>
      </w:r>
      <w:r>
        <w:t xml:space="preserve">실제 임상적 우수성</w:t>
      </w:r>
      <w:r>
        <w:t xml:space="preserve">”</w:t>
      </w:r>
      <w:r>
        <w:t xml:space="preserve">의 증거로 확대 해석해서는 안 된다.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한계 2 (구조적 상한)</w:t>
      </w:r>
      <w:r>
        <w:t xml:space="preserve">: 현재 채점식에서는 BES가 이론상 30점 이하로 잘 내려가지 않아</w:t>
      </w:r>
      <w:r>
        <w:t xml:space="preserve"> </w:t>
      </w:r>
      <w:r>
        <w:t xml:space="preserve">“</w:t>
      </w:r>
      <w:r>
        <w:t xml:space="preserve">Excellent</w:t>
      </w:r>
      <w:r>
        <w:t xml:space="preserve">”</w:t>
      </w:r>
      <w:r>
        <w:t xml:space="preserve"> </w:t>
      </w:r>
      <w:r>
        <w:t xml:space="preserve">등급이 이 코호트/민재 개인 데이터 모두에서 나타나지 않았다. 이는 향후 BES 정규화 기준 재보정이 필요할 수 있음을 시사한다.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한계 3 (스케일 압축)</w:t>
      </w:r>
      <w:r>
        <w:t xml:space="preserve">: DRS 공식 비교에서 실측 시뮬레이션 기반 변형(v2·v3)은 옛 선형 근사식(v1)보다 0-100 스케일을 더 좁게 사용하는데, 이는 정규화 상한(200분/AUC 상한)이 새 공식의 실제 달성 가능 범위에 맞춰 재보정되지 않았기 때문일 수 있다.</w:t>
      </w:r>
    </w:p>
    <w:bookmarkEnd w:id="11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ko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70" Target="media/rId70.png" /><Relationship Type="http://schemas.openxmlformats.org/officeDocument/2006/relationships/image" Id="rId74" Target="media/rId74.png" /><Relationship Type="http://schemas.openxmlformats.org/officeDocument/2006/relationships/image" Id="rId67" Target="media/rId67.png" /><Relationship Type="http://schemas.openxmlformats.org/officeDocument/2006/relationships/image" Id="rId89" Target="media/rId89.png" /><Relationship Type="http://schemas.openxmlformats.org/officeDocument/2006/relationships/image" Id="rId78" Target="media/rId78.png" /><Relationship Type="http://schemas.openxmlformats.org/officeDocument/2006/relationships/image" Id="rId81" Target="media/rId81.png" /><Relationship Type="http://schemas.openxmlformats.org/officeDocument/2006/relationships/image" Id="rId85" Target="media/rId85.png" /><Relationship Type="http://schemas.openxmlformats.org/officeDocument/2006/relationships/image" Id="rId94" Target="media/rId94.png" /><Relationship Type="http://schemas.openxmlformats.org/officeDocument/2006/relationships/image" Id="rId98" Target="media/rId98.png" /><Relationship Type="http://schemas.openxmlformats.org/officeDocument/2006/relationships/image" Id="rId102" Target="media/rId102.png" /><Relationship Type="http://schemas.openxmlformats.org/officeDocument/2006/relationships/image" Id="rId105" Target="media/rId105.png" /><Relationship Type="http://schemas.openxmlformats.org/officeDocument/2006/relationships/image" Id="rId109" Target="media/rId109.png" /><Relationship Type="http://schemas.openxmlformats.org/officeDocument/2006/relationships/image" Id="rId112" Target="media/rId112.png" /><Relationship Type="http://schemas.openxmlformats.org/officeDocument/2006/relationships/image" Id="rId54" Target="media/rId54.png" /><Relationship Type="http://schemas.openxmlformats.org/officeDocument/2006/relationships/image" Id="rId58" Target="media/rId58.png" /><Relationship Type="http://schemas.openxmlformats.org/officeDocument/2006/relationships/image" Id="rId46" Target="media/rId46.png" /><Relationship Type="http://schemas.openxmlformats.org/officeDocument/2006/relationships/image" Id="rId50" Target="media/rId50.png" /><Relationship Type="http://schemas.openxmlformats.org/officeDocument/2006/relationships/image" Id="rId21" Target="media/rId21.png" /><Relationship Type="http://schemas.openxmlformats.org/officeDocument/2006/relationships/image" Id="rId25" Target="media/rId25.png" /><Relationship Type="http://schemas.openxmlformats.org/officeDocument/2006/relationships/image" Id="rId29" Target="media/rId29.png" /><Relationship Type="http://schemas.openxmlformats.org/officeDocument/2006/relationships/image" Id="rId33" Target="media/rId33.png" /><Relationship Type="http://schemas.openxmlformats.org/officeDocument/2006/relationships/image" Id="rId37" Target="media/rId37.png" /><Relationship Type="http://schemas.openxmlformats.org/officeDocument/2006/relationships/image" Id="rId41" Target="media/rId4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OralGuard / MoralGuard 프로젝트 보고서</dc:title>
  <dc:creator/>
  <dc:language>ko</dc:language>
  <cp:keywords/>
  <dcterms:created xsi:type="dcterms:W3CDTF">2026-07-04T13:56:09Z</dcterms:created>
  <dcterms:modified xsi:type="dcterms:W3CDTF">2026-07-04T13:56:09Z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2026-07-04</vt:lpwstr>
  </property>
  <property fmtid="{D5CDD505-2E9C-101B-9397-08002B2CF9AE}" pid="3" name="subtitle">
    <vt:lpwstr>스마트 칫솔 센서 기반 구강 건강 지수(DOHI) 설계 및 300인 코호트 통계 분석</vt:lpwstr>
  </property>
</Properties>
</file>