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35.png" ContentType="image/png"/>
  <Override PartName="/word/media/rId31.png" ContentType="image/png"/>
  <Override PartName="/word/media/rId52.png" ContentType="image/png"/>
  <Override PartName="/word/media/rId56.png" ContentType="image/png"/>
  <Override PartName="/word/media/rId41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MoralGuard</w:t>
      </w:r>
      <w:r>
        <w:t xml:space="preserve"> </w:t>
      </w:r>
      <w:r>
        <w:t xml:space="preserve">프로젝트</w:t>
      </w:r>
      <w:r>
        <w:t xml:space="preserve"> </w:t>
      </w:r>
      <w:r>
        <w:t xml:space="preserve">보고서</w:t>
      </w:r>
    </w:p>
    <w:p>
      <w:pPr>
        <w:pStyle w:val="Subtitle"/>
      </w:pPr>
      <w:r>
        <w:t xml:space="preserve">구강</w:t>
      </w:r>
      <w:r>
        <w:t xml:space="preserve"> </w:t>
      </w:r>
      <w:r>
        <w:t xml:space="preserve">건강</w:t>
      </w:r>
      <w:r>
        <w:t xml:space="preserve"> </w:t>
      </w:r>
      <w:r>
        <w:t xml:space="preserve">지수(DOHI)</w:t>
      </w:r>
      <w:r>
        <w:t xml:space="preserve"> </w:t>
      </w:r>
      <w:r>
        <w:t xml:space="preserve">이론적</w:t>
      </w:r>
      <w:r>
        <w:t xml:space="preserve"> </w:t>
      </w:r>
      <w:r>
        <w:t xml:space="preserve">근거,</w:t>
      </w:r>
      <w:r>
        <w:t xml:space="preserve"> </w:t>
      </w:r>
      <w:r>
        <w:t xml:space="preserve">통계적</w:t>
      </w:r>
      <w:r>
        <w:t xml:space="preserve"> </w:t>
      </w:r>
      <w:r>
        <w:t xml:space="preserve">타당성</w:t>
      </w:r>
      <w:r>
        <w:t xml:space="preserve"> </w:t>
      </w:r>
      <w:r>
        <w:t xml:space="preserve">검증,</w:t>
      </w:r>
      <w:r>
        <w:t xml:space="preserve"> </w:t>
      </w:r>
      <w:r>
        <w:t xml:space="preserve">그리고</w:t>
      </w:r>
      <w:r>
        <w:t xml:space="preserve"> </w:t>
      </w:r>
      <w:r>
        <w:t xml:space="preserve">앱</w:t>
      </w:r>
      <w:r>
        <w:t xml:space="preserve"> </w:t>
      </w:r>
      <w:r>
        <w:t xml:space="preserve">구현</w:t>
      </w:r>
    </w:p>
    <w:p>
      <w:pPr>
        <w:pStyle w:val="Date"/>
      </w:pPr>
      <w:r>
        <w:t xml:space="preserve">2026-07-04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이론적-배경-dohi-산출-공식과-근거-문헌"/>
    <w:p>
      <w:pPr>
        <w:pStyle w:val="Heading1"/>
      </w:pPr>
      <w:r>
        <w:t xml:space="preserve">1. 이론적 배경: DOHI 산출 공식과 근거 문헌</w:t>
      </w:r>
    </w:p>
    <w:p>
      <w:pPr>
        <w:pStyle w:val="FirstParagraph"/>
      </w:pPr>
      <w:r>
        <w:t xml:space="preserve">DOHI(Daily Oral Health Index)는 스마트 칫솔 센서 데이터(압력·시간·커버리지)와 식이 행동 데이터(당 섭취 빈도·식품 산성도·양치 지연 시간)로부터 계산되는 세 하위 지표 —</w:t>
      </w:r>
      <w:r>
        <w:t xml:space="preserve"> </w:t>
      </w:r>
      <w:r>
        <w:rPr>
          <w:bCs/>
          <w:b/>
        </w:rPr>
        <w:t xml:space="preserve">DRS(탈회 위험)·ARS(마모 위험)·BES(양치 비효율)</w:t>
      </w:r>
      <w:r>
        <w:t xml:space="preserve"> </w:t>
      </w:r>
      <w:r>
        <w:t xml:space="preserve">— 를 가중합한 복합 지수다.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O</m:t>
          </m:r>
          <m:r>
            <m:t>H</m:t>
          </m:r>
          <m:r>
            <m:t>I</m:t>
          </m:r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r>
                <m:t>0.45</m:t>
              </m:r>
              <m:r>
                <m:rPr>
                  <m:sty m:val="p"/>
                </m:rPr>
                <m:t>×</m:t>
              </m:r>
              <m:r>
                <m:t>D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×</m:t>
              </m:r>
              <m:r>
                <m:t>A</m:t>
              </m:r>
              <m:r>
                <m:t>R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0.30</m:t>
              </m:r>
              <m:r>
                <m:rPr>
                  <m:sty m:val="p"/>
                </m:rPr>
                <m:t>×</m:t>
              </m:r>
              <m:r>
                <m:t>B</m:t>
              </m:r>
              <m:r>
                <m:t>E</m:t>
              </m:r>
              <m:r>
                <m:t>S</m:t>
              </m:r>
            </m:e>
          </m:d>
        </m:oMath>
      </m:oMathPara>
    </w:p>
    <w:p>
      <w:pPr>
        <w:pStyle w:val="FirstParagraph"/>
      </w:pPr>
      <w:r>
        <w:t xml:space="preserve">세 지표 모두</w:t>
      </w:r>
      <w:r>
        <w:t xml:space="preserve"> </w:t>
      </w:r>
      <w:r>
        <w:t xml:space="preserve">“</w:t>
      </w:r>
      <w:r>
        <w:t xml:space="preserve">높을수록 나쁨</w:t>
      </w:r>
      <w:r>
        <w:t xml:space="preserve">”</w:t>
      </w:r>
      <w:r>
        <w:t xml:space="preserve"> </w:t>
      </w:r>
      <w:r>
        <w:t xml:space="preserve">스케일로 통일되어 있어 별도의 반전 없이 그대로 가중합한다.</w:t>
      </w:r>
    </w:p>
    <w:bookmarkStart w:id="20" w:name="drs-탈회-위험-demineralization-risk-score"/>
    <w:p>
      <w:pPr>
        <w:pStyle w:val="Heading2"/>
      </w:pPr>
      <w:r>
        <w:t xml:space="preserve">1.1 DRS — 탈회 위험 (Demineralization Risk Score)</w:t>
      </w:r>
    </w:p>
    <w:p>
      <w:pPr>
        <w:pStyle w:val="FirstParagraph"/>
      </w:pPr>
      <w:r>
        <w:t xml:space="preserve">그날의 식품 유형·당 섭취 빈도로 스테판 곡선(Stephan curve) pH 궤적을 직접 시뮬레이션하여, 구강 pH가 임계값 5.5 미만으로 떨어진 실제 누적 시간을 200분(5회 고산성 노출 × 40분의 최악 시나리오) 기준으로 정규화한다.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R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100</m:t>
              </m:r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e</m:t>
                      </m:r>
                      <m:r>
                        <m:t>x</m:t>
                      </m:r>
                      <m:r>
                        <m:t>p</m:t>
                      </m:r>
                      <m:r>
                        <m:t>o</m:t>
                      </m:r>
                      <m:r>
                        <m:t>s</m:t>
                      </m:r>
                      <m:r>
                        <m:t>u</m:t>
                      </m:r>
                      <m:r>
                        <m:t>r</m:t>
                      </m:r>
                      <m:r>
                        <m:t>e</m:t>
                      </m:r>
                    </m:sub>
                  </m:sSub>
                </m:num>
                <m:den>
                  <m:r>
                    <m:t>200</m:t>
                  </m:r>
                </m:den>
              </m:f>
              <m:r>
                <m:rPr>
                  <m:sty m:val="p"/>
                </m:rPr>
                <m:t>×</m:t>
              </m:r>
              <m:r>
                <m:t>100</m:t>
              </m:r>
            </m:e>
          </m:d>
        </m:oMath>
      </m:oMathPara>
    </w:p>
    <w:p>
      <w:pPr>
        <w:numPr>
          <w:ilvl w:val="0"/>
          <w:numId w:val="1001"/>
        </w:numPr>
        <w:pStyle w:val="Compact"/>
      </w:pPr>
      <w:r>
        <w:t xml:space="preserve">근거:</w:t>
      </w:r>
      <w:r>
        <w:t xml:space="preserve"> </w:t>
      </w:r>
      <w:r>
        <w:rPr>
          <w:bCs/>
          <w:b/>
        </w:rPr>
        <w:t xml:space="preserve">Stephan &amp; Miller (1943)</w:t>
      </w:r>
      <w:r>
        <w:t xml:space="preserve"> </w:t>
      </w:r>
      <w:r>
        <w:t xml:space="preserve">— 식후 구강 pH 강하·회복 곡선(스테판 곡선)의 원 논문.</w:t>
      </w:r>
      <w:r>
        <w:t xml:space="preserve"> </w:t>
      </w:r>
      <w:r>
        <w:rPr>
          <w:bCs/>
          <w:b/>
        </w:rPr>
        <w:t xml:space="preserve">Dimensions of Dental Hygiene (2024)</w:t>
      </w:r>
      <w:r>
        <w:t xml:space="preserve"> </w:t>
      </w:r>
      <w:r>
        <w:t xml:space="preserve">— 식품군별 임계 pH·회복 시간 최신 임상 가이드.</w:t>
      </w:r>
    </w:p>
    <w:bookmarkEnd w:id="20"/>
    <w:bookmarkStart w:id="21" w:name="ars-마모-위험-abrasion-risk-score"/>
    <w:p>
      <w:pPr>
        <w:pStyle w:val="Heading2"/>
      </w:pPr>
      <w:r>
        <w:t xml:space="preserve">1.2 ARS — 마모 위험 (Abrasion Risk Score)</w:t>
      </w:r>
    </w:p>
    <w:p>
      <w:pPr>
        <w:pStyle w:val="FirstParagraph"/>
      </w:pPr>
      <w:r>
        <w:t xml:space="preserve">브러싱 압력을 0N부터 완만히 증가하다 3.0N·3.9N을 기점으로 급격히 가팔라지는 구간별 위험 곡선으로 변환하고, 양치 시간·산성 식품 섭취 직후 조기 양치 시의 산-마모 상승작용 페널티를 반영한다.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  <m:r>
                <m:t>i</m:t>
              </m:r>
              <m:r>
                <m:t>s</m:t>
              </m:r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</m:num>
                      <m:den>
                        <m:r>
                          <m:t>3.0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25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3.0</m:t>
                    </m:r>
                    <m:r>
                      <m:t>N</m:t>
                    </m:r>
                  </m:e>
                </m:mr>
                <m:mr>
                  <m:e>
                    <m:r>
                      <m:t>25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3.0</m:t>
                        </m:r>
                      </m:num>
                      <m:den>
                        <m:r>
                          <m:t>0.9</m:t>
                        </m:r>
                      </m:den>
                    </m:f>
                    <m:r>
                      <m:rPr>
                        <m:sty m:val="p"/>
                      </m:rPr>
                      <m:t>×</m:t>
                    </m:r>
                    <m:r>
                      <m:t>45</m:t>
                    </m:r>
                  </m:e>
                  <m:e>
                    <m:r>
                      <m:t>3.0</m:t>
                    </m:r>
                    <m:r>
                      <m:t>N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3.9</m:t>
                    </m:r>
                    <m:r>
                      <m:t>N</m:t>
                    </m:r>
                  </m:e>
                </m:mr>
                <m:mr>
                  <m:e>
                    <m:r>
                      <m:t>70</m:t>
                    </m:r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3.9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15</m:t>
                    </m:r>
                  </m:e>
                  <m:e>
                    <m:r>
                      <m:t>F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3.9</m:t>
                    </m:r>
                    <m:r>
                      <m:t>N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t>R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100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P</m:t>
                  </m:r>
                </m:e>
                <m:sub>
                  <m:r>
                    <m:t>r</m:t>
                  </m:r>
                  <m:r>
                    <m:t>i</m:t>
                  </m:r>
                  <m:r>
                    <m:t>s</m:t>
                  </m:r>
                  <m:r>
                    <m:t>k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F</m:t>
                  </m:r>
                </m:e>
              </m:d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sSub>
                    <m:e>
                      <m:r>
                        <m:t>t</m:t>
                      </m:r>
                    </m:e>
                    <m:sub>
                      <m:r>
                        <m:t>b</m:t>
                      </m:r>
                      <m:r>
                        <m:t>r</m:t>
                      </m:r>
                      <m:r>
                        <m:t>u</m:t>
                      </m:r>
                      <m:r>
                        <m:t>s</m:t>
                      </m:r>
                      <m:r>
                        <m:t>h</m:t>
                      </m:r>
                    </m:sub>
                  </m:sSub>
                </m:num>
                <m:den>
                  <m:r>
                    <m:t>120</m:t>
                  </m:r>
                </m:den>
              </m:f>
              <m:r>
                <m:rPr>
                  <m:sty m:val="p"/>
                </m:rPr>
                <m:t>×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  <m:r>
                    <m:t>r</m:t>
                  </m:r>
                  <m:r>
                    <m:t>o</m:t>
                  </m:r>
                  <m:r>
                    <m:t>s</m:t>
                  </m:r>
                  <m:r>
                    <m:t>i</m:t>
                  </m:r>
                  <m:r>
                    <m:t>o</m:t>
                  </m:r>
                  <m:r>
                    <m:t>n</m:t>
                  </m:r>
                </m:sub>
              </m:sSub>
            </m:e>
          </m:d>
        </m:oMath>
      </m:oMathPara>
    </w:p>
    <w:p>
      <w:pPr>
        <w:numPr>
          <w:ilvl w:val="0"/>
          <w:numId w:val="1002"/>
        </w:numPr>
        <w:pStyle w:val="Compact"/>
      </w:pPr>
      <w:r>
        <w:t xml:space="preserve">근거:</w:t>
      </w:r>
      <w:r>
        <w:t xml:space="preserve"> </w:t>
      </w:r>
      <w:r>
        <w:rPr>
          <w:bCs/>
          <w:b/>
        </w:rPr>
        <w:t xml:space="preserve">Wiegand et al. (2013)</w:t>
      </w:r>
      <w:r>
        <w:t xml:space="preserve">,</w:t>
      </w:r>
      <w:r>
        <w:t xml:space="preserve"> </w:t>
      </w:r>
      <w:r>
        <w:rPr>
          <w:bCs/>
          <w:b/>
        </w:rPr>
        <w:t xml:space="preserve">Hamza et al. (2023)</w:t>
      </w:r>
      <w:r>
        <w:t xml:space="preserve"> </w:t>
      </w:r>
      <w:r>
        <w:t xml:space="preserve">— 브러싱 압력별 법랑질 마모 위험 곡선.</w:t>
      </w:r>
      <w:r>
        <w:t xml:space="preserve"> </w:t>
      </w:r>
      <w:r>
        <w:rPr>
          <w:bCs/>
          <w:b/>
        </w:rPr>
        <w:t xml:space="preserve">Senna et al. (2008)</w:t>
      </w:r>
      <w:r>
        <w:t xml:space="preserve"> </w:t>
      </w:r>
      <w:r>
        <w:t xml:space="preserve">— 압력·시간 복합 마모 위험 모델.</w:t>
      </w:r>
      <w:r>
        <w:t xml:space="preserve"> </w:t>
      </w:r>
      <w:r>
        <w:rPr>
          <w:bCs/>
          <w:b/>
        </w:rPr>
        <w:t xml:space="preserve">Attin et al., Caries Res (2001)</w:t>
      </w:r>
      <w:r>
        <w:t xml:space="preserve"> </w:t>
      </w:r>
      <w:r>
        <w:t xml:space="preserve">— 산 노출 직후 양치 시 산-마모 상승작용(erosion-abrasion synergy).</w:t>
      </w:r>
    </w:p>
    <w:bookmarkEnd w:id="21"/>
    <w:bookmarkStart w:id="22" w:name="X63adb8a35bdf6c22cacb42f6f9557e62a343fbd"/>
    <w:p>
      <w:pPr>
        <w:pStyle w:val="Heading2"/>
      </w:pPr>
      <w:r>
        <w:t xml:space="preserve">1.3 BES — 양치 비효율 (Brushing Efficiency Score, badness 스케일)</w:t>
      </w:r>
    </w:p>
    <w:p>
      <w:pPr>
        <w:pStyle w:val="FirstParagraph"/>
      </w:pPr>
      <w:r>
        <w:t xml:space="preserve">양치 시간 대비 잔존 플라크 비율과 18구역(협측 8·교합면 4·설측 6) 가중 커버리지 부족분을, 하루 양치 빈도에 따른 보정 계수와 함께 합산한다.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t>E</m:t>
          </m:r>
          <m:r>
            <m:t>S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100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k</m:t>
                  </m:r>
                </m:e>
                <m:sub>
                  <m:r>
                    <m:t>f</m:t>
                  </m:r>
                  <m:r>
                    <m:t>r</m:t>
                  </m:r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×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0.4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e</m:t>
                      </m:r>
                      <m:r>
                        <m:t>f</m:t>
                      </m:r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0.6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e</m:t>
                      </m:r>
                      <m:r>
                        <m:t>f</m:t>
                      </m:r>
                      <m:r>
                        <m:t>f</m:t>
                      </m:r>
                    </m:sub>
                  </m:sSub>
                </m:e>
              </m:d>
            </m:e>
          </m:d>
        </m:oMath>
      </m:oMathPara>
    </w:p>
    <w:p>
      <w:pPr>
        <w:numPr>
          <w:ilvl w:val="0"/>
          <w:numId w:val="1003"/>
        </w:numPr>
        <w:pStyle w:val="Compact"/>
      </w:pPr>
      <w:r>
        <w:t xml:space="preserve">근거:</w:t>
      </w:r>
      <w:r>
        <w:t xml:space="preserve"> </w:t>
      </w:r>
      <w:r>
        <w:rPr>
          <w:bCs/>
          <w:b/>
        </w:rPr>
        <w:t xml:space="preserve">Creeth et al., J Dent Hyg (2009)</w:t>
      </w:r>
      <w:r>
        <w:t xml:space="preserve"> </w:t>
      </w:r>
      <w:r>
        <w:t xml:space="preserve">— 양치 시간 대비 플라크 제거율 곡선.</w:t>
      </w:r>
      <w:r>
        <w:t xml:space="preserve"> </w:t>
      </w:r>
      <w:r>
        <w:rPr>
          <w:bCs/>
          <w:b/>
        </w:rPr>
        <w:t xml:space="preserve">Wang et al., Biosensors (2025)</w:t>
      </w:r>
      <w:r>
        <w:t xml:space="preserve">,</w:t>
      </w:r>
      <w:r>
        <w:t xml:space="preserve"> </w:t>
      </w:r>
      <w:r>
        <w:rPr>
          <w:bCs/>
          <w:b/>
        </w:rPr>
        <w:t xml:space="preserve">Parkinson et al. (2022)</w:t>
      </w:r>
      <w:r>
        <w:t xml:space="preserve"> </w:t>
      </w:r>
      <w:r>
        <w:t xml:space="preserve">— 18구역 커버리지 가중치.</w:t>
      </w:r>
      <w:r>
        <w:t xml:space="preserve"> </w:t>
      </w:r>
      <w:r>
        <w:rPr>
          <w:bCs/>
          <w:b/>
        </w:rPr>
        <w:t xml:space="preserve">Brusius et al., Braz Oral Res (2023)</w:t>
      </w:r>
      <w:r>
        <w:t xml:space="preserve"> </w:t>
      </w:r>
      <w:r>
        <w:t xml:space="preserve">— 양치 빈도별 위험 보정 계수.</w:t>
      </w:r>
    </w:p>
    <w:bookmarkEnd w:id="22"/>
    <w:bookmarkStart w:id="23" w:name="복합-지수-설계-및-가중치-근거"/>
    <w:p>
      <w:pPr>
        <w:pStyle w:val="Heading2"/>
      </w:pPr>
      <w:r>
        <w:t xml:space="preserve">1.4 복합 지수 설계 및 가중치 근거</w:t>
      </w:r>
    </w:p>
    <w:p>
      <w:pPr>
        <w:pStyle w:val="FirstParagraph"/>
      </w:pPr>
      <w:r>
        <w:t xml:space="preserve">세 하위 지표를 하나의 지수로 합산하는 가중합 설계 자체는</w:t>
      </w:r>
      <w:r>
        <w:t xml:space="preserve"> </w:t>
      </w:r>
      <w:r>
        <w:rPr>
          <w:bCs/>
          <w:b/>
        </w:rPr>
        <w:t xml:space="preserve">Bratthall &amp; Petersson, Community Dent Oral Epidemiol (2005)</w:t>
      </w:r>
      <w:r>
        <w:t xml:space="preserve">와</w:t>
      </w:r>
      <w:r>
        <w:t xml:space="preserve"> </w:t>
      </w:r>
      <w:r>
        <w:rPr>
          <w:bCs/>
          <w:b/>
        </w:rPr>
        <w:t xml:space="preserve">Featherstone, Oral Health Prev Dent (2004)</w:t>
      </w:r>
      <w:r>
        <w:t xml:space="preserve">의 복합 위험도 지수(composite caries-risk index) 설계 방법론을 따랐다. 0.45:0.25:0.30이라는 구체적 가중치는 이 문헌들이 공통적으로 강조하는</w:t>
      </w:r>
      <w:r>
        <w:t xml:space="preserve"> </w:t>
      </w:r>
      <w:r>
        <w:t xml:space="preserve">“</w:t>
      </w:r>
      <w:r>
        <w:t xml:space="preserve">탈회 위험(당대사·산 노출) &gt; 물리적 마모 &gt; 청결도</w:t>
      </w:r>
      <w:r>
        <w:t xml:space="preserve">”</w:t>
      </w:r>
      <w:r>
        <w:t xml:space="preserve"> </w:t>
      </w:r>
      <w:r>
        <w:t xml:space="preserve">순의 상대적 중요도를 반영해 설계 단계에서 정한 값이며, 이 가중치 배분이 실제로 임상 결과를 잘 예측하는지는 2장에서 통계적으로 검증한다.</w:t>
      </w:r>
    </w:p>
    <w:bookmarkEnd w:id="23"/>
    <w:bookmarkStart w:id="24" w:name="코호트-생성-근거"/>
    <w:p>
      <w:pPr>
        <w:pStyle w:val="Heading2"/>
      </w:pPr>
      <w:r>
        <w:t xml:space="preserve">1.5 코호트 생성 근거</w:t>
      </w:r>
    </w:p>
    <w:p>
      <w:pPr>
        <w:pStyle w:val="FirstParagraph"/>
      </w:pPr>
      <w:r>
        <w:t xml:space="preserve">통계 검증에 사용한 300인 합성 코호트는 각 사람의 180일 평균 행동 데이터(양치 시간·압력·빈도, 3영역 커버리지, 당 섭취 빈도, 식품 유형, 양치 지연 시간, 나이, 기저 ICDAS 점수)로 구성된다. 각 변수는 임상적으로 타당한 범위 내에서 정규/범주 분포로 생성했으며, 스테판 곡선의 회복 시간·임계 pH, 압력-위험 구간 경계값(3.0N/3.9N), 커버리지 가중치, 빈도 보정 계수는 위 1.1~1.3절과 동일한 문헌 근거를 그대로 사용했다. 다만 개별 코호트 변수(예: 양치 시간 평균 96.6초, 압력 평균 1.3N, 당 섭취 빈도 평균 4회/일)의 정규분포 모수 자체는 특정 논문에서 직접 인용한 값이 아니라, 위 문헌들이 제시하는 임상적으로 흔한 범위 안에서 시뮬레이션을 위해 보정한 값임을 밝혀둔다. ICDAS 진행 여부(우식 진행 시뮬레이션)도 등급(Excellent/Good/Fair/Poor)별로 서로 다른 확률(2%/8%/20%/45%)의 베르누이 시행으로 부여한 단순화된 가정이며, 특정 역학 연구에서 가져온 수치가 아니라 통계적 검증(2장의 ROC-AUC 분석)을 가능하게 하기 위한 설계상의 가정이다.</w:t>
      </w:r>
    </w:p>
    <w:bookmarkEnd w:id="24"/>
    <w:bookmarkEnd w:id="25"/>
    <w:bookmarkStart w:id="40" w:name="통계-분석-dohi가-유의미한-지수임을-검증"/>
    <w:p>
      <w:pPr>
        <w:pStyle w:val="Heading1"/>
      </w:pPr>
      <w:r>
        <w:t xml:space="preserve">2. 통계 분석: DOHI가 유의미한 지수임을 검증</w:t>
      </w:r>
    </w:p>
    <w:p>
      <w:pPr>
        <w:pStyle w:val="FirstParagraph"/>
      </w:pPr>
      <w:r>
        <w:t xml:space="preserve">DOHI 설계가 임의로 정한 가중치·공식이 아니라 실제로 의미 있는 지수인지, 300인 합성 코호트에 대한 통계 분석으로 검증했다(</w:t>
      </w:r>
      <w:r>
        <w:rPr>
          <w:rStyle w:val="VerbatimChar"/>
        </w:rPr>
        <w:t xml:space="preserve">research/statistical_analysis.py</w:t>
      </w:r>
      <w:r>
        <w:t xml:space="preserve">).</w:t>
      </w:r>
    </w:p>
    <w:bookmarkStart w:id="26" w:name="dohi는-하위-지표-단독보다-임상-결과를-더-잘-예측하는가"/>
    <w:p>
      <w:pPr>
        <w:pStyle w:val="Heading2"/>
      </w:pPr>
      <w:r>
        <w:t xml:space="preserve">2.1 DOHI는 하위 지표 단독보다 임상 결과를 더 잘 예측하는가</w:t>
      </w:r>
    </w:p>
    <w:p>
      <w:pPr>
        <w:pStyle w:val="FirstParagraph"/>
      </w:pPr>
      <w:r>
        <w:t xml:space="preserve">DRS 계산 방식을 4가지 다른 방식(§2.4)으로 바꿔가며, 그때마다</w:t>
      </w:r>
      <w:r>
        <w:t xml:space="preserve"> </w:t>
      </w:r>
      <w:r>
        <w:t xml:space="preserve">“</w:t>
      </w:r>
      <w:r>
        <w:t xml:space="preserve">DRS 단독</w:t>
      </w:r>
      <w:r>
        <w:t xml:space="preserve">”</w:t>
      </w:r>
      <w:r>
        <w:t xml:space="preserve">과</w:t>
      </w:r>
      <w:r>
        <w:t xml:space="preserve"> </w:t>
      </w:r>
      <w:r>
        <w:t xml:space="preserve">“</w:t>
      </w:r>
      <w:r>
        <w:t xml:space="preserve">DRS를 반영해 재계산한 DOHI</w:t>
      </w:r>
      <w:r>
        <w:t xml:space="preserve">”</w:t>
      </w:r>
      <w:r>
        <w:t xml:space="preserve">가 실제 임상 결과 변수(</w:t>
      </w:r>
      <w:r>
        <w:rPr>
          <w:rStyle w:val="VerbatimChar"/>
        </w:rPr>
        <w:t xml:space="preserve">progressed</w:t>
      </w:r>
      <w:r>
        <w:t xml:space="preserve">, 180일 후 ICDAS 우식 진행 여부)를 얼마나 잘 분리하는지 ROC-AUC로 비교했다.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DRS 공식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DRS 단독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재계산 DOHI AUC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개선폭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 (옛 선형 근사식)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v2 (실측 pH&lt;5.5 누적 시간)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v3 (실측 pH-AUC 깊이 가중)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v4 (로지스틱 회귀 위험도)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+0.049</w:t>
            </w:r>
          </w:p>
        </w:tc>
      </w:tr>
    </w:tbl>
    <w:p>
      <w:pPr>
        <w:pStyle w:val="BodyText"/>
      </w:pPr>
      <w:r>
        <w:rPr>
          <w:bCs/>
          <w:b/>
        </w:rPr>
        <w:t xml:space="preserve">어떤 DRS 공식을 쓰든 예외 없이, DRS 하나만 볼 때보다 ARS·BES와 합산한 DOHI로 볼 때 임상 결과를 더 잘 예측했다.</w:t>
      </w:r>
      <w:r>
        <w:t xml:space="preserve"> </w:t>
      </w:r>
      <w:r>
        <w:t xml:space="preserve">이는 세 하위 지표를 결합하는 복합 지수 설계 자체가 특정 공식 선택과 무관하게 실질적인 예측력을 더한다는 근거다.</w:t>
      </w:r>
    </w:p>
    <w:bookmarkEnd w:id="26"/>
    <w:bookmarkStart w:id="30" w:name="상관관계-dohi는-무엇과-관련이-있는가"/>
    <w:p>
      <w:pPr>
        <w:pStyle w:val="Heading2"/>
      </w:pPr>
      <w:r>
        <w:t xml:space="preserve">2.2 상관관계: DOHI는 무엇과 관련이 있는가</w:t>
      </w:r>
    </w:p>
    <w:p>
      <w:pPr>
        <w:pStyle w:val="FirstParagraph"/>
      </w:pPr>
      <w:r>
        <w:t xml:space="preserve">13개 변수에 대한 Pearson 상관분석 결과, DOHI와 절댓값 기준 상관이 가장 큰 변수는</w:t>
      </w:r>
      <w:r>
        <w:t xml:space="preserve"> </w:t>
      </w:r>
      <w:r>
        <w:rPr>
          <w:bCs/>
          <w:b/>
        </w:rPr>
        <w:t xml:space="preserve">DRS(r=−0.820)</w:t>
      </w:r>
      <w:r>
        <w:t xml:space="preserve">,</w:t>
      </w:r>
      <w:r>
        <w:t xml:space="preserve"> </w:t>
      </w:r>
      <w:r>
        <w:rPr>
          <w:bCs/>
          <w:b/>
        </w:rPr>
        <w:t xml:space="preserve">BES(r=−0.457)</w:t>
      </w:r>
      <w:r>
        <w:t xml:space="preserve">,</w:t>
      </w:r>
      <w:r>
        <w:t xml:space="preserve"> </w:t>
      </w:r>
      <w:r>
        <w:rPr>
          <w:bCs/>
          <w:b/>
        </w:rPr>
        <w:t xml:space="preserve">양치 빈도(r=+0.429)</w:t>
      </w:r>
      <w:r>
        <w:t xml:space="preserve"> </w:t>
      </w:r>
      <w:r>
        <w:t xml:space="preserve">순이었다(모두 하위 지표 설계 의도와 부합하는 방향). 나이·양치 시간·교합면 커버리지는 DOHI와 거의 무관했다(|r|&lt;0.05) — 즉 DOHI는 임의의 노이즈가 아니라 설계 의도대로 행동 변수와 체계적으로 연관되어 있다.</w:t>
      </w:r>
    </w:p>
    <w:p>
      <w:pPr>
        <w:pStyle w:val="CaptionedFigure"/>
      </w:pPr>
      <w:r>
        <w:drawing>
          <wp:inline>
            <wp:extent cx="5334000" cy="4491789"/>
            <wp:effectExtent b="0" l="0" r="0" t="0"/>
            <wp:docPr descr="13변수 상관관계 히트맵" title="" id="28" name="Picture"/>
            <a:graphic>
              <a:graphicData uri="http://schemas.openxmlformats.org/drawingml/2006/picture">
                <pic:pic>
                  <pic:nvPicPr>
                    <pic:cNvPr descr="../research/figures/01_correlation_heatma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1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13변수 상관관계 히트맵</w:t>
      </w:r>
    </w:p>
    <w:bookmarkEnd w:id="30"/>
    <w:bookmarkStart w:id="34" w:name="행동-변수별-dohi-차이-양치-빈도는-유의-나이는-비유의"/>
    <w:p>
      <w:pPr>
        <w:pStyle w:val="Heading2"/>
      </w:pPr>
      <w:r>
        <w:t xml:space="preserve">2.3 행동 변수별 DOHI 차이: 양치 빈도는 유의, 나이는 비유의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양치 빈도</w:t>
      </w:r>
      <w:r>
        <w:t xml:space="preserve">: ANOVA F=37.566 (p&lt;0.0001), Kruskal-Wallis H=67.771 (p&lt;0.0001) — 강하게 유의함. Tukey HSD 사후검정 결과 1회 vs 2회(+5.46점), 1회 vs 3회(+7.75점), 2회 vs 3회(+2.29점) 모두 유의한 차이(전부 p&lt;0.05).</w:t>
      </w:r>
    </w:p>
    <w:p>
      <w:pPr>
        <w:numPr>
          <w:ilvl w:val="0"/>
          <w:numId w:val="1004"/>
        </w:numPr>
        <w:pStyle w:val="Compact"/>
      </w:pPr>
      <w:r>
        <w:t xml:space="preserve">(참고: 연령대별 차이는 유의하지 않았다 — ANOVA p=0.055, Kruskal-Wallis p=0.224.)</w:t>
      </w:r>
    </w:p>
    <w:p>
      <w:pPr>
        <w:pStyle w:val="FirstParagraph"/>
      </w:pPr>
      <w:r>
        <w:t xml:space="preserve">다중회귀분석(DOHI ~ 나이 + 양치빈도 + 당섭취빈도 + 양치시간 + 압력 + 지연시간 + 3커버리지,</w:t>
      </w:r>
      <w:r>
        <w:t xml:space="preserve"> </w:t>
      </w:r>
      <w:r>
        <w:rPr>
          <w:bCs/>
          <w:b/>
        </w:rPr>
        <w:t xml:space="preserve">R²=0.369</w:t>
      </w:r>
      <w:r>
        <w:t xml:space="preserve">, N=300)에서 유의한 예측 변수(p&lt;0.05)는: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변수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계수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양치빈도=2회 (기준 1회)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양치빈도=3회 (기준 1회)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+7.13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당 섭취 빈도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브러싱 압력(N)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설측 커버리지(%)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&lt;0.0001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협측 커버리지(%)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</w:tr>
    </w:tbl>
    <w:p>
      <w:pPr>
        <w:pStyle w:val="CaptionedFigure"/>
      </w:pPr>
      <w:r>
        <w:drawing>
          <wp:inline>
            <wp:extent cx="5334000" cy="2182090"/>
            <wp:effectExtent b="0" l="0" r="0" t="0"/>
            <wp:docPr descr="DOHI 그룹 비교 박스플롯 (양치 빈도)" title="" id="32" name="Picture"/>
            <a:graphic>
              <a:graphicData uri="http://schemas.openxmlformats.org/drawingml/2006/picture">
                <pic:pic>
                  <pic:nvPicPr>
                    <pic:cNvPr descr="../research/figures/03_dohi_by_group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DOHI 그룹 비교 박스플롯 (양치 빈도)</w:t>
      </w:r>
    </w:p>
    <w:bookmarkEnd w:id="34"/>
    <w:bookmarkStart w:id="38" w:name="k-means-페르소나-4개-유형이-통계적으로-더-타당"/>
    <w:p>
      <w:pPr>
        <w:pStyle w:val="Heading2"/>
      </w:pPr>
      <w:r>
        <w:t xml:space="preserve">2.4 K-means 페르소나: 4개 유형이 통계적으로 더 타당</w:t>
      </w:r>
    </w:p>
    <w:p>
      <w:pPr>
        <w:pStyle w:val="FirstParagraph"/>
      </w:pPr>
      <w:r>
        <w:t xml:space="preserve">앱의 Compare 탭에서 개인 궤적과 비교하는 4개 페르소나(과압마모형·당과다형·저위생형·균형형)는 임의로 나눈 것이 아니라, k=2~6에 대한 실루엣 점수 비교로 뒷받침된다. k=3(0.269)은 오히려 k=2(0.276)보다 낮았고 k=4(0.283)부터 다시 높아지는 경향을 보여, k=4를 최종 채택했다 — 이 결정 덕분에 세 위험 지표가 모두 평균 이하인</w:t>
      </w:r>
      <w:r>
        <w:t xml:space="preserve"> </w:t>
      </w:r>
      <w:r>
        <w:rPr>
          <w:bCs/>
          <w:b/>
        </w:rPr>
        <w:t xml:space="preserve">균형형</w:t>
      </w:r>
      <w:r>
        <w:t xml:space="preserve"> </w:t>
      </w:r>
      <w:r>
        <w:t xml:space="preserve">페르소나가 비교 대상으로 함께 제시될 수 있었다.</w:t>
      </w:r>
    </w:p>
    <w:p>
      <w:pPr>
        <w:pStyle w:val="CaptionedFigure"/>
      </w:pPr>
      <w:r>
        <w:drawing>
          <wp:inline>
            <wp:extent cx="5334000" cy="2182090"/>
            <wp:effectExtent b="0" l="0" r="0" t="0"/>
            <wp:docPr descr="K-means k 선택 (elbow &amp; silhouette)" title="" id="36" name="Picture"/>
            <a:graphic>
              <a:graphicData uri="http://schemas.openxmlformats.org/drawingml/2006/picture">
                <pic:pic>
                  <pic:nvPicPr>
                    <pic:cNvPr descr="../research/figures/02_kmeans_k_selectio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20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K-means k 선택 (elbow &amp; silhouette)</w:t>
      </w:r>
    </w:p>
    <w:bookmarkEnd w:id="38"/>
    <w:bookmarkStart w:id="39" w:name="해석상-주의점"/>
    <w:p>
      <w:pPr>
        <w:pStyle w:val="Heading2"/>
      </w:pPr>
      <w:r>
        <w:t xml:space="preserve">2.5 해석상 주의점</w:t>
      </w:r>
    </w:p>
    <w:p>
      <w:pPr>
        <w:pStyle w:val="FirstParagraph"/>
      </w:pPr>
      <w:r>
        <w:t xml:space="preserve">로지스틱 회귀(v4)는 같은 300명 데이터에 학습(fit)하고 같은 데이터로 평가한 in-sample 결과이므로, AUC가 가장 높게 나온 것은</w:t>
      </w:r>
      <w:r>
        <w:t xml:space="preserve"> </w:t>
      </w:r>
      <w:r>
        <w:t xml:space="preserve">“</w:t>
      </w:r>
      <w:r>
        <w:t xml:space="preserve">더 우월한 공식</w:t>
      </w:r>
      <w:r>
        <w:t xml:space="preserve">”</w:t>
      </w:r>
      <w:r>
        <w:t xml:space="preserve">이어서가 아니라 지도학습의 당연한 결과로 해석해야 한다. 또한</w:t>
      </w:r>
      <w:r>
        <w:t xml:space="preserve"> </w:t>
      </w:r>
      <w:r>
        <w:rPr>
          <w:rStyle w:val="VerbatimChar"/>
        </w:rPr>
        <w:t xml:space="preserve">progressed</w:t>
      </w:r>
      <w:r>
        <w:t xml:space="preserve"> </w:t>
      </w:r>
      <w:r>
        <w:t xml:space="preserve">변수 자체가 이 코호트의 DOHI/등급으로부터 파생되었기 때문에, DRS 공식 비교(§2.1) 결과를</w:t>
      </w:r>
      <w:r>
        <w:t xml:space="preserve"> </w:t>
      </w:r>
      <w:r>
        <w:t xml:space="preserve">“</w:t>
      </w:r>
      <w:r>
        <w:t xml:space="preserve">어느 공식이 정답인가</w:t>
      </w:r>
      <w:r>
        <w:t xml:space="preserve">”</w:t>
      </w:r>
      <w:r>
        <w:t xml:space="preserve">가 아니라</w:t>
      </w:r>
      <w:r>
        <w:t xml:space="preserve"> </w:t>
      </w:r>
      <w:r>
        <w:t xml:space="preserve">“</w:t>
      </w:r>
      <w:r>
        <w:t xml:space="preserve">복합 지수 설계가 공식 선택과 무관하게 예측력을 더하는가</w:t>
      </w:r>
      <w:r>
        <w:t xml:space="preserve">”</w:t>
      </w:r>
      <w:r>
        <w:t xml:space="preserve">에 대한 민감도 분석으로 읽는 것이 적절하다.</w:t>
      </w:r>
    </w:p>
    <w:bookmarkEnd w:id="39"/>
    <w:bookmarkEnd w:id="40"/>
    <w:bookmarkStart w:id="60" w:name="최종-앱-moralguard"/>
    <w:p>
      <w:pPr>
        <w:pStyle w:val="Heading1"/>
      </w:pPr>
      <w:r>
        <w:t xml:space="preserve">3. 최종 앱: MoralGuard</w:t>
      </w:r>
    </w:p>
    <w:p>
      <w:pPr>
        <w:pStyle w:val="FirstParagraph"/>
      </w:pPr>
      <w:r>
        <w:t xml:space="preserve">이론적으로 설계하고(1장) 통계적으로 타당성을 확인한(2장) DOHI를, 가상 환자</w:t>
      </w:r>
      <w:r>
        <w:t xml:space="preserve"> </w:t>
      </w:r>
      <w:r>
        <w:t xml:space="preserve">“</w:t>
      </w:r>
      <w:r>
        <w:t xml:space="preserve">민재</w:t>
      </w:r>
      <w:r>
        <w:t xml:space="preserve">”</w:t>
      </w:r>
      <w:r>
        <w:t xml:space="preserve">의 180일 데이터를 보여주는 스마트폰 프레임 모바일 앱으로 구현했다. Home / Insights / Calendar / Compare 4개 탭으로 구성된다.</w:t>
      </w:r>
    </w:p>
    <w:bookmarkStart w:id="44" w:name="home-오늘의-요약"/>
    <w:p>
      <w:pPr>
        <w:pStyle w:val="Heading2"/>
      </w:pPr>
      <w:r>
        <w:t xml:space="preserve">3.1 Home — 오늘의 요약</w:t>
      </w:r>
    </w:p>
    <w:p>
      <w:pPr>
        <w:pStyle w:val="FirstParagraph"/>
      </w:pPr>
      <w:r>
        <w:t xml:space="preserve">오늘의 종합 DOHI, 양치 압력·구강 pH·커버리지 요약, 최근 브러싱 세션의 압력 변화 그래프를 한 화면에 보여준다.</w:t>
      </w:r>
    </w:p>
    <w:p>
      <w:pPr>
        <w:pStyle w:val="CaptionedFigure"/>
      </w:pPr>
      <w:r>
        <w:drawing>
          <wp:inline>
            <wp:extent cx="5334000" cy="11534436"/>
            <wp:effectExtent b="0" l="0" r="0" t="0"/>
            <wp:docPr descr="Home 탭" title="" id="42" name="Picture"/>
            <a:graphic>
              <a:graphicData uri="http://schemas.openxmlformats.org/drawingml/2006/picture">
                <pic:pic>
                  <pic:nvPicPr>
                    <pic:cNvPr descr="assets/moralguard_hom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4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 탭</w:t>
      </w:r>
    </w:p>
    <w:bookmarkEnd w:id="44"/>
    <w:bookmarkStart w:id="51" w:name="insights-상세-분석-및-계산-과정"/>
    <w:p>
      <w:pPr>
        <w:pStyle w:val="Heading2"/>
      </w:pPr>
      <w:r>
        <w:t xml:space="preserve">3.2 Insights — 상세 분석 및 계산 과정</w:t>
      </w:r>
    </w:p>
    <w:p>
      <w:pPr>
        <w:pStyle w:val="FirstParagraph"/>
      </w:pPr>
      <w:r>
        <w:t xml:space="preserve">두 개의 실제 브러싱 세션(07:12, 22:41)을 선택해 압력·pH·커버리지 상세 그래프를 볼 수 있고, 화면 하단에는 1장의 공식을 그대로 오늘 데이터에 대입한 단계별 계산 과정과 참고문헌 목록을 제공해</w:t>
      </w:r>
      <w:r>
        <w:t xml:space="preserve"> </w:t>
      </w:r>
      <w:r>
        <w:t xml:space="preserve">“</w:t>
      </w:r>
      <w:r>
        <w:t xml:space="preserve">왜 이 점수가 나왔는지</w:t>
      </w:r>
      <w:r>
        <w:t xml:space="preserve">”</w:t>
      </w:r>
      <w:r>
        <w:t xml:space="preserve">를 투명하게 보여준다. 단순 추이(Trends)보다</w:t>
      </w:r>
      <w:r>
        <w:t xml:space="preserve"> </w:t>
      </w:r>
      <w:r>
        <w:t xml:space="preserve">“</w:t>
      </w:r>
      <w:r>
        <w:t xml:space="preserve">오늘 데이터를 근거로 어떻게 이 점수가 산출됐는지</w:t>
      </w:r>
      <w:r>
        <w:t xml:space="preserve">”</w:t>
      </w:r>
      <w:r>
        <w:t xml:space="preserve">에 초점이 맞춰져 있어 탭 이름을 Insights로 정했다.</w:t>
      </w:r>
    </w:p>
    <w:p>
      <w:pPr>
        <w:pStyle w:val="CaptionedFigure"/>
      </w:pPr>
      <w:r>
        <w:drawing>
          <wp:inline>
            <wp:extent cx="5334000" cy="11534436"/>
            <wp:effectExtent b="0" l="0" r="0" t="0"/>
            <wp:docPr descr="Insights 탭 — 상세 그래프" title="" id="46" name="Picture"/>
            <a:graphic>
              <a:graphicData uri="http://schemas.openxmlformats.org/drawingml/2006/picture">
                <pic:pic>
                  <pic:nvPicPr>
                    <pic:cNvPr descr="assets/moralguard_trends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4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Insights 탭 — 상세 그래프</w:t>
      </w:r>
    </w:p>
    <w:p>
      <w:pPr>
        <w:pStyle w:val="CaptionedFigure"/>
      </w:pPr>
      <w:r>
        <w:drawing>
          <wp:inline>
            <wp:extent cx="5334000" cy="11534436"/>
            <wp:effectExtent b="0" l="0" r="0" t="0"/>
            <wp:docPr descr="Insights 탭 — DOHI 계산 과정 및 참고문헌" title="" id="49" name="Picture"/>
            <a:graphic>
              <a:graphicData uri="http://schemas.openxmlformats.org/drawingml/2006/picture">
                <pic:pic>
                  <pic:nvPicPr>
                    <pic:cNvPr descr="assets/moralguard_trends_formula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4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Insights 탭 — DOHI 계산 과정 및 참고문헌</w:t>
      </w:r>
    </w:p>
    <w:bookmarkEnd w:id="51"/>
    <w:bookmarkStart w:id="55" w:name="calendar-월별-추이"/>
    <w:p>
      <w:pPr>
        <w:pStyle w:val="Heading2"/>
      </w:pPr>
      <w:r>
        <w:t xml:space="preserve">3.3 Calendar — 월별 추이</w:t>
      </w:r>
    </w:p>
    <w:p>
      <w:pPr>
        <w:pStyle w:val="FirstParagraph"/>
      </w:pPr>
      <w:r>
        <w:t xml:space="preserve">월별 캘린더에 등급별 색상 점을 표시하고, 날짜를 클릭하면 그날의 DRS·ARS·BES·DOHI 요약을 보여준다.</w:t>
      </w:r>
    </w:p>
    <w:p>
      <w:pPr>
        <w:pStyle w:val="CaptionedFigure"/>
      </w:pPr>
      <w:r>
        <w:drawing>
          <wp:inline>
            <wp:extent cx="5334000" cy="11534436"/>
            <wp:effectExtent b="0" l="0" r="0" t="0"/>
            <wp:docPr descr="Calendar 탭" title="" id="53" name="Picture"/>
            <a:graphic>
              <a:graphicData uri="http://schemas.openxmlformats.org/drawingml/2006/picture">
                <pic:pic>
                  <pic:nvPicPr>
                    <pic:cNvPr descr="assets/moralguard_calendar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4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Calendar 탭</w:t>
      </w:r>
    </w:p>
    <w:bookmarkEnd w:id="55"/>
    <w:bookmarkStart w:id="59" w:name="compare-코호트-비교-및-개입-시뮬레이션"/>
    <w:p>
      <w:pPr>
        <w:pStyle w:val="Heading2"/>
      </w:pPr>
      <w:r>
        <w:t xml:space="preserve">3.4 Compare — 코호트 비교 및 개입 시뮬레이션</w:t>
      </w:r>
    </w:p>
    <w:p>
      <w:pPr>
        <w:pStyle w:val="FirstParagraph"/>
      </w:pPr>
      <w:r>
        <w:t xml:space="preserve">민재 개인의 180일 궤적을 2장에서 검증한 4개 페르소나 궤적과 겹쳐 그리고, 300명 코호트 분포 내 위치, 그리고 습관 개선 시나리오별 DOHI 변화 시뮬레이션까지 한 화면에서 이어서 보여준다.</w:t>
      </w:r>
    </w:p>
    <w:p>
      <w:pPr>
        <w:pStyle w:val="CaptionedFigure"/>
      </w:pPr>
      <w:r>
        <w:drawing>
          <wp:inline>
            <wp:extent cx="5334000" cy="11534436"/>
            <wp:effectExtent b="0" l="0" r="0" t="0"/>
            <wp:docPr descr="Compare 탭" title="" id="57" name="Picture"/>
            <a:graphic>
              <a:graphicData uri="http://schemas.openxmlformats.org/drawingml/2006/picture">
                <pic:pic>
                  <pic:nvPicPr>
                    <pic:cNvPr descr="assets/moralguard_comparis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34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Compare 탭</w:t>
      </w:r>
    </w:p>
    <w:bookmarkEnd w:id="59"/>
    <w:bookmarkEnd w:id="60"/>
    <w:bookmarkStart w:id="61" w:name="결론"/>
    <w:p>
      <w:pPr>
        <w:pStyle w:val="Heading1"/>
      </w:pPr>
      <w:r>
        <w:t xml:space="preserve">4. 결론</w:t>
      </w:r>
    </w:p>
    <w:p>
      <w:pPr>
        <w:numPr>
          <w:ilvl w:val="0"/>
          <w:numId w:val="1005"/>
        </w:numPr>
        <w:pStyle w:val="Compact"/>
      </w:pPr>
      <w:r>
        <w:t xml:space="preserve">DOHI는 서로 다른 임상 근거를 가진 세 하위 지표(DRS·ARS·BES)를 문헌 기반 가중치로 결합한 지수이며, 어떤 DRS 계산 방식을 쓰든 하위 지표 단독보다 항상 임상 결과를 더 잘 예측했다 — 복합 지수 설계 자체의 타당성을 뒷받침한다.</w:t>
      </w:r>
    </w:p>
    <w:p>
      <w:pPr>
        <w:numPr>
          <w:ilvl w:val="0"/>
          <w:numId w:val="1005"/>
        </w:numPr>
        <w:pStyle w:val="Compact"/>
      </w:pPr>
      <w:r>
        <w:t xml:space="preserve">양치 빈도는 DOHI에 가장 뚜렷하고 통계적으로 유의한 영향을 미치는 행동 변수였다.</w:t>
      </w:r>
    </w:p>
    <w:p>
      <w:pPr>
        <w:numPr>
          <w:ilvl w:val="0"/>
          <w:numId w:val="1005"/>
        </w:numPr>
        <w:pStyle w:val="Compact"/>
      </w:pPr>
      <w:r>
        <w:t xml:space="preserve">K-means 페르소나 분석은 통계적 근거(실루엣 점수)에 기반해 위험 유형 3종과 균형형 1종, 총 4개 유형으로 정리되었고, 이는 앱의 Compare 탭에 그대로 반영되었다.</w:t>
      </w:r>
    </w:p>
    <w:p>
      <w:pPr>
        <w:numPr>
          <w:ilvl w:val="0"/>
          <w:numId w:val="1005"/>
        </w:numPr>
        <w:pStyle w:val="Compact"/>
      </w:pPr>
      <w:r>
        <w:t xml:space="preserve">다만 통계 검증에 쓰인</w:t>
      </w:r>
      <w:r>
        <w:t xml:space="preserve"> </w:t>
      </w:r>
      <w:r>
        <w:rPr>
          <w:rStyle w:val="VerbatimChar"/>
        </w:rPr>
        <w:t xml:space="preserve">progressed</w:t>
      </w:r>
      <w:r>
        <w:t xml:space="preserve">(우식 진행 여부)가 코호트 자체의 DOHI로부터 파생된 변수라는 한계가 있어, 결과는</w:t>
      </w:r>
      <w:r>
        <w:t xml:space="preserve"> </w:t>
      </w:r>
      <w:r>
        <w:t xml:space="preserve">“</w:t>
      </w:r>
      <w:r>
        <w:t xml:space="preserve">DOHI가 무작위가 아니라 설계 의도대로 작동한다</w:t>
      </w:r>
      <w:r>
        <w:t xml:space="preserve">”</w:t>
      </w:r>
      <w:r>
        <w:t xml:space="preserve">는 근거로는 충분하지만</w:t>
      </w:r>
      <w:r>
        <w:t xml:space="preserve"> </w:t>
      </w:r>
      <w:r>
        <w:t xml:space="preserve">“</w:t>
      </w:r>
      <w:r>
        <w:t xml:space="preserve">실제 임상적으로 검증된 지수</w:t>
      </w:r>
      <w:r>
        <w:t xml:space="preserve">”</w:t>
      </w:r>
      <w:r>
        <w:t xml:space="preserve">라고 확대 해석해서는 안 된다.</w:t>
      </w:r>
    </w:p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35" Target="media/rId35.png" /><Relationship Type="http://schemas.openxmlformats.org/officeDocument/2006/relationships/image" Id="rId31" Target="media/rId31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MoralGuard 프로젝트 보고서</dc:title>
  <dc:creator/>
  <dc:language>ko</dc:language>
  <cp:keywords/>
  <dcterms:created xsi:type="dcterms:W3CDTF">2026-07-04T14:32:22Z</dcterms:created>
  <dcterms:modified xsi:type="dcterms:W3CDTF">2026-07-04T14:32:22Z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2026-07-04</vt:lpwstr>
  </property>
  <property fmtid="{D5CDD505-2E9C-101B-9397-08002B2CF9AE}" pid="3" name="subtitle">
    <vt:lpwstr>구강 건강 지수(DOHI) 이론적 근거, 통계적 타당성 검증, 그리고 앱 구현</vt:lpwstr>
  </property>
</Properties>
</file>