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Read Me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Nitrate and pH corrections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GLODAP v3 has been used since it was newly released! </w:t>
      </w:r>
      <w:hyperlink r:id="rId6">
        <w:r w:rsidDel="00000000" w:rsidR="00000000" w:rsidRPr="00000000">
          <w:rPr>
            <w:color w:val="1155cc"/>
            <w:u w:val="single"/>
            <w:rtl w:val="0"/>
          </w:rPr>
          <w:t xml:space="preserve">https://glodap.info/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ESPER-NN was used for the corrections consistently, where available depths were selected for correction 1480-1520. If shallow profiles were taken in the beginning of the float life cycle, the changes to the first deep profiles were applied backwards or to the early float profiles.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Floats with less than 20 profiles do not appear to have valid corrections. The literature recommends at least 36 cycles (Maurer et al 2021 and Bittig et al 2018). Generally, the reason is that this has low statistical power when using BIC and may over fit due to seasonal changes. These same assumptions exist for oxygen corrections.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 pump offsets are visualized in the Sage v2 software but the outputs needed for a per cycle correction are not given. The outputs of the corrections are also manually recorded at this stage.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Recommendation, floats with less than 36 profiles that reach depths &gt;1000 m for DOXY, pH, and Nitrate should remain in a-mode. </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lodap.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