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5D70" w14:textId="77777777" w:rsidR="002965D0" w:rsidRDefault="002965D0" w:rsidP="002965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9AA">
        <w:rPr>
          <w:rFonts w:ascii="Times New Roman" w:hAnsi="Times New Roman" w:cs="Times New Roman"/>
          <w:b/>
          <w:bCs/>
          <w:sz w:val="24"/>
          <w:szCs w:val="24"/>
        </w:rPr>
        <w:t>References (IEEE Style)</w:t>
      </w:r>
    </w:p>
    <w:p w14:paraId="2C42C815" w14:textId="77777777" w:rsidR="00476CDE" w:rsidRDefault="00476CDE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5A87B1BC" w14:textId="0F8995C1" w:rsidR="002965D0" w:rsidRPr="00540C3C" w:rsidRDefault="002965D0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[1] R. Tiwari et al., "Analysis of Heart Rate Variability and Implication of Different Factors on Heart Rate Variability," Curr. </w:t>
      </w:r>
      <w:proofErr w:type="spellStart"/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Cardiol</w:t>
      </w:r>
      <w:proofErr w:type="spellEnd"/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. Rev., vol. 17, no. 5, Oct. 2021. [Online]. Available: https://www.ncbi.nlm.nih.gov/pmc/articles/PMC8950456/</w:t>
      </w:r>
    </w:p>
    <w:p w14:paraId="190636C7" w14:textId="77777777" w:rsidR="00994C49" w:rsidRDefault="00994C49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22BA516A" w14:textId="7CAD2235" w:rsidR="002965D0" w:rsidRPr="00540C3C" w:rsidRDefault="002965D0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[2] H.-G. Kim et al., "Stress and Heart Rate Variability: A Meta-Analysis and Review," Psychiatry </w:t>
      </w:r>
      <w:proofErr w:type="spellStart"/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Investig</w:t>
      </w:r>
      <w:proofErr w:type="spellEnd"/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., vol. 15, no. 3, pp. 235–245, Mar. 2018. [Online]. Available: https://www.ncbi.nlm.nih.gov/pmc/articles/PMC5900369/</w:t>
      </w:r>
    </w:p>
    <w:p w14:paraId="45021A06" w14:textId="77777777" w:rsidR="00994C49" w:rsidRDefault="00994C49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60D21A5C" w14:textId="03B800C4" w:rsidR="002965D0" w:rsidRPr="00540C3C" w:rsidRDefault="002965D0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[3] A. Natarajan, "Heart rate variability during mindful breathing meditation," Front. Physiol., vol. 13, 2023. [Online]. Available: https://www.frontiersin.org/articles/10.3389/fphys.2022.1017350/full</w:t>
      </w:r>
    </w:p>
    <w:p w14:paraId="7191DC29" w14:textId="77777777" w:rsidR="00994C49" w:rsidRDefault="00994C49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774A26DE" w14:textId="783A59BF" w:rsidR="002965D0" w:rsidRPr="00540C3C" w:rsidRDefault="002965D0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[4] M. Y. Balban et al., "Brief structured respiration practices enhance mood and reduce physiological arousal," Cell Rep. Med., vol. 4, no. 1, Jan. 2023. [Online]. Available: https://www.cell.com/cell-reports-medicine/fulltext/S2666-3791(22)00474-8</w:t>
      </w:r>
    </w:p>
    <w:p w14:paraId="7909637B" w14:textId="77777777" w:rsidR="00994C49" w:rsidRDefault="00994C49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72C1FE9E" w14:textId="26D94A70" w:rsidR="002965D0" w:rsidRPr="00540C3C" w:rsidRDefault="002965D0" w:rsidP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[5] M. Nasrolahzadeh et al., "A novel method for distinction heart rate variability during meditation using LSTM recurrent neural networks based on visibility graph," Biomed. Signal Process. Control, vol. 90, 2024. [Online]. Available: https://doi.org/10.1016/j.bspc.2023.105822</w:t>
      </w:r>
    </w:p>
    <w:p w14:paraId="567733BF" w14:textId="67DCD30C" w:rsidR="00A71EEE" w:rsidRPr="00540C3C" w:rsidRDefault="002965D0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[6] A. Bhaduri and D. Ghosh, "Quantitative Assessment of Heart Rate Dynamics during Meditation," Front. Physiol., vol. 7, Feb. 2016. [Online]. Available: </w:t>
      </w:r>
      <w:hyperlink r:id="rId4" w:history="1">
        <w:r w:rsidRPr="00540C3C">
          <w:rPr>
            <w:rStyle w:val="Hyperlink"/>
            <w:rFonts w:ascii="Times New Roman" w:eastAsia="Calibri" w:hAnsi="Times New Roman" w:cs="Times New Roman"/>
            <w:color w:val="0070C0"/>
            <w:sz w:val="24"/>
            <w:szCs w:val="24"/>
          </w:rPr>
          <w:t>https://www.frontiersin.org/articles/10.3389/fphys.2016.00044/full</w:t>
        </w:r>
      </w:hyperlink>
    </w:p>
    <w:p w14:paraId="3EF06180" w14:textId="77777777" w:rsidR="00994C49" w:rsidRDefault="00994C49" w:rsidP="00766563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141E1BF1" w14:textId="783C5E08" w:rsidR="00766563" w:rsidRPr="00540C3C" w:rsidRDefault="00766563" w:rsidP="0076656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[7] 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Mahda Nasrolahzadeh, Zeynab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Mohammadpoory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and Javad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Haddadnia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>, “A novel method for distinction heart rate variability during meditation using LSTM recurrent neural networks based on visibility graph,” </w:t>
      </w:r>
      <w:r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Biomedical Signal Processing and Control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90, pp. 105822–105822, Dec. 2023,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https://doi.org/10.1016/j.bspc.2023.105822.</w:t>
      </w:r>
    </w:p>
    <w:p w14:paraId="74BFAC28" w14:textId="77777777" w:rsidR="00994C49" w:rsidRDefault="00994C49" w:rsidP="00766563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57EF3126" w14:textId="04E232B3" w:rsidR="00766563" w:rsidRPr="00540C3C" w:rsidRDefault="00766563" w:rsidP="0076656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[8] 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>A. Matuz, van, Gergely Darnai, and Árpád Csathó, “Generalisable machine learning models trained on heart rate variability data to predict mental fatigue,” </w:t>
      </w:r>
      <w:r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Scientific reports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12, no. 1, Nov. 2022,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https://doi.org/10.1038/s41598-022-24415-y.</w:t>
      </w:r>
    </w:p>
    <w:p w14:paraId="11B91834" w14:textId="77777777" w:rsidR="00994C49" w:rsidRDefault="00994C49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6107964C" w14:textId="255D920F" w:rsidR="008F3F9A" w:rsidRPr="00540C3C" w:rsidRDefault="0076656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[9] 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I. B. Messaoud and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Ornwipa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Thamsuwan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>, “Heart Rate Variability-Based Stress Detection and Fall Risk Monitoring During Daily Activities: A Machine Learning Approach,” </w:t>
      </w:r>
      <w:r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Computers</w:t>
      </w:r>
      <w:r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14, no. 2, pp. 45–45, Jan. 2025, </w:t>
      </w:r>
      <w:proofErr w:type="spellStart"/>
      <w:r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https://doi.org/10.3390/computers14020045.</w:t>
      </w:r>
    </w:p>
    <w:p w14:paraId="441CF130" w14:textId="77777777" w:rsidR="00994C49" w:rsidRDefault="00994C49" w:rsidP="00B0422A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71F8B85F" w14:textId="2309A573" w:rsidR="00B0422A" w:rsidRPr="00540C3C" w:rsidRDefault="0066698D" w:rsidP="00B0422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lastRenderedPageBreak/>
        <w:t xml:space="preserve">[10] 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R. Tiwari, R. Kumar, S. Malik, T. Raj, and P. Kumar, “Analysis of Heart Rate Variability and Implication of Different Factors on Heart Rate Variability,” </w:t>
      </w:r>
      <w:r w:rsidR="00B0422A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Current Cardiology Reviews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17, no. 5, Oct. 2021, </w:t>
      </w:r>
      <w:proofErr w:type="spellStart"/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https://doi.org/10.2174/1573403x16999201231203854.</w:t>
      </w:r>
    </w:p>
    <w:p w14:paraId="18D0F312" w14:textId="77777777" w:rsidR="00994C49" w:rsidRDefault="00994C49" w:rsidP="00B0422A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5FE24729" w14:textId="39BCBDFA" w:rsidR="00B0422A" w:rsidRPr="00540C3C" w:rsidRDefault="0066698D" w:rsidP="00B0422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[11] 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H.-G. Kim, E.-J. Cheon, D.-S. Bai, Y. H. Lee, and B.-H. Koo, “Stress and Heart Rate Variability: A Meta-Analysis and Review of the Literature,” </w:t>
      </w:r>
      <w:r w:rsidR="00B0422A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Psychiatry Investigation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15, no. 3, pp. 235–245, Mar. 2018, </w:t>
      </w:r>
      <w:proofErr w:type="spellStart"/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https://doi.org/10.30773/pi.2017.08.17.</w:t>
      </w:r>
    </w:p>
    <w:p w14:paraId="747B5019" w14:textId="77777777" w:rsidR="00994C49" w:rsidRDefault="00994C49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3FFD63C8" w14:textId="5AB5333B" w:rsidR="005E2BFB" w:rsidRPr="00540C3C" w:rsidRDefault="0066698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>[12]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 “Vancouver Autonomic Nervous System Assessment | Stress &amp; Heart Health,” </w:t>
      </w:r>
      <w:r w:rsidR="00B0422A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R·MEDY</w:t>
      </w:r>
      <w:r w:rsidR="00B0422A" w:rsidRPr="00540C3C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perscript"/>
        </w:rPr>
        <w:t>MD</w:t>
      </w:r>
      <w:r w:rsidR="00B0422A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 Health</w:t>
      </w:r>
      <w:r w:rsidR="00B0422A" w:rsidRPr="00540C3C">
        <w:rPr>
          <w:rFonts w:ascii="Times New Roman" w:hAnsi="Times New Roman" w:cs="Times New Roman"/>
          <w:color w:val="0070C0"/>
          <w:sz w:val="24"/>
          <w:szCs w:val="24"/>
        </w:rPr>
        <w:t>, Feb. 26, 2025. https://rmedymd.com/autonomic-nervous-system-stress-analysis/ (accessed Mar. 12, 2025).</w:t>
      </w:r>
    </w:p>
    <w:p w14:paraId="1BA34948" w14:textId="375F2EB7" w:rsidR="005E2BFB" w:rsidRPr="00540C3C" w:rsidRDefault="0066698D" w:rsidP="005E2BF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[13] 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F. Shaffer and J. P. Ginsberg, “An Overview of Heart Rate Variability Metrics and Norms,” </w:t>
      </w:r>
      <w:r w:rsidR="005E2BFB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Frontiers in Public Health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5, no. 258, Sep. 2017, </w:t>
      </w:r>
      <w:proofErr w:type="spellStart"/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https://doi.org/10.3389/fpubh.2017.00258.</w:t>
      </w:r>
    </w:p>
    <w:p w14:paraId="623F1330" w14:textId="77777777" w:rsidR="005E2BFB" w:rsidRPr="00540C3C" w:rsidRDefault="005E2BFB" w:rsidP="005E2BFB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28D015F2" w14:textId="598FE3F7" w:rsidR="005E2BFB" w:rsidRPr="00540C3C" w:rsidRDefault="0066698D" w:rsidP="005E2BF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[14] 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Administrator, “The Importance of Time-Domain HRV Analysis in Cardiac Health Prediction,” </w:t>
      </w:r>
      <w:proofErr w:type="spellStart"/>
      <w:r w:rsidR="005E2BFB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SeriesScience</w:t>
      </w:r>
      <w:proofErr w:type="spellEnd"/>
      <w:r w:rsidR="005E2BFB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International | Open Access Journals | Peer Reviewed Articles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, Nov. 19, 2022. https://seriesscience.com/hrv-analysis-in-cardiac-health-prediction/</w:t>
      </w:r>
    </w:p>
    <w:p w14:paraId="51E6A1E8" w14:textId="77777777" w:rsidR="005E2BFB" w:rsidRPr="00540C3C" w:rsidRDefault="005E2BFB" w:rsidP="005E2BFB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17DE1594" w14:textId="0029717F" w:rsidR="005E2BFB" w:rsidRPr="00540C3C" w:rsidRDefault="0066698D" w:rsidP="005E2BF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[15] 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S.-A. Cha </w:t>
      </w:r>
      <w:r w:rsidR="005E2BFB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et al.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, “Time- and frequency-domain measures of heart rate variability predict cardiovascular outcome in patients with type 2 diabetes,” </w:t>
      </w:r>
      <w:r w:rsidR="005E2BFB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Diabetes Research and Clinical Practice</w:t>
      </w:r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vol. 143, pp. 159–169, Sep. 2018, </w:t>
      </w:r>
      <w:proofErr w:type="spellStart"/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doi</w:t>
      </w:r>
      <w:proofErr w:type="spellEnd"/>
      <w:r w:rsidR="005E2BFB" w:rsidRPr="00540C3C">
        <w:rPr>
          <w:rFonts w:ascii="Times New Roman" w:hAnsi="Times New Roman" w:cs="Times New Roman"/>
          <w:color w:val="0070C0"/>
          <w:sz w:val="24"/>
          <w:szCs w:val="24"/>
        </w:rPr>
        <w:t>: https://doi.org/10.1016/j.diabres.2018.07.001.</w:t>
      </w:r>
    </w:p>
    <w:p w14:paraId="03ACEA40" w14:textId="77777777" w:rsidR="005E2BFB" w:rsidRPr="00540C3C" w:rsidRDefault="005E2BFB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6A156E91" w14:textId="50F3C4CA" w:rsidR="00732A4F" w:rsidRPr="00540C3C" w:rsidRDefault="0066698D" w:rsidP="00732A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40C3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[16] </w:t>
      </w:r>
      <w:r w:rsidR="00732A4F" w:rsidRPr="00540C3C">
        <w:rPr>
          <w:rFonts w:ascii="Times New Roman" w:hAnsi="Times New Roman" w:cs="Times New Roman"/>
          <w:color w:val="0070C0"/>
          <w:sz w:val="24"/>
          <w:szCs w:val="24"/>
        </w:rPr>
        <w:t>‌“Manuscript Templates for Conference Proceedings,” </w:t>
      </w:r>
      <w:r w:rsidR="00732A4F" w:rsidRPr="00540C3C">
        <w:rPr>
          <w:rFonts w:ascii="Times New Roman" w:hAnsi="Times New Roman" w:cs="Times New Roman"/>
          <w:i/>
          <w:iCs/>
          <w:color w:val="0070C0"/>
          <w:sz w:val="24"/>
          <w:szCs w:val="24"/>
        </w:rPr>
        <w:t>@IEEEorg</w:t>
      </w:r>
      <w:r w:rsidR="00732A4F" w:rsidRPr="00540C3C">
        <w:rPr>
          <w:rFonts w:ascii="Times New Roman" w:hAnsi="Times New Roman" w:cs="Times New Roman"/>
          <w:color w:val="0070C0"/>
          <w:sz w:val="24"/>
          <w:szCs w:val="24"/>
        </w:rPr>
        <w:t xml:space="preserve">, 2020. </w:t>
      </w:r>
      <w:hyperlink r:id="rId5" w:history="1">
        <w:r w:rsidR="00732A4F" w:rsidRPr="00540C3C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https://www.ieee.org/conferences/publishing/templates.html</w:t>
        </w:r>
      </w:hyperlink>
    </w:p>
    <w:p w14:paraId="7B8B6DC0" w14:textId="77777777" w:rsidR="005E2BFB" w:rsidRDefault="005E2BFB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5829D778" w14:textId="0A552782" w:rsidR="00031634" w:rsidRPr="00031634" w:rsidRDefault="00031634" w:rsidP="00031634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031634">
        <w:rPr>
          <w:rFonts w:ascii="Times New Roman" w:eastAsia="Calibri" w:hAnsi="Times New Roman" w:cs="Times New Roman"/>
          <w:color w:val="0070C0"/>
          <w:sz w:val="24"/>
          <w:szCs w:val="24"/>
        </w:rPr>
        <w:t>[17] ‌“Understanding HRV Metrics: A Deep Dive into SDNN and RMSSD - Spike API,” </w:t>
      </w:r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</w:rPr>
        <w:t>Spike API</w:t>
      </w:r>
      <w:r w:rsidRPr="00031634">
        <w:rPr>
          <w:rFonts w:ascii="Times New Roman" w:eastAsia="Calibri" w:hAnsi="Times New Roman" w:cs="Times New Roman"/>
          <w:color w:val="0070C0"/>
          <w:sz w:val="24"/>
          <w:szCs w:val="24"/>
        </w:rPr>
        <w:t>, Jul. 22, 2024. https://spikeapi.com/understanding-hrv-metrics-a-deep-dive-into-sdnn-and-rmssd/ (accessed Mar. 12, 2025).</w:t>
      </w:r>
    </w:p>
    <w:p w14:paraId="583C01BD" w14:textId="77777777" w:rsidR="00031634" w:rsidRPr="00031634" w:rsidRDefault="00031634" w:rsidP="00031634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111BA620" w14:textId="77777777" w:rsidR="00031634" w:rsidRPr="00031634" w:rsidRDefault="00031634" w:rsidP="00031634">
      <w:pPr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</w:pPr>
      <w:r w:rsidRPr="0003163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[18]  </w:t>
      </w:r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F. Shaffer and J. P. Ginsberg, “An Overview of Heart Rate Variability Metrics and Norms,” </w:t>
      </w:r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  <w:lang w:val="en-CA"/>
        </w:rPr>
        <w:t>Frontiers in Public Health</w:t>
      </w:r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 xml:space="preserve">, vol. 5, no. 258, Sep. 2017, </w:t>
      </w:r>
      <w:proofErr w:type="spellStart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doi</w:t>
      </w:r>
      <w:proofErr w:type="spellEnd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: https://doi.org/10.3389/fpubh.2017.00258.</w:t>
      </w:r>
    </w:p>
    <w:p w14:paraId="6CC0D3C4" w14:textId="77777777" w:rsidR="00031634" w:rsidRPr="00031634" w:rsidRDefault="00031634" w:rsidP="00031634">
      <w:pPr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</w:pPr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‌</w:t>
      </w:r>
    </w:p>
    <w:p w14:paraId="3C89049C" w14:textId="77777777" w:rsidR="00031634" w:rsidRPr="00031634" w:rsidRDefault="00031634" w:rsidP="00031634">
      <w:pPr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</w:pPr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 xml:space="preserve">[19] R. E. </w:t>
      </w:r>
      <w:proofErr w:type="spellStart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Kleiger</w:t>
      </w:r>
      <w:proofErr w:type="spellEnd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, P. K. Stein, and J. T. Bigger, “Heart Rate Variability: Measurement and Clinical Utility,” </w:t>
      </w:r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  <w:lang w:val="en-CA"/>
        </w:rPr>
        <w:t xml:space="preserve">Annals of </w:t>
      </w:r>
      <w:proofErr w:type="spellStart"/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  <w:lang w:val="en-CA"/>
        </w:rPr>
        <w:t>Noninvasive</w:t>
      </w:r>
      <w:proofErr w:type="spellEnd"/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  <w:lang w:val="en-CA"/>
        </w:rPr>
        <w:t xml:space="preserve"> </w:t>
      </w:r>
      <w:proofErr w:type="spellStart"/>
      <w:r w:rsidRPr="00031634">
        <w:rPr>
          <w:rFonts w:ascii="Times New Roman" w:eastAsia="Calibri" w:hAnsi="Times New Roman" w:cs="Times New Roman"/>
          <w:i/>
          <w:iCs/>
          <w:color w:val="0070C0"/>
          <w:sz w:val="24"/>
          <w:szCs w:val="24"/>
          <w:lang w:val="en-CA"/>
        </w:rPr>
        <w:t>Electrocardiology</w:t>
      </w:r>
      <w:proofErr w:type="spellEnd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 xml:space="preserve">, vol. 10, no. 1, pp. 88–101, Jan. 2005, </w:t>
      </w:r>
      <w:proofErr w:type="spellStart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doi</w:t>
      </w:r>
      <w:proofErr w:type="spellEnd"/>
      <w:r w:rsidRPr="00031634"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  <w:t>: https://doi.org/10.1111/j.1542-474x.2005.10101.x.</w:t>
      </w:r>
    </w:p>
    <w:p w14:paraId="259A2F4A" w14:textId="77777777" w:rsidR="006615BF" w:rsidRPr="00031634" w:rsidRDefault="006615BF">
      <w:pPr>
        <w:rPr>
          <w:rFonts w:ascii="Times New Roman" w:eastAsia="Calibri" w:hAnsi="Times New Roman" w:cs="Times New Roman"/>
          <w:color w:val="0070C0"/>
          <w:sz w:val="24"/>
          <w:szCs w:val="24"/>
          <w:lang w:val="en-CA"/>
        </w:rPr>
      </w:pPr>
    </w:p>
    <w:sectPr w:rsidR="006615BF" w:rsidRPr="00031634" w:rsidSect="002965D0">
      <w:pgSz w:w="11910" w:h="16840"/>
      <w:pgMar w:top="1639" w:right="482" w:bottom="1179" w:left="1298" w:header="72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0"/>
    <w:rsid w:val="00031634"/>
    <w:rsid w:val="00233B97"/>
    <w:rsid w:val="002965D0"/>
    <w:rsid w:val="00476CDE"/>
    <w:rsid w:val="00540C3C"/>
    <w:rsid w:val="00542358"/>
    <w:rsid w:val="005D758B"/>
    <w:rsid w:val="005E2BFB"/>
    <w:rsid w:val="006615BF"/>
    <w:rsid w:val="00664590"/>
    <w:rsid w:val="0066698D"/>
    <w:rsid w:val="006F485D"/>
    <w:rsid w:val="00732A4F"/>
    <w:rsid w:val="007378ED"/>
    <w:rsid w:val="00766563"/>
    <w:rsid w:val="007733F3"/>
    <w:rsid w:val="008F3F9A"/>
    <w:rsid w:val="00906591"/>
    <w:rsid w:val="00994C49"/>
    <w:rsid w:val="00A71EEE"/>
    <w:rsid w:val="00A82B86"/>
    <w:rsid w:val="00B0422A"/>
    <w:rsid w:val="00B420EE"/>
    <w:rsid w:val="00D847BD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AFE0"/>
  <w15:chartTrackingRefBased/>
  <w15:docId w15:val="{78486E4B-6FDE-419F-A5E7-8FAEA40B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9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5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hyperlink" Target="https://www.frontiersin.org/articles/10.3389/fphys.2016.00044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Kevin Agatare</dc:creator>
  <cp:keywords/>
  <dc:description/>
  <cp:lastModifiedBy>Johan Kevin Agatare</cp:lastModifiedBy>
  <cp:revision>11</cp:revision>
  <dcterms:created xsi:type="dcterms:W3CDTF">2025-04-16T19:47:00Z</dcterms:created>
  <dcterms:modified xsi:type="dcterms:W3CDTF">2025-04-16T21:53:00Z</dcterms:modified>
</cp:coreProperties>
</file>