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B48D" w14:textId="77777777" w:rsidR="00F54ADA" w:rsidRPr="00F54ADA" w:rsidRDefault="00F54ADA" w:rsidP="00F54ADA">
      <w:pPr>
        <w:spacing w:before="100" w:beforeAutospacing="1" w:after="100" w:afterAutospacing="1" w:line="240" w:lineRule="auto"/>
        <w:rPr>
          <w:rFonts w:ascii="Arial" w:eastAsia="Times New Roman" w:hAnsi="Arial" w:cs="Arial"/>
          <w:color w:val="123654"/>
          <w:sz w:val="27"/>
          <w:szCs w:val="27"/>
          <w:lang w:eastAsia="en-IN"/>
        </w:rPr>
      </w:pPr>
      <w:r w:rsidRPr="00F54ADA">
        <w:rPr>
          <w:rFonts w:ascii="Arial" w:eastAsia="Times New Roman" w:hAnsi="Arial" w:cs="Arial"/>
          <w:b/>
          <w:bCs/>
          <w:color w:val="123654"/>
          <w:sz w:val="27"/>
          <w:szCs w:val="27"/>
          <w:lang w:eastAsia="en-IN"/>
        </w:rPr>
        <w:t>Data Set Information:</w:t>
      </w:r>
    </w:p>
    <w:p w14:paraId="3DB78D98" w14:textId="77777777" w:rsidR="00F54ADA" w:rsidRPr="00F54ADA" w:rsidRDefault="00F54ADA" w:rsidP="00F54ADA">
      <w:pPr>
        <w:spacing w:before="100" w:beforeAutospacing="1" w:after="100" w:afterAutospacing="1" w:line="240" w:lineRule="auto"/>
        <w:rPr>
          <w:rFonts w:ascii="Arial" w:eastAsia="Times New Roman" w:hAnsi="Arial" w:cs="Arial"/>
          <w:color w:val="123654"/>
          <w:sz w:val="20"/>
          <w:szCs w:val="20"/>
          <w:lang w:eastAsia="en-IN"/>
        </w:rPr>
      </w:pPr>
      <w:r w:rsidRPr="00F54ADA">
        <w:rPr>
          <w:rFonts w:ascii="Arial" w:eastAsia="Times New Roman" w:hAnsi="Arial" w:cs="Arial"/>
          <w:color w:val="123654"/>
          <w:sz w:val="20"/>
          <w:szCs w:val="20"/>
          <w:lang w:eastAsia="en-IN"/>
        </w:rPr>
        <w:t>This research aimed at the case of customersâ€™ default payments in Taiwan 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 Because the real probability of default is unknown, this study presented the novel â€œSorting Smoothing Methodâ€ to estimate the real probability of default.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Therefore, among the six data mining techniques, artificial neural network is the only one that can accurately estimate the real probability of default.</w:t>
      </w:r>
    </w:p>
    <w:p w14:paraId="45BFCA2C" w14:textId="77777777" w:rsidR="00F54ADA" w:rsidRPr="00F54ADA" w:rsidRDefault="00F54ADA" w:rsidP="00F54ADA">
      <w:pPr>
        <w:spacing w:after="0" w:line="240" w:lineRule="auto"/>
        <w:rPr>
          <w:rFonts w:ascii="Times New Roman" w:eastAsia="Times New Roman" w:hAnsi="Times New Roman" w:cs="Times New Roman"/>
          <w:sz w:val="24"/>
          <w:szCs w:val="24"/>
          <w:lang w:eastAsia="en-IN"/>
        </w:rPr>
      </w:pPr>
      <w:r w:rsidRPr="00F54ADA">
        <w:rPr>
          <w:rFonts w:ascii="Times New Roman" w:eastAsia="Times New Roman" w:hAnsi="Times New Roman" w:cs="Times New Roman"/>
          <w:color w:val="000000"/>
          <w:sz w:val="27"/>
          <w:szCs w:val="27"/>
          <w:lang w:eastAsia="en-IN"/>
        </w:rPr>
        <w:br/>
      </w:r>
    </w:p>
    <w:p w14:paraId="69BBDE89" w14:textId="77777777" w:rsidR="00F54ADA" w:rsidRPr="00F54ADA" w:rsidRDefault="00F54ADA" w:rsidP="00F54ADA">
      <w:pPr>
        <w:spacing w:before="100" w:beforeAutospacing="1" w:after="100" w:afterAutospacing="1" w:line="240" w:lineRule="auto"/>
        <w:rPr>
          <w:rFonts w:ascii="Arial" w:eastAsia="Times New Roman" w:hAnsi="Arial" w:cs="Arial"/>
          <w:color w:val="123654"/>
          <w:sz w:val="27"/>
          <w:szCs w:val="27"/>
          <w:lang w:eastAsia="en-IN"/>
        </w:rPr>
      </w:pPr>
      <w:r w:rsidRPr="00F54ADA">
        <w:rPr>
          <w:rFonts w:ascii="Arial" w:eastAsia="Times New Roman" w:hAnsi="Arial" w:cs="Arial"/>
          <w:b/>
          <w:bCs/>
          <w:color w:val="123654"/>
          <w:sz w:val="27"/>
          <w:szCs w:val="27"/>
          <w:lang w:eastAsia="en-IN"/>
        </w:rPr>
        <w:t>Attribute Information:</w:t>
      </w:r>
    </w:p>
    <w:p w14:paraId="675524D4" w14:textId="77777777" w:rsidR="00F54ADA" w:rsidRPr="00F54ADA" w:rsidRDefault="00F54ADA" w:rsidP="00F54ADA">
      <w:pPr>
        <w:spacing w:before="100" w:beforeAutospacing="1" w:after="100" w:afterAutospacing="1" w:line="240" w:lineRule="auto"/>
        <w:rPr>
          <w:rFonts w:ascii="Arial" w:eastAsia="Times New Roman" w:hAnsi="Arial" w:cs="Arial"/>
          <w:color w:val="123654"/>
          <w:sz w:val="20"/>
          <w:szCs w:val="20"/>
          <w:lang w:eastAsia="en-IN"/>
        </w:rPr>
      </w:pPr>
      <w:r w:rsidRPr="00F54ADA">
        <w:rPr>
          <w:rFonts w:ascii="Arial" w:eastAsia="Times New Roman" w:hAnsi="Arial" w:cs="Arial"/>
          <w:color w:val="123654"/>
          <w:sz w:val="20"/>
          <w:szCs w:val="20"/>
          <w:lang w:eastAsia="en-IN"/>
        </w:rPr>
        <w:t>This research employed a binary variable, default payment (Yes = 1, No = 0), as the response variable. This study reviewed the literature and used the following 23 variables as explanatory variables: </w:t>
      </w:r>
      <w:r w:rsidRPr="00F54ADA">
        <w:rPr>
          <w:rFonts w:ascii="Arial" w:eastAsia="Times New Roman" w:hAnsi="Arial" w:cs="Arial"/>
          <w:color w:val="123654"/>
          <w:sz w:val="20"/>
          <w:szCs w:val="20"/>
          <w:lang w:eastAsia="en-IN"/>
        </w:rPr>
        <w:br/>
        <w:t>X1: Amount of the given credit (NT dollar): it includes both the individual consumer credit and his/her family (supplementary) credit. </w:t>
      </w:r>
      <w:r w:rsidRPr="00F54ADA">
        <w:rPr>
          <w:rFonts w:ascii="Arial" w:eastAsia="Times New Roman" w:hAnsi="Arial" w:cs="Arial"/>
          <w:color w:val="123654"/>
          <w:sz w:val="20"/>
          <w:szCs w:val="20"/>
          <w:lang w:eastAsia="en-IN"/>
        </w:rPr>
        <w:br/>
        <w:t>X2: Gender (1 = male; 2 = female). </w:t>
      </w:r>
      <w:r w:rsidRPr="00F54ADA">
        <w:rPr>
          <w:rFonts w:ascii="Arial" w:eastAsia="Times New Roman" w:hAnsi="Arial" w:cs="Arial"/>
          <w:color w:val="123654"/>
          <w:sz w:val="20"/>
          <w:szCs w:val="20"/>
          <w:lang w:eastAsia="en-IN"/>
        </w:rPr>
        <w:br/>
        <w:t>X3: Education (1 = graduate school; 2 = university; 3 = high school; 4 = others). </w:t>
      </w:r>
      <w:r w:rsidRPr="00F54ADA">
        <w:rPr>
          <w:rFonts w:ascii="Arial" w:eastAsia="Times New Roman" w:hAnsi="Arial" w:cs="Arial"/>
          <w:color w:val="123654"/>
          <w:sz w:val="20"/>
          <w:szCs w:val="20"/>
          <w:lang w:eastAsia="en-IN"/>
        </w:rPr>
        <w:br/>
        <w:t>X4: Marital status (1 = married; 2 = single; 3 = others). </w:t>
      </w:r>
      <w:r w:rsidRPr="00F54ADA">
        <w:rPr>
          <w:rFonts w:ascii="Arial" w:eastAsia="Times New Roman" w:hAnsi="Arial" w:cs="Arial"/>
          <w:color w:val="123654"/>
          <w:sz w:val="20"/>
          <w:szCs w:val="20"/>
          <w:lang w:eastAsia="en-IN"/>
        </w:rPr>
        <w:br/>
        <w:t>X5: Age (year). </w:t>
      </w:r>
      <w:r w:rsidRPr="00F54ADA">
        <w:rPr>
          <w:rFonts w:ascii="Arial" w:eastAsia="Times New Roman" w:hAnsi="Arial" w:cs="Arial"/>
          <w:color w:val="123654"/>
          <w:sz w:val="20"/>
          <w:szCs w:val="20"/>
          <w:lang w:eastAsia="en-IN"/>
        </w:rPr>
        <w:br/>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 </w:t>
      </w:r>
      <w:r w:rsidRPr="00F54ADA">
        <w:rPr>
          <w:rFonts w:ascii="Arial" w:eastAsia="Times New Roman" w:hAnsi="Arial" w:cs="Arial"/>
          <w:color w:val="123654"/>
          <w:sz w:val="20"/>
          <w:szCs w:val="20"/>
          <w:lang w:eastAsia="en-IN"/>
        </w:rPr>
        <w:br/>
        <w:t>X12-X17: Amount of bill statement (NT dollar). X12 = amount of bill statement in September, 2005; X13 = amount of bill statement in August, 2005; . . .; X17 = amount of bill statement in April, 2005. </w:t>
      </w:r>
      <w:r w:rsidRPr="00F54ADA">
        <w:rPr>
          <w:rFonts w:ascii="Arial" w:eastAsia="Times New Roman" w:hAnsi="Arial" w:cs="Arial"/>
          <w:color w:val="123654"/>
          <w:sz w:val="20"/>
          <w:szCs w:val="20"/>
          <w:lang w:eastAsia="en-IN"/>
        </w:rPr>
        <w:br/>
        <w:t>X18-X23: Amount of previous payment (NT dollar). X18 = amount paid in September, 2005; X19 = amount paid in August, 2005; . . .;X23 = amount paid in April, 2005. </w:t>
      </w:r>
    </w:p>
    <w:p w14:paraId="538CB2BD" w14:textId="77777777" w:rsidR="00963E57" w:rsidRDefault="00963E57">
      <w:bookmarkStart w:id="0" w:name="_GoBack"/>
      <w:bookmarkEnd w:id="0"/>
    </w:p>
    <w:sectPr w:rsidR="0096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zYxtjA3MjcxMDVU0lEKTi0uzszPAykwrAUAXNiKuiwAAAA="/>
  </w:docVars>
  <w:rsids>
    <w:rsidRoot w:val="00B15EAE"/>
    <w:rsid w:val="00963E57"/>
    <w:rsid w:val="00B15EAE"/>
    <w:rsid w:val="00F54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D22F0-3B07-45B4-BF77-EDB296F1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F54A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F54A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Krish</dc:creator>
  <cp:keywords/>
  <dc:description/>
  <cp:lastModifiedBy>Suresh Krish</cp:lastModifiedBy>
  <cp:revision>2</cp:revision>
  <dcterms:created xsi:type="dcterms:W3CDTF">2019-02-12T16:43:00Z</dcterms:created>
  <dcterms:modified xsi:type="dcterms:W3CDTF">2019-02-12T16:44:00Z</dcterms:modified>
</cp:coreProperties>
</file>