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номер варианта для лабораторной работы определяется по формуле: </w:t>
      </w:r>
      <w:r w:rsidDel="00000000" w:rsidR="00000000" w:rsidRPr="00000000">
        <w:rPr>
          <w:rtl w:val="0"/>
        </w:rPr>
        <w:t xml:space="preserve">порядковый номер в группе в ИСУ % количество вариантов.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 если количество вариантов = 20, а ваш номер в ИСУ = 13, то вариант будет: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13 % 20 = 13 → значит, ваш вариант №13.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В текущем методическом материале указано </w:t>
      </w:r>
      <w:r w:rsidDel="00000000" w:rsidR="00000000" w:rsidRPr="00000000">
        <w:rPr>
          <w:rtl w:val="0"/>
        </w:rPr>
        <w:t xml:space="preserve">25 вариантов</w:t>
      </w:r>
      <w:r w:rsidDel="00000000" w:rsidR="00000000" w:rsidRPr="00000000">
        <w:rPr>
          <w:rtl w:val="0"/>
        </w:rPr>
        <w:t xml:space="preserve"> (но это нужно уточнить).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как лабораторная выполняется в команде, для отчёта выбирается вариант, который выпал одному из участников. Однако я могу задать вопросы и по особенностям дистрибутивов любого человека из вашей команды, поэтому важно быть готовыми, как команда.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