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14F2" w14:textId="77777777" w:rsidR="00285241" w:rsidRDefault="00285241" w:rsidP="00285241">
      <w:r>
        <w:t xml:space="preserve">&gt;     </w:t>
      </w:r>
      <w:proofErr w:type="spellStart"/>
      <w:r>
        <w:t>IntExpense</w:t>
      </w:r>
      <w:proofErr w:type="spellEnd"/>
      <w:r>
        <w:t xml:space="preserve"> &lt;- </w:t>
      </w:r>
      <w:proofErr w:type="spellStart"/>
      <w:r>
        <w:t>qdapRegex</w:t>
      </w:r>
      <w:proofErr w:type="spellEnd"/>
      <w:r>
        <w:t>::</w:t>
      </w:r>
      <w:proofErr w:type="spellStart"/>
      <w:r>
        <w:t>ex_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html_fin</w:t>
      </w:r>
      <w:proofErr w:type="spellEnd"/>
      <w:r>
        <w:t>, "</w:t>
      </w:r>
      <w:proofErr w:type="spellStart"/>
      <w:r>
        <w:t>NonOperatingInterestIncomeExpense</w:t>
      </w:r>
      <w:proofErr w:type="spellEnd"/>
      <w:r>
        <w:t>", "annual")[[1]]</w:t>
      </w:r>
    </w:p>
    <w:p w14:paraId="48EE8173" w14:textId="77777777" w:rsidR="00285241" w:rsidRDefault="00285241" w:rsidP="00285241">
      <w:r>
        <w:t xml:space="preserve">&gt; </w:t>
      </w:r>
      <w:proofErr w:type="spellStart"/>
      <w:r>
        <w:t>IntExpense</w:t>
      </w:r>
      <w:proofErr w:type="spellEnd"/>
    </w:p>
    <w:p w14:paraId="00E8E43C" w14:textId="77777777" w:rsidR="00285241" w:rsidRDefault="00285241" w:rsidP="00285241">
      <w:r>
        <w:t>[1] "\",\"title\":\"NET_NON_OPERATING_INTEREST_INCOME_EXPENSE\",\"children\":[{\"key\":\"InterestIncomeNonOperating\",\"title\":\"INTEREST_INCOME_NON_OPERATING\"},{\"key\":\"InterestExpenseNonOperating\",\"title\":\"INTEREST_EXPENSE_NON_OPERATING\"},{\"key\":\"TotalOtherFinanceCost\",\"title\":\"TOTAL_OTHER_FINANCE_COST\"}]},{\"key\":\"OtherIncomeExpense\",\"title\":\"OTHER_INCOME_EXPENSE\",\"children\":[{\"key\":\"GainOnSaleOfSecurity\",\"title\":\"GAIN_ON_SALE_OF_SECURITY\"},{\"key\":\"EarningsFromEquityInterest\",\"title\":\"EARNINGS_FROM_EQUITY_INTEREST\"},{\"key\":\"SecuritiesAmortization\",\"title\":\"SECURITIES_AMORTIZATION\"},{\"key\":\"SpecialIncomeCharges\",\"title\":\"SPECIAL_INCOME_CHARGES\",\"children\":[{\"key\":\"RestructuringAndMergernAcquisition\",\"title\":\"RESTRUCTURING_AND_MERGERN_ACQUISITION\"},{\"key\":\"ImpairmentOfCapitalAssets\",\"title\":\"IMPAIRMENT_OF_CAPITAL_ASSETS\"},{\"key\":\"WriteOff\",\"title\":\"WRITE_OFF\"},{\"key\":\"OtherSpecialCharges\",\"title\":\"OTHER_SPECIAL_CHARGES\"},{\"key\":\"GainOnSaleOfBusiness\",\"title\":\"GAIN_ON_SALE_OF_BUSINESS\"},{\"key\":\"GainOnSaleOfPPE\",\"title\":\"GAIN_ON_SALE_OF_PPE\"}]},{\"key\":\"OtherNonOperatingIncomeExpenses\",\"title\":\"OTHER_NON_OPERATING_INCOME_EXPENSES\"}]},{\"key\":\"PretaxIncome\",\"title\":\"PRETAX_INCOME\"},{\"key\":\"TaxProvision\",\"title\":\"TAX_PROVISION\"},{\"key\":\"EarningsFromEquityInterestNetOfTax\",\"title\":\"EARNINGS_FROM_EQUITY_INTEREST_NET_OF_TAX\"},{\"key\":\"NetIncomeCommonStockholders\",\"title\":\"NET_INCOME_COMMON_STOCKHOLDERS\",\"children\":[{\"key\":\"NetIncome\",\"title\":\"NET_INCOME\",\"children\":[{\"key\":\"NetIncomeIncludingNoncontrollingInterests\",\"title\":\"NET_INCOME_INCLUDING_NONCONTROLLING_INTERESTS\",\"children\":[{\"key\":\"NetIncomeContinuousOperations\",\"title\":\"NET_INCOME_CONTINUOUS_OPERATIONS\"},{\"key\":\"NetIncomeDiscontinuousOperations\",\"title\":\"NET_INCOME_DISCONTINUOUS_OPERATIONS\"},{\"key\":\"NetIncomeExtraordinary\",\"title\":\"NET_INCOME_EXTRAORDINARY\"},{\"key\":\"NetIncomeFromTaxLossCarryforward\",\"title\":\"NET_INCOME_FROM_TAX_LOSS_CARRYFORWARD\"}]},{\"key\":\"MinorityInterests\",\"title\":\"MINORITY_INTERESTS\"}]},{\"key\":\"PreferredStockDividends\",\"title\":\"PREFERRED_STOCK_DIVIDENDS\"},{\"key\":\"OtherunderPreferredStockDividend\",\"title\":\"OTHERUNDER_PREFERRED_STOCK_DIVIDEND\"}]},{\"key\":\"AverageDilutionEarnings\",\"title\":\"AVERAGE_DILUTION_EARNINGS\"},{\"key\":\"DilutedNIAvailtoComStockholders\",\"title\":\"DILUTED_NI_AVAILTO_COM_STOCKHOLDERS\"},{\"key\":\"BasicEPS\",\"title\":\"BASIC_EPS\",\"useRaw\":false,\"children\":[{\"key\":\"BasicContinuousOperations\",\"title\":\"BASIC_CONTINUOUS_OPERATIONS\"},{\"key\":\"BasicDiscontinuousOperations\",\"title\":\"BASIC_DISCONTINUOUS_OPERATIONS\"},{\"key\":\"BasicExtraordinary\",\"title\":\"BASIC_EXTRAORDINARY\"},{\"key\":\"BasicAccountingChange\",\"title\":\"BASIC_ACCOUNTING_CHANGE\"},{\"key\":\"TaxLossCarryforwardBasicEPS\",\"title\":\"TAX_LOSS_CARRYFORWARD_BASIC_EPS\"},{\"key\":\"BasicEPSOtherGainsLosses\",\"title\":\"BASIC_EPS_OTHER_GAINS_LOSSES\"}]},{\"key\":\"DilutedEPS\",\"title\":\"DILUTED_EPS\",\"useRaw\":false,\"children\":[{\"key\":\"DilutedContinuousOperations\",\"title\":\"DILUTED_CONTINUOUS_OPERATIONS\"},{\"key\":\"DilutedDiscontinuousOperations\",\"title\":\"DILUTED_DISCONTINUOUS_OPERATIONS\"},{\"key\":\"DilutedExtraordinary\",\"title\":\"DILUTED_EXTRAORDINARY\"},{\"key\":\"DilutedAccountingChange\",\"title\":\"DILUTED_ACCOUNTING_CHANGE\"},{\"key\":\"TaxLossCarryforwardDilutedEPS\",\"title\":\"TAX_LOSS_CARRYFORWARD_DILUTED_EPS\"},{\"key\":\"DilutedEPSOtherGainsLosses\",\"title\":\"DILUTED_EPS_OTHER_GAINS_LOSSES\"}]},{\"key\":\"BasicAverageShares\",\"title\":\"BASIC_AVERAGE_SHARES\"},{\"key\":\"DilutedAverageShares\",\"title\":\"DILUTED_AVERAGE_SHARES\"},{\"key\":\"DividendPerShare\",\"title\":\"DIVIDEND_PER_SHARE\"},{\"key\":\"TotalOperatingIncomeAsReported\",\"title\":\"TOTAL_OPERATING_INCOME_AS_REPORTED\"},{\"key\":\"ReportedNormalizedBasicEPS\",\"title\":\"REPORTED_NORMALIZED_BASIC_</w:t>
      </w:r>
      <w:r>
        <w:lastRenderedPageBreak/>
        <w:t>EPS\"},{\"key\":\"ReportedNormalizedDilutedEPS\",\"title\":\"REPORTED_NORMALIZED_DILUTED_EPS\"},{\"key\":\"RentExpenseSupplemental\",\"title\":\"RENT_EXPENSE_SUPPLEMENTAL\"},{\"key\":\"TotalExpenses\",\"title\":\"TOTAL_EXPENSES\"},{\"key\":\"NetIncomeFromContinuingAndDiscontinuedOperation\",\"title\":\"NET_INCOME_FROM_CONTINUING_AND_DISCONTINUED_OPERATION\"},{\"key\":\"NormalizedIncome\",\"title\":\"NORMALIZED_INCOME\"},{\"key\":\"ContinuingAndDiscontinuedBasicEPS\",\"title\":\"CONTINUING_AND_DISCONTINUED_BASIC_EPS\"},{\"key\":\"ContinuingAndDiscontinuedDilutedEPS\",\"title\":\"CONTINUING_AND_DISCONTINUED_DILUTED_EPS\"},{\"key\":\"InterestIncome\",\"title\":\"INTEREST_INCOME\"},{\"key\":\"InterestExpense\",\"title\":\"INTEREST_EXPENSE\"},{\"key\":\"NetInterestIncome\",\"title\":\"NET_INTEREST_INCOME\"},{\"key\":\"EBIT\",\"title\":\"EBIT\"},{\"key\":\"EBITDA\",\"title\":\"EBITDA\"},{\"key\":\"ReconciledCostOfRevenue\",\"title\":\"RECONCILED_COST_OF_REVENUE\"},{\"key\":\"ReconciledDepreciation\",\"title\":\"RECONCILED_DEPRECIATION\"},{\"key\":\"NetIncomeFromContinuingOperationNetMinorityInterest\",\"title\":\"NET_INCOME_FROM_CONTINUING_OPERATION_NET_MINORITY_INTEREST\"},{\"key\":\"TotalUnusualItemsExcludingGoodwill\",\"title\":\"TOTAL_UNUSUAL_ITEMS_EXCLUDING_GOODWILL\"},{\"key\":\"TotalUnusualItems\",\"title\":\"TOTAL_UNUSUAL_ITEMS\"},{\"key\":\"NormalizedBasicEPS\",\"title\":\"NORMALIZED_BASIC_EPS\"},{\"key\":\"NormalizedDilutedEPS\",\"title\":\"NORMALIZED_DILUTED_EPS\"},{\"key\":\"NormalizedEBITDA\",\"title\":\"NORMALIZED_EBITDA\"},{\"key\":\"TaxRateForCalcs\",\"title\":\"TAX_RATE_FOR_CALCS\"},{\"key\":\"TaxEffectOfUnusualItems\",\"title\":\"TAX_EFFECT_OF_UNUSUAL_ITEMS\"}]},\"QuoteTimeSeriesStore\":{\"timeSeries\":{\"trailingGrossProfit\":[{\"dataId\":20046,\"asOfDate\":\"2022-05-31\",\"periodType\":\"TTM\",\"currencyCode\":\"USD\",\"reportedValue\":{\"raw\":21479000000,\"fmt\":\"21.48B\"}}],\""</w:t>
      </w:r>
    </w:p>
    <w:p w14:paraId="018881E8" w14:textId="77777777" w:rsidR="00285241" w:rsidRDefault="00285241" w:rsidP="00285241">
      <w:r>
        <w:t xml:space="preserve">[2] "\":[{\"dataId\":20077,\"asOfDate\":\"2019-05-31\",\"periodType\":\"12M\",\"currencyCode\":\"USD\",\"reportedValue\":{\"raw\":-49000000,\"fmt\":\"-49.00M\"}},{\"dataId\":20077,\"asOfDate\":\"2020-05-31\",\"periodType\":\"12M\",\"currencyCode\":\"USD\",\"reportedValue\":{\"raw\":-89000000,\"fmt\":\"-89.00M\"}},{\"dataId\":20077,\"asOfDate\":\"2021-05-31\",\"periodType\":\"12M\",\"currencyCode\":\"USD\",\"reportedValue\":{\"raw\":-262000000,\"fmt\":\"-262.00M\"}},{\"dataId\":20077,\"asOfDate\":\"2022-05-31\",\"periodType\":\"12M\",\"currencyCode\":\"USD\",\"reportedValue\":{\"raw\":-205000000,\"fmt\":\"-205.00M\"}}],\"trailingNetIncomeIncludingNoncontrollingInterests\":[{\"dataId\":20346,\"asOfDate\":\"2022-05-31\",\"periodType\":\"TTM\",\"currencyCode\":\"USD\",\"reportedValue\":{\"raw\":6046000000,\"fmt\":\"6.05B\"}}],\"trailingOperatingRevenue\":[{\"dataId\":20112,\"asOfDate\":\"2022-05-31\",\"periodType\":\"TTM\",\"currencyCode\":\"USD\",\"reportedValue\":{\"raw\":46710000000,\"fmt\":\"46.71B\"}}],\"trailingDilutedNIAvailtoComStockholders\":[{\"dataId\":20424,\"asOfDate\":\"2022-05-31\",\"periodType\":\"TTM\",\"currencyCode\":\"USD\",\"reportedValue\":{\"raw\":6046000000,\"fmt\":\"6.05B\"}}],\"trailingNetIncomeCommonStockholders\":[{\"dataId\":20093,\"asOfDate\":\"2022-05-31\",\"periodType\":\"TTM\",\"currencyCode\":\"USD\",\"reportedValue\":{\"raw\":6046000000,\"fmt\":\"6.05B\"}}],\"trailingTaxEffectOfUnusualItems\":[{\"dataId\":20419,\"asOfDate\":\"2022-05-31\",\"periodType\":\"TTM\",\"currencyCode\":\"USD\",\"reportedValue\":{\"raw\":0,\"fmt\":\"0.00\"}}],\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EC45EC" w14:textId="77777777" w:rsidR="00285241" w:rsidRDefault="00285241" w:rsidP="00285241">
      <w:r>
        <w:t>[3] "\":[{\"dataId\":20077,\"asOfDate\":\"2022-05-31\",\"periodType\":\"TTM\",\"currencyCode\":\"USD\",\"reportedValue\":{\"raw\":-</w:t>
      </w:r>
      <w:r>
        <w:lastRenderedPageBreak/>
        <w:t xml:space="preserve">205000000,\"fmt\":\"-205.00M\"}}],\""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BAB1BE" w14:textId="3F434D41" w:rsidR="00164BD9" w:rsidRPr="00285241" w:rsidRDefault="00285241" w:rsidP="00285241">
      <w:r>
        <w:t>&gt;</w:t>
      </w:r>
    </w:p>
    <w:sectPr w:rsidR="00164BD9" w:rsidRPr="00285241" w:rsidSect="0044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FF"/>
    <w:rsid w:val="000775F0"/>
    <w:rsid w:val="00164BD9"/>
    <w:rsid w:val="00224EC3"/>
    <w:rsid w:val="00285241"/>
    <w:rsid w:val="0030164C"/>
    <w:rsid w:val="003A6AB6"/>
    <w:rsid w:val="003F1F32"/>
    <w:rsid w:val="00413EFF"/>
    <w:rsid w:val="00421BA1"/>
    <w:rsid w:val="00447CCB"/>
    <w:rsid w:val="00736B07"/>
    <w:rsid w:val="00924929"/>
    <w:rsid w:val="00924D0B"/>
    <w:rsid w:val="009E69A2"/>
    <w:rsid w:val="00C577A5"/>
    <w:rsid w:val="00D82F86"/>
    <w:rsid w:val="00E14E70"/>
    <w:rsid w:val="00E2433B"/>
    <w:rsid w:val="00E2727B"/>
    <w:rsid w:val="00F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30B1"/>
  <w15:chartTrackingRefBased/>
  <w15:docId w15:val="{52A48888-CDC0-40BC-8FA1-AAC66FA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2484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König</dc:creator>
  <cp:keywords/>
  <dc:description/>
  <cp:lastModifiedBy>Justin König</cp:lastModifiedBy>
  <cp:revision>12</cp:revision>
  <dcterms:created xsi:type="dcterms:W3CDTF">2022-07-11T22:10:00Z</dcterms:created>
  <dcterms:modified xsi:type="dcterms:W3CDTF">2022-09-06T12:00:00Z</dcterms:modified>
</cp:coreProperties>
</file>