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m62a0o8q5a3r" w:id="0"/>
      <w:bookmarkEnd w:id="0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Summary of Key Findings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DISCLAIMER: All mentions of the bank’s actual name have been intentionally redacted or generalized due to operational security concerns.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Organization: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Local Bank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Assessment Date: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2/23/25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Location: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Aino Maina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Assessor: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Jabbar Yaqub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document summarizes the findings of a basic cybersecurity risk assessment conducted for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Local Bank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on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2/23/25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 The assessment focused on key operational areas including access control, data protection, physical security, network security, incident response, employee awareness, and regulatory compliance. The checklist was tailored for small- to medium-sized financial institutions operating in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Aino Maina, Afghanistan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to identify practical gaps in cybersecurity hygiene.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goal was to provide a simple yet effective self-evaluation tool to highlight potential vulnerabilities and areas requiring improvement. Each item in the checklist was marked as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Yes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or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Partial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based on current practices observed or reported by the organization. Visualizations for the data were created to better understand current their risk posture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ssvkwre2vcgx" w:id="1"/>
      <w:bookmarkEnd w:id="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Risk Assessment and Response Data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05"/>
        <w:gridCol w:w="3120"/>
        <w:tblGridChange w:id="0">
          <w:tblGrid>
            <w:gridCol w:w="3135"/>
            <w:gridCol w:w="3105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Audit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Access Control &amp;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user accounts reviewed and deactivated upon employee departure?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multi-factor authentication (MFA) systems enforced for all internal banking systems?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privileged/admin accounts monitored and logged?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Partial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Data Protection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sensitive customer data encrypted at rest and in transit?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backups performed daily and stored securely off-site or on a secure cloud?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there a clear data classification policy in place?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Physical 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server rooms locked, with restricted access and CCTV monitoring?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ATM and branch terminals physically secured and inspected regularly?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Partial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visitors to secure areas logged and escorted?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Network &amp; System 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there a firewall and intrusion detection/prevention system (IDS/IPS) in place?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core banking systems regularly patched and maintained?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Partial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USB/portable storage device access restricted or monitored?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Incident Response &amp;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there an incident response plan that staff are trained 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system logs regularly reviewed for suspicious activity?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Partial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Has a cybersecurity incident simulation been conducted in the past 6 months?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Employee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all employees completed cybersecurity awareness training in the last 12 months?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phishing tests conducted regularly to assess employee awareness?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Regulatory 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KYC and AML processes regularly reviewed for compliance gaps?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compliance reports submitted to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rtl w:val="0"/>
              </w:rPr>
              <w:t xml:space="preserve">Da Afghanistan Bank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as required?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gtwcfz1cdlu1" w:id="2"/>
      <w:bookmarkEnd w:id="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Risk Assessment and Response Data Visualization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Partial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Risk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Access Control &amp; Authentication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Data Protection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Employee Training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Incident Response &amp; Monitoring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Network &amp; System Security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Physical Security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Regulatory Compliance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36830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ind w:left="720" w:hanging="36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o9xs335e2goi" w:id="3"/>
      <w:bookmarkEnd w:id="3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Comprehensive Risk Assessment Summary – Local Bank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Framework Alignment: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Based on the NIST CSF's five core functions — Identify, Protect, Detect, Respond, Recover — with considerations for Afghan-specific institutional requirements per NISA.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ind w:left="0" w:firstLine="0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nfwvbg1ejsjr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Access Control &amp; Authentication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Multi-Factor Authentication (MFA)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is not enforced across all internal systems. This significantly elevates the risk of unauthorized access, especially in remote or high-privilege contexts.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Admin/privileged account activity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is only partially logged, creating gaps in auditability and making insider threat detection difficult.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User account deactivation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appears to be managed correctly upon employee departure, mitigating orphaned account risk.</w:t>
        <w:br w:type="textWrapping"/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NIST Alignment: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Protect (PR.AC), Detect (DE.AE)</w:t>
        <w:br w:type="textWrapping"/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NISA Relevance: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Strong identity access management and privileged account logging are high priorities.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ind w:left="0" w:firstLine="0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7k22s7gwr1r9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Employee Training &amp; Awareness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 cybersecurity awareness training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has been conducted within the past 12 months.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 phishing simulations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have been deployed, leaving staff untested and vulnerable to social engineering.</w:t>
        <w:br w:type="textWrapping"/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Implications: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The human attack surface is currently the most exposed part of the bank’s defense posture.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NIST Alignment: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Protect (PR.AT), Respond (RS.IM)</w:t>
        <w:br w:type="textWrapping"/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NISA Relevance: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Public and institutional awareness training is a national-level directive.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ind w:left="0" w:firstLine="0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ndw9pale97bz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Incident Response &amp; Recovery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 formal incident response (IR) plan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is in place.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 recent cyber incident simulations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have been conducted.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System logs are only partially reviewed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missing early warning indicators of compromise.</w:t>
        <w:br w:type="textWrapping"/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Implications: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The bank lacks preparedness to detect, respond to, and contain security incidents.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NIST Alignment: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Respond (RS), Detect (DE.CM)</w:t>
        <w:br w:type="textWrapping"/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NISA Relevance: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Crisis handling and breach notification readiness are core responsibilities for critical financial infrastructure.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ind w:left="0" w:firstLine="0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jzljkes5eixh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Data Protection &amp; Classification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Encryption is properly implemented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at rest and in transit.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Backups are performed and stored securely.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 data classification policy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exists to define levels of sensitivity or access rules for customer vs. internal data.</w:t>
        <w:br w:type="textWrapping"/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Implications: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Without classification, sensitive data may not be consistently protected or audited.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NIST Alignment: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Identify (ID.AM), Protect (PR.DS)</w:t>
        <w:br w:type="textWrapping"/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NISA Relevance: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Handling of personally identifiable information (PII) and financial data requires clear labeling and handling procedures.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ind w:left="0" w:firstLine="0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rotz9gu118hp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Network, Endpoint &amp; Removable Media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Firewalls and IDS/IPS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systems are in place, supporting perimeter defense.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Patching of core banking systems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is only partially completed, creating an exploitable attack window.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USB device usage is unrestricted and unmonitored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introducing risk of malware infection and data leakage.</w:t>
        <w:br w:type="textWrapping"/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NIST Alignment: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Protect (PR.IP, PR.PT), Detect (DE.CM)</w:t>
        <w:br w:type="textWrapping"/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NISA Relevance: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Device control and patch hygiene are foundational technical safeguards.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ind w:left="0" w:firstLine="0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o6q4luqu31pw" w:id="9"/>
      <w:bookmarkEnd w:id="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Physical Security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Server rooms are locked and monitored.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ATM and terminal inspections are partially conducted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indicating inconsistencies in physical controls.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Visitor logs and escort procedures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are being followed in secure areas.</w:t>
        <w:br w:type="textWrapping"/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NIST Alignment: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Protect (PR.PH)</w:t>
        <w:br w:type="textWrapping"/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NISA Relevance: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Branch-level controls are expected for customer trust and system safety.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ind w:left="0" w:firstLine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coaeafirfkao" w:id="10"/>
      <w:bookmarkEnd w:id="10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Strategic Recommendations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Implement Mandatory MFA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Enforce MFA for all internal systems, especially privileged accounts and VPN access.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low-cost MFA tools compatible with limited bandwidth environments (e.g., DUO, FreeOTP, Microsoft Authenticator).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Create and Train on an Incident Response Plan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Draft a response plan with defined roles, procedures, and escalation paths.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Conduct tabletop and live-fire simulations every 6 months.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Launch a Cybersecurity Awareness Program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Schedule employee training with local-language materials.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Run quarterly phishing simulations tailored to local attack methods.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Restrict and Monitor USB &amp; Device Use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Disable ports by default, allow usage only via documented exceptions.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Implement endpoint monitoring for device usage and data transfers.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Formalize Data Classification Policy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Define categories like Public, Internal, Confidential, and Customer-Sensitive.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Map security controls to each classification level.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Standardize Patch Management &amp; ATM Inspections</w:t>
        <w:br w:type="textWrapping"/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 a patch cycle (e.g., 30-day SLA for critical updates).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Centralize ATM inspection reporting to ensure auditability.</w:t>
        <w:br w:type="textWrapping"/>
      </w:r>
    </w:p>
    <w:p w:rsidR="00000000" w:rsidDel="00000000" w:rsidP="00000000" w:rsidRDefault="00000000" w:rsidRPr="00000000" w14:paraId="000000D7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ind w:left="0" w:firstLine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uwwh0mu9l291" w:id="11"/>
      <w:bookmarkEnd w:id="1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Overall Risk Rating: MODERATE to HIGH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While foundational compliance tasks (e.g., KYC/AML, DAB reporting) are being met, significant security weaknesses remain in: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Staff readiness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Endpoint controls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Detection and response maturity</w:t>
        <w:br w:type="textWrapping"/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These gaps expose the institution to risks from phishing, ransomware, insider abuse, and regulatory non-conformance.</w:t>
      </w:r>
    </w:p>
    <w:p w:rsidR="00000000" w:rsidDel="00000000" w:rsidP="00000000" w:rsidRDefault="00000000" w:rsidRPr="00000000" w14:paraId="000000E0">
      <w:pPr>
        <w:spacing w:after="240" w:before="240" w:lineRule="auto"/>
        <w:ind w:left="600" w:right="60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Remediation Timeline: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High-priority controls (MFA, training, IR planning):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Within 30 days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Medium-priority controls (patching, USB controls):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Within 60–90 days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a3dnaloupr7m" w:id="12"/>
      <w:bookmarkEnd w:id="1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Final Notes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current cybersecurity posture of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Local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reflects a foundational stage of maturity. While certain protective measures (e.g., physical security, encryption, data backups) are commendable, the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lack of formal policy, monitoring, training, and response plans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poses notable risk. A structured roadmap, grounded in the NIST CSF, is recommended for scalable and cost-effective cybersecurity improvement.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