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Final HP-002 Authority Validation &amp;</w:t>
        <w:br/>
        <w:t>Refined HP-003 Evidence Requirements</w:t>
        <w:br/>
        <w:t>+ Agent Validation Record</w:t>
      </w:r>
    </w:p>
    <w:p>
      <w:pPr>
        <w:pStyle w:val="Subtitle"/>
        <w:keepLines/>
      </w:pPr>
      <w:r>
        <w:t>Sprint 3 Week 3 | Version 1.2 | 27 October 2026</w:t>
      </w:r>
    </w:p>
    <w:p>
      <w:pPr>
        <w:keepLines/>
      </w:pPr>
      <w:r/>
      <w:r>
        <w:rPr>
          <w:b/>
        </w:rPr>
        <w:t>Prepared by:</w:t>
      </w:r>
      <w:r>
        <w:t xml:space="preserve"> Anthony Dat Phan — Authority Manager</w:t>
        <w:br/>
      </w:r>
      <w:r>
        <w:rPr>
          <w:b/>
        </w:rPr>
        <w:t>Analysis support:</w:t>
      </w:r>
      <w:r>
        <w:t xml:space="preserve"> Authority Manager AI Agent</w:t>
        <w:br/>
      </w:r>
      <w:r>
        <w:rPr>
          <w:b/>
        </w:rPr>
        <w:t>Prepared for:</w:t>
      </w:r>
      <w:r>
        <w:t xml:space="preserve"> Arnav Jain — Content Manager</w:t>
      </w:r>
    </w:p>
    <w:p>
      <w:pPr>
        <w:keepLines/>
      </w:pPr>
      <w:r/>
      <w:r>
        <w:rPr>
          <w:b/>
        </w:rPr>
        <w:t>Assessment outcome.</w:t>
      </w:r>
      <w:r>
        <w:t xml:space="preserve"> HP-002 can continue through draft development, but its service claims still need operational evidence. HP-003’s existing requirements have been refined for its latest draft. The Agent has demonstrated some improvements; other capabilities remain partly tested or untested. Publication approval is outstanding.</w:t>
      </w:r>
    </w:p>
    <w:p>
      <w:pPr>
        <w:pStyle w:val="Heading1"/>
        <w:keepNext/>
        <w:keepLines/>
        <w:pageBreakBefore w:val="0"/>
      </w:pPr>
      <w:r>
        <w:rPr>
          <w:color w:val="000000"/>
        </w:rPr>
        <w:t>1 Introduction and Scope</w:t>
      </w:r>
    </w:p>
    <w:p>
      <w:pPr>
        <w:pStyle w:val="Heading2"/>
        <w:keepNext/>
        <w:keepLines/>
      </w:pPr>
      <w:r>
        <w:rPr>
          <w:color w:val="000000"/>
        </w:rPr>
        <w:t>1.1 Purpose and responsibilities</w:t>
      </w:r>
    </w:p>
    <w:p>
      <w:pPr>
        <w:keepLines/>
      </w:pPr>
      <w:r>
        <w:t>This report reviews the evidence needed for two Viri VR house-party pages. HP-002 explains whether the service can attend a Melbourne address and under what conditions. HP-003 compares six house-party formats without favouring one. HP-001 explains the hosted virtual reality (VR) service. Lessons from the HP-001 Agent Review and HP-002 validation have informed the HP-003 refinements.</w:t>
      </w:r>
    </w:p>
    <w:p>
      <w:pPr>
        <w:keepLines/>
      </w:pPr>
      <w:r>
        <w:t>The Authority Manager reviews factual claims, evidence and credibility risks. Arnav Jain owns content revisions. Ajith Ratnarajah provides authorised business evidence, while the relevant specialists review safety, insurance, privacy and technical matters. Naming an owner does not verify a claim. Human review and publication approval remain separate requirements.</w:t>
      </w:r>
    </w:p>
    <w:p>
      <w:pPr>
        <w:pStyle w:val="Heading2"/>
        <w:keepNext/>
        <w:keepLines/>
      </w:pPr>
      <w:r>
        <w:rPr>
          <w:color w:val="000000"/>
        </w:rPr>
        <w:t>1.2 Reviewed sources and versions</w:t>
      </w:r>
    </w:p>
    <w:p>
      <w:pPr>
        <w:keepLines/>
      </w:pPr>
      <w:r>
        <w:t>The principal sources are the client’s Architecture workbook v1, HP-002 Pre-Development Authority Manager Report v1.1, HP-002 Authority Evidence Report v1.0 and combined Evidence, Authority and Trust Matrix v1.1 Final. The review also uses the existing HP-003 report, HP-001 Agent Review v1.1 and current Authority Manager Project Instructions.</w:t>
      </w:r>
    </w:p>
    <w:p>
      <w:pPr>
        <w:keepLines/>
      </w:pPr>
      <w:r>
        <w:t>The latest accessible HP-002 and HP-003 Content Packages are both v1.0-draft, dated 16 and 21 October 2026 respectively. Search research, AI Visibility preparation and measurement requirements provide further context. Section 7.1 lists the exact filenames, versions and source limitations.</w:t>
      </w:r>
    </w:p>
    <w:p>
      <w:pPr>
        <w:pStyle w:val="Heading2"/>
        <w:keepNext/>
        <w:keepLines/>
      </w:pPr>
      <w:r>
        <w:rPr>
          <w:color w:val="000000"/>
        </w:rPr>
        <w:t>1.3 Scope and evidence limits</w:t>
      </w:r>
    </w:p>
    <w:p>
      <w:pPr>
        <w:keepLines/>
      </w:pPr>
      <w:r>
        <w:t>Both Content Packages remain drafts. No approved final package or staged webpage was available. The proposed public HP-002 page could not be retrieved during the earlier review, so its current implementation is unverified. A reported page-not-found response (404) on 15 October is historical. Service maps, booking rules, commercial terms, safety and insurance documents, approved data handling and permissioned local-event evidence are still missing.</w:t>
      </w:r>
    </w:p>
    <w:p>
      <w:pPr>
        <w:keepLines/>
      </w:pPr>
      <w:r>
        <w:t xml:space="preserve">Evidence labels distinguish what the sources establish. </w:t>
      </w:r>
      <w:r>
        <w:rPr>
          <w:b/>
        </w:rPr>
        <w:t>Supported planning</w:t>
      </w:r>
      <w:r>
        <w:t xml:space="preserve"> confirms an approved requirement. </w:t>
      </w:r>
      <w:r>
        <w:rPr>
          <w:b/>
        </w:rPr>
        <w:t>Verified operational fact</w:t>
      </w:r>
      <w:r>
        <w:t xml:space="preserve"> requires current, authorised evidence for the specific statement. </w:t>
      </w:r>
      <w:r>
        <w:rPr>
          <w:b/>
        </w:rPr>
        <w:t>Evidence required</w:t>
      </w:r>
      <w:r>
        <w:t xml:space="preserve"> identifies missing or insufficient support. </w:t>
      </w:r>
      <w:r>
        <w:rPr>
          <w:b/>
        </w:rPr>
        <w:t>Unsupported - withhold</w:t>
      </w:r>
      <w:r>
        <w:t xml:space="preserve"> blocks an unproved claim. </w:t>
      </w:r>
      <w:r>
        <w:rPr>
          <w:b/>
        </w:rPr>
        <w:t>Proposed - structure</w:t>
      </w:r>
      <w:r>
        <w:t xml:space="preserve"> permits a suggested layout or process without confirming its operation. </w:t>
      </w:r>
      <w:r>
        <w:rPr>
          <w:b/>
        </w:rPr>
        <w:t>Human confirmation</w:t>
      </w:r>
      <w:r>
        <w:t xml:space="preserve"> identifies a decision still required. A draft label of USE VERBATIM does not establish factual verification or client approval.</w:t>
      </w:r>
    </w:p>
    <w:p>
      <w:pPr>
        <w:keepLines/>
      </w:pPr>
      <w:r/>
      <w:r>
        <w:rPr>
          <w:b/>
        </w:rPr>
        <w:t>OPEN</w:t>
      </w:r>
      <w:r>
        <w:t xml:space="preserve"> means further work or a decision is required. </w:t>
      </w:r>
      <w:r>
        <w:rPr>
          <w:b/>
        </w:rPr>
        <w:t>ON HOLD</w:t>
      </w:r>
      <w:r>
        <w:t xml:space="preserve"> means the affected claim or feature must not be used until its stated evidence and review conditions are met. Priorities are provisional. The author attribution does not establish completed human review.</w:t>
      </w:r>
    </w:p>
    <w:p>
      <w:pPr>
        <w:pStyle w:val="Heading1"/>
        <w:keepNext/>
        <w:keepLines/>
        <w:pageBreakBefore w:val="0"/>
      </w:pPr>
      <w:r>
        <w:rPr>
          <w:color w:val="000000"/>
        </w:rPr>
        <w:t>2 HP-002 Authority and Evidence Validation</w:t>
      </w:r>
    </w:p>
    <w:p>
      <w:pPr>
        <w:pStyle w:val="Heading2"/>
        <w:keepNext/>
        <w:keepLines/>
      </w:pPr>
      <w:r>
        <w:rPr>
          <w:color w:val="000000"/>
        </w:rPr>
        <w:t>2.1 Content and requirements review</w:t>
      </w:r>
    </w:p>
    <w:p>
      <w:pPr>
        <w:keepLines/>
      </w:pPr>
      <w:r>
        <w:t>Row 3 of the Architecture and Content Briefs worksheets requires a Melbourne eligibility and delivery page. It covers address and date checks, travel, access, setup, availability and local proof. The brief asks whether Viri VR can attend a Melbourne home, which suburbs it can serve and what organisers should prepare. Rows 4–5 of the Internal Links worksheet specify links between HP-002 and HP-001.</w:t>
      </w:r>
    </w:p>
    <w:p>
      <w:pPr>
        <w:keepLines/>
      </w:pPr>
      <w:r>
        <w:t>The HP-002 Content Package uses enquiry wording and questions about property access. It keeps unapproved commercial, capacity, safety, insurance and local-proof content off the page. Its acknowledgement and manual-review messages distinguish an enquiry from a confirmed booking. The AI Search handoff supplies the questions to address. The Market Research Pack and AI Search research v1.2 await manager review; the AI Visibility material is preparation only. None verifies Melbourne operations, and no measured AI visibility baseline is supplied.</w:t>
      </w:r>
    </w:p>
    <w:p>
      <w:pPr>
        <w:keepLines/>
      </w:pPr>
      <w:r>
        <w:t>The Architecture workbook assigns “VR house party Melbourne” as the primary phrase and “mobile VR party hire Melbourne” as the secondary phrase. The AI Visibility preparation uses “mobile VR Melbourne”. Strategy and Search must resolve that difference. The missing HP-002 row in the Keyword Map does not cancel the Architecture assignment. The Measurement Validation Requirements describe what to measure; they do not show that tracking works or establish results.</w:t>
      </w:r>
    </w:p>
    <w:p>
      <w:pPr>
        <w:pStyle w:val="Heading2"/>
        <w:keepNext/>
        <w:keepLines/>
      </w:pPr>
      <w:r>
        <w:rPr>
          <w:color w:val="000000"/>
        </w:rPr>
        <w:t>2.2 Existing findings and their source references</w:t>
      </w:r>
    </w:p>
    <w:p>
      <w:pPr>
        <w:keepLines/>
      </w:pPr>
      <w:r>
        <w:t xml:space="preserve">The later HP-002 report uses </w:t>
      </w:r>
      <w:r>
        <w:rPr>
          <w:b/>
        </w:rPr>
        <w:t>HP2-F01–HP2-F12</w:t>
      </w:r>
      <w:r>
        <w:t xml:space="preserve"> as its finding identifiers. The earlier pre-development report uses </w:t>
      </w:r>
      <w:r>
        <w:rPr>
          <w:b/>
        </w:rPr>
        <w:t>F01–F14</w:t>
      </w:r>
      <w:r>
        <w:t>. The table below matches them by subject, rather than by number. The Evidence and Trust Matrix also retains claim records HP2-C01–HP2-C12 and proposal HP2-P01. These identifiers link each issue to its existing evidence and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320"/>
        <w:gridCol w:w="4810"/>
      </w:tblGrid>
      <w:tr>
        <w:trPr>
          <w:tblHeader/>
        </w:trPr>
        <w:tc>
          <w:tcPr>
            <w:tcW w:type="dxa" w:w="1152"/>
            <w:shd w:fill="243B53"/>
            <w:vAlign w:val="center"/>
            <w:tcMar>
              <w:top w:w="75" w:type="dxa"/>
              <w:bottom w:w="75" w:type="dxa"/>
              <w:left w:w="90" w:type="dxa"/>
              <w:right w:w="90" w:type="dxa"/>
            </w:tcMar>
          </w:tcPr>
          <w:p>
            <w:pPr>
              <w:keepNext/>
              <w:spacing w:before="0" w:after="40" w:line="250" w:lineRule="auto"/>
            </w:pPr>
            <w:r>
              <w:rPr>
                <w:b/>
                <w:color w:val="FFFFFF"/>
                <w:sz w:val="20"/>
              </w:rPr>
            </w:r>
            <w:r>
              <w:rPr>
                <w:b/>
                <w:color w:val="FFFFFF"/>
                <w:sz w:val="20"/>
              </w:rPr>
              <w:t>Earlier HP-002 ID</w:t>
            </w:r>
          </w:p>
        </w:tc>
        <w:tc>
          <w:tcPr>
            <w:tcW w:type="dxa" w:w="4320"/>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Subject</w:t>
            </w:r>
          </w:p>
        </w:tc>
        <w:tc>
          <w:tcPr>
            <w:tcW w:type="dxa" w:w="4810"/>
            <w:shd w:fill="243B53"/>
            <w:vAlign w:val="center"/>
            <w:tcMar>
              <w:top w:w="75" w:type="dxa"/>
              <w:bottom w:w="75" w:type="dxa"/>
              <w:left w:w="90" w:type="dxa"/>
              <w:right w:w="90" w:type="dxa"/>
            </w:tcMar>
          </w:tcPr>
          <w:p>
            <w:pPr>
              <w:keepNext/>
              <w:spacing w:before="0" w:after="40" w:line="250" w:lineRule="auto"/>
            </w:pPr>
            <w:r>
              <w:rPr>
                <w:b/>
                <w:color w:val="FFFFFF"/>
                <w:sz w:val="20"/>
              </w:rPr>
            </w:r>
            <w:r>
              <w:rPr>
                <w:b/>
                <w:color w:val="FFFFFF"/>
                <w:sz w:val="20"/>
              </w:rPr>
              <w:t>Later finding or continuing requirement</w:t>
            </w:r>
          </w:p>
        </w:tc>
      </w:tr>
      <w:tr>
        <w:trPr>
          <w:cantSplit/>
        </w:trPr>
        <w:tc>
          <w:tcPr>
            <w:tcW w:type="dxa" w:w="1152"/>
            <w:vAlign w:val="center"/>
            <w:tcMar>
              <w:top w:w="75" w:type="dxa"/>
              <w:bottom w:w="75" w:type="dxa"/>
              <w:left w:w="90" w:type="dxa"/>
              <w:right w:w="90" w:type="dxa"/>
            </w:tcMar>
          </w:tcPr>
          <w:p>
            <w:pPr>
              <w:keepNext/>
              <w:spacing w:before="0" w:after="40" w:line="250" w:lineRule="auto"/>
            </w:pPr>
            <w:r>
              <w:rPr>
                <w:rFonts w:ascii="Calibri" w:hAnsi="Calibri"/>
                <w:sz w:val="20"/>
              </w:rPr>
              <w:t>F01</w:t>
            </w:r>
          </w:p>
        </w:tc>
        <w:tc>
          <w:tcPr>
            <w:tcW w:type="dxa" w:w="4320"/>
            <w:vAlign w:val="center"/>
            <w:tcMar>
              <w:top w:w="75" w:type="dxa"/>
              <w:bottom w:w="75" w:type="dxa"/>
              <w:left w:w="90" w:type="dxa"/>
              <w:right w:w="90" w:type="dxa"/>
            </w:tcMar>
          </w:tcPr>
          <w:p>
            <w:pPr>
              <w:keepNext/>
              <w:spacing w:before="0" w:after="40" w:line="250" w:lineRule="auto"/>
            </w:pPr>
            <w:r>
              <w:rPr>
                <w:rFonts w:ascii="Calibri" w:hAnsi="Calibri"/>
                <w:sz w:val="20"/>
              </w:rPr>
              <w:t>Local ownership and HP-001 relationship</w:t>
            </w:r>
          </w:p>
        </w:tc>
        <w:tc>
          <w:tcPr>
            <w:tcW w:type="dxa" w:w="4810"/>
            <w:vAlign w:val="center"/>
            <w:tcMar>
              <w:top w:w="75" w:type="dxa"/>
              <w:bottom w:w="75" w:type="dxa"/>
              <w:left w:w="90" w:type="dxa"/>
              <w:right w:w="90" w:type="dxa"/>
            </w:tcMar>
          </w:tcPr>
          <w:p>
            <w:pPr>
              <w:keepNext/>
              <w:spacing w:before="0" w:after="40" w:line="250" w:lineRule="auto"/>
            </w:pPr>
            <w:r>
              <w:rPr>
                <w:rFonts w:ascii="Calibri" w:hAnsi="Calibri"/>
                <w:sz w:val="20"/>
              </w:rPr>
              <w:t>HP2-F01</w:t>
            </w:r>
          </w:p>
        </w:tc>
      </w:tr>
      <w:tr>
        <w:trPr>
          <w:cantSplit/>
        </w:trPr>
        <w:tc>
          <w:tcPr>
            <w:tcW w:type="dxa" w:w="1152"/>
            <w:shd w:fill="F2F5F8"/>
            <w:vAlign w:val="center"/>
            <w:tcMar>
              <w:top w:w="75" w:type="dxa"/>
              <w:bottom w:w="75" w:type="dxa"/>
              <w:left w:w="90" w:type="dxa"/>
              <w:right w:w="90" w:type="dxa"/>
            </w:tcMar>
          </w:tcPr>
          <w:p>
            <w:pPr>
              <w:keepNext/>
              <w:spacing w:before="0" w:after="40" w:line="250" w:lineRule="auto"/>
            </w:pPr>
            <w:r>
              <w:rPr>
                <w:rFonts w:ascii="Calibri" w:hAnsi="Calibri"/>
                <w:sz w:val="20"/>
              </w:rPr>
              <w:t>F02</w:t>
            </w:r>
          </w:p>
        </w:tc>
        <w:tc>
          <w:tcPr>
            <w:tcW w:type="dxa" w:w="4320"/>
            <w:shd w:fill="F2F5F8"/>
            <w:vAlign w:val="center"/>
            <w:tcMar>
              <w:top w:w="75" w:type="dxa"/>
              <w:bottom w:w="75" w:type="dxa"/>
              <w:left w:w="90" w:type="dxa"/>
              <w:right w:w="90" w:type="dxa"/>
            </w:tcMar>
          </w:tcPr>
          <w:p>
            <w:pPr>
              <w:keepNext/>
              <w:spacing w:before="0" w:after="40" w:line="250" w:lineRule="auto"/>
            </w:pPr>
            <w:r>
              <w:rPr>
                <w:rFonts w:ascii="Calibri" w:hAnsi="Calibri"/>
                <w:sz w:val="20"/>
              </w:rPr>
              <w:t>Coverage and service map</w:t>
            </w:r>
          </w:p>
        </w:tc>
        <w:tc>
          <w:tcPr>
            <w:tcW w:type="dxa" w:w="4810"/>
            <w:shd w:fill="F2F5F8"/>
            <w:vAlign w:val="center"/>
            <w:tcMar>
              <w:top w:w="75" w:type="dxa"/>
              <w:bottom w:w="75" w:type="dxa"/>
              <w:left w:w="90" w:type="dxa"/>
              <w:right w:w="90" w:type="dxa"/>
            </w:tcMar>
          </w:tcPr>
          <w:p>
            <w:pPr>
              <w:keepNext/>
              <w:spacing w:before="0" w:after="40" w:line="250" w:lineRule="auto"/>
            </w:pPr>
            <w:r>
              <w:rPr>
                <w:rFonts w:ascii="Calibri" w:hAnsi="Calibri"/>
                <w:sz w:val="20"/>
              </w:rPr>
              <w:t>HP2-F03</w:t>
            </w:r>
          </w:p>
        </w:tc>
      </w:tr>
      <w:tr>
        <w:trPr>
          <w:cantSplit/>
        </w:trPr>
        <w:tc>
          <w:tcPr>
            <w:tcW w:type="dxa" w:w="1152"/>
            <w:vAlign w:val="center"/>
            <w:tcMar>
              <w:top w:w="75" w:type="dxa"/>
              <w:bottom w:w="75" w:type="dxa"/>
              <w:left w:w="90" w:type="dxa"/>
              <w:right w:w="90" w:type="dxa"/>
            </w:tcMar>
          </w:tcPr>
          <w:p>
            <w:pPr>
              <w:spacing w:before="0" w:after="40" w:line="250" w:lineRule="auto"/>
            </w:pPr>
            <w:r>
              <w:rPr>
                <w:rFonts w:ascii="Calibri" w:hAnsi="Calibri"/>
                <w:sz w:val="20"/>
              </w:rPr>
              <w:t>F03</w:t>
            </w:r>
          </w:p>
        </w:tc>
        <w:tc>
          <w:tcPr>
            <w:tcW w:type="dxa" w:w="4320"/>
            <w:vAlign w:val="center"/>
            <w:tcMar>
              <w:top w:w="75" w:type="dxa"/>
              <w:bottom w:w="75" w:type="dxa"/>
              <w:left w:w="90" w:type="dxa"/>
              <w:right w:w="90" w:type="dxa"/>
            </w:tcMar>
          </w:tcPr>
          <w:p>
            <w:pPr>
              <w:spacing w:before="0" w:after="40" w:line="250" w:lineRule="auto"/>
            </w:pPr>
            <w:r>
              <w:rPr>
                <w:rFonts w:ascii="Calibri" w:hAnsi="Calibri"/>
                <w:sz w:val="20"/>
              </w:rPr>
              <w:t>Availability, lead time and enquiry/booking process</w:t>
            </w:r>
          </w:p>
        </w:tc>
        <w:tc>
          <w:tcPr>
            <w:tcW w:type="dxa" w:w="4810"/>
            <w:vAlign w:val="center"/>
            <w:tcMar>
              <w:top w:w="75" w:type="dxa"/>
              <w:bottom w:w="75" w:type="dxa"/>
              <w:left w:w="90" w:type="dxa"/>
              <w:right w:w="90" w:type="dxa"/>
            </w:tcMar>
          </w:tcPr>
          <w:p>
            <w:pPr>
              <w:spacing w:before="0" w:after="40" w:line="250" w:lineRule="auto"/>
            </w:pPr>
            <w:r>
              <w:rPr>
                <w:rFonts w:ascii="Calibri" w:hAnsi="Calibri"/>
                <w:sz w:val="20"/>
              </w:rPr>
              <w:t>HP2-F04</w:t>
            </w:r>
          </w:p>
        </w:tc>
      </w:tr>
      <w:tr>
        <w:trPr>
          <w:cantSplit/>
        </w:trPr>
        <w:tc>
          <w:tcPr>
            <w:tcW w:type="dxa" w:w="1152"/>
            <w:shd w:fill="F2F5F8"/>
            <w:vAlign w:val="center"/>
            <w:tcMar>
              <w:top w:w="75" w:type="dxa"/>
              <w:bottom w:w="75" w:type="dxa"/>
              <w:left w:w="90" w:type="dxa"/>
              <w:right w:w="90" w:type="dxa"/>
            </w:tcMar>
          </w:tcPr>
          <w:p>
            <w:pPr>
              <w:spacing w:before="0" w:after="40" w:line="250" w:lineRule="auto"/>
            </w:pPr>
            <w:r>
              <w:rPr>
                <w:rFonts w:ascii="Calibri" w:hAnsi="Calibri"/>
                <w:sz w:val="20"/>
              </w:rPr>
              <w:t>F04</w:t>
            </w:r>
          </w:p>
        </w:tc>
        <w:tc>
          <w:tcPr>
            <w:tcW w:type="dxa" w:w="4320"/>
            <w:shd w:fill="F2F5F8"/>
            <w:vAlign w:val="center"/>
            <w:tcMar>
              <w:top w:w="75" w:type="dxa"/>
              <w:bottom w:w="75" w:type="dxa"/>
              <w:left w:w="90" w:type="dxa"/>
              <w:right w:w="90" w:type="dxa"/>
            </w:tcMar>
          </w:tcPr>
          <w:p>
            <w:pPr>
              <w:spacing w:before="0" w:after="40" w:line="250" w:lineRule="auto"/>
            </w:pPr>
            <w:r>
              <w:rPr>
                <w:rFonts w:ascii="Calibri" w:hAnsi="Calibri"/>
                <w:sz w:val="20"/>
              </w:rPr>
              <w:t>Commercial terms and travel</w:t>
            </w:r>
          </w:p>
        </w:tc>
        <w:tc>
          <w:tcPr>
            <w:tcW w:type="dxa" w:w="4810"/>
            <w:shd w:fill="F2F5F8"/>
            <w:vAlign w:val="center"/>
            <w:tcMar>
              <w:top w:w="75" w:type="dxa"/>
              <w:bottom w:w="75" w:type="dxa"/>
              <w:left w:w="90" w:type="dxa"/>
              <w:right w:w="90" w:type="dxa"/>
            </w:tcMar>
          </w:tcPr>
          <w:p>
            <w:pPr>
              <w:spacing w:before="0" w:after="40" w:line="250" w:lineRule="auto"/>
            </w:pPr>
            <w:r>
              <w:rPr>
                <w:rFonts w:ascii="Calibri" w:hAnsi="Calibri"/>
                <w:sz w:val="20"/>
              </w:rPr>
              <w:t>HP2-F05</w:t>
            </w:r>
          </w:p>
        </w:tc>
      </w:tr>
      <w:tr>
        <w:trPr>
          <w:cantSplit/>
        </w:trPr>
        <w:tc>
          <w:tcPr>
            <w:tcW w:type="dxa" w:w="1152"/>
            <w:vAlign w:val="center"/>
            <w:tcMar>
              <w:top w:w="75" w:type="dxa"/>
              <w:bottom w:w="75" w:type="dxa"/>
              <w:left w:w="90" w:type="dxa"/>
              <w:right w:w="90" w:type="dxa"/>
            </w:tcMar>
          </w:tcPr>
          <w:p>
            <w:pPr>
              <w:spacing w:before="0" w:after="40" w:line="250" w:lineRule="auto"/>
            </w:pPr>
            <w:r>
              <w:rPr>
                <w:rFonts w:ascii="Calibri" w:hAnsi="Calibri"/>
                <w:sz w:val="20"/>
              </w:rPr>
              <w:t>F05</w:t>
            </w:r>
          </w:p>
        </w:tc>
        <w:tc>
          <w:tcPr>
            <w:tcW w:type="dxa" w:w="4320"/>
            <w:vAlign w:val="center"/>
            <w:tcMar>
              <w:top w:w="75" w:type="dxa"/>
              <w:bottom w:w="75" w:type="dxa"/>
              <w:left w:w="90" w:type="dxa"/>
              <w:right w:w="90" w:type="dxa"/>
            </w:tcMar>
          </w:tcPr>
          <w:p>
            <w:pPr>
              <w:spacing w:before="0" w:after="40" w:line="250" w:lineRule="auto"/>
            </w:pPr>
            <w:r>
              <w:rPr>
                <w:rFonts w:ascii="Calibri" w:hAnsi="Calibri"/>
                <w:sz w:val="20"/>
              </w:rPr>
              <w:t>Preparation, setup, capacity and contingencies</w:t>
            </w:r>
          </w:p>
        </w:tc>
        <w:tc>
          <w:tcPr>
            <w:tcW w:type="dxa" w:w="4810"/>
            <w:vAlign w:val="center"/>
            <w:tcMar>
              <w:top w:w="75" w:type="dxa"/>
              <w:bottom w:w="75" w:type="dxa"/>
              <w:left w:w="90" w:type="dxa"/>
              <w:right w:w="90" w:type="dxa"/>
            </w:tcMar>
          </w:tcPr>
          <w:p>
            <w:pPr>
              <w:spacing w:before="0" w:after="40" w:line="250" w:lineRule="auto"/>
            </w:pPr>
            <w:r>
              <w:rPr>
                <w:rFonts w:ascii="Calibri" w:hAnsi="Calibri"/>
                <w:sz w:val="20"/>
              </w:rPr>
              <w:t>HP2-F06</w:t>
            </w:r>
          </w:p>
        </w:tc>
      </w:tr>
      <w:tr>
        <w:trPr>
          <w:cantSplit/>
        </w:trPr>
        <w:tc>
          <w:tcPr>
            <w:tcW w:type="dxa" w:w="1152"/>
            <w:shd w:fill="F2F5F8"/>
            <w:vAlign w:val="center"/>
            <w:tcMar>
              <w:top w:w="75" w:type="dxa"/>
              <w:bottom w:w="75" w:type="dxa"/>
              <w:left w:w="90" w:type="dxa"/>
              <w:right w:w="90" w:type="dxa"/>
            </w:tcMar>
          </w:tcPr>
          <w:p>
            <w:pPr>
              <w:spacing w:before="0" w:after="40" w:line="250" w:lineRule="auto"/>
            </w:pPr>
            <w:r>
              <w:rPr>
                <w:rFonts w:ascii="Calibri" w:hAnsi="Calibri"/>
                <w:sz w:val="20"/>
              </w:rPr>
              <w:t>F06</w:t>
            </w:r>
          </w:p>
        </w:tc>
        <w:tc>
          <w:tcPr>
            <w:tcW w:type="dxa" w:w="4320"/>
            <w:shd w:fill="F2F5F8"/>
            <w:vAlign w:val="center"/>
            <w:tcMar>
              <w:top w:w="75" w:type="dxa"/>
              <w:bottom w:w="75" w:type="dxa"/>
              <w:left w:w="90" w:type="dxa"/>
              <w:right w:w="90" w:type="dxa"/>
            </w:tcMar>
          </w:tcPr>
          <w:p>
            <w:pPr>
              <w:spacing w:before="0" w:after="40" w:line="250" w:lineRule="auto"/>
            </w:pPr>
            <w:r>
              <w:rPr>
                <w:rFonts w:ascii="Calibri" w:hAnsi="Calibri"/>
                <w:sz w:val="20"/>
              </w:rPr>
              <w:t>Age, supervision, safety and insurance</w:t>
            </w:r>
          </w:p>
        </w:tc>
        <w:tc>
          <w:tcPr>
            <w:tcW w:type="dxa" w:w="4810"/>
            <w:shd w:fill="F2F5F8"/>
            <w:vAlign w:val="center"/>
            <w:tcMar>
              <w:top w:w="75" w:type="dxa"/>
              <w:bottom w:w="75" w:type="dxa"/>
              <w:left w:w="90" w:type="dxa"/>
              <w:right w:w="90" w:type="dxa"/>
            </w:tcMar>
          </w:tcPr>
          <w:p>
            <w:pPr>
              <w:spacing w:before="0" w:after="40" w:line="250" w:lineRule="auto"/>
            </w:pPr>
            <w:r>
              <w:rPr>
                <w:rFonts w:ascii="Calibri" w:hAnsi="Calibri"/>
                <w:sz w:val="20"/>
              </w:rPr>
              <w:t>HP2-F07</w:t>
            </w:r>
          </w:p>
        </w:tc>
      </w:tr>
      <w:tr>
        <w:trPr>
          <w:cantSplit/>
        </w:trPr>
        <w:tc>
          <w:tcPr>
            <w:tcW w:type="dxa" w:w="1152"/>
            <w:vAlign w:val="center"/>
            <w:tcMar>
              <w:top w:w="75" w:type="dxa"/>
              <w:bottom w:w="75" w:type="dxa"/>
              <w:left w:w="90" w:type="dxa"/>
              <w:right w:w="90" w:type="dxa"/>
            </w:tcMar>
          </w:tcPr>
          <w:p>
            <w:pPr>
              <w:spacing w:before="0" w:after="40" w:line="250" w:lineRule="auto"/>
            </w:pPr>
            <w:r>
              <w:rPr>
                <w:rFonts w:ascii="Calibri" w:hAnsi="Calibri"/>
                <w:sz w:val="20"/>
              </w:rPr>
              <w:t>F07</w:t>
            </w:r>
          </w:p>
        </w:tc>
        <w:tc>
          <w:tcPr>
            <w:tcW w:type="dxa" w:w="4320"/>
            <w:vAlign w:val="center"/>
            <w:tcMar>
              <w:top w:w="75" w:type="dxa"/>
              <w:bottom w:w="75" w:type="dxa"/>
              <w:left w:w="90" w:type="dxa"/>
              <w:right w:w="90" w:type="dxa"/>
            </w:tcMar>
          </w:tcPr>
          <w:p>
            <w:pPr>
              <w:spacing w:before="0" w:after="40" w:line="250" w:lineRule="auto"/>
            </w:pPr>
            <w:r>
              <w:rPr>
                <w:rFonts w:ascii="Calibri" w:hAnsi="Calibri"/>
                <w:sz w:val="20"/>
              </w:rPr>
              <w:t>Local photos, reviews and cases</w:t>
            </w:r>
          </w:p>
        </w:tc>
        <w:tc>
          <w:tcPr>
            <w:tcW w:type="dxa" w:w="4810"/>
            <w:vAlign w:val="center"/>
            <w:tcMar>
              <w:top w:w="75" w:type="dxa"/>
              <w:bottom w:w="75" w:type="dxa"/>
              <w:left w:w="90" w:type="dxa"/>
              <w:right w:w="90" w:type="dxa"/>
            </w:tcMar>
          </w:tcPr>
          <w:p>
            <w:pPr>
              <w:spacing w:before="0" w:after="40" w:line="250" w:lineRule="auto"/>
            </w:pPr>
            <w:r>
              <w:rPr>
                <w:rFonts w:ascii="Calibri" w:hAnsi="Calibri"/>
                <w:sz w:val="20"/>
              </w:rPr>
              <w:t>HP2-F08</w:t>
            </w:r>
          </w:p>
        </w:tc>
      </w:tr>
      <w:tr>
        <w:trPr>
          <w:cantSplit/>
        </w:trPr>
        <w:tc>
          <w:tcPr>
            <w:tcW w:type="dxa" w:w="1152"/>
            <w:shd w:fill="F2F5F8"/>
            <w:vAlign w:val="center"/>
            <w:tcMar>
              <w:top w:w="75" w:type="dxa"/>
              <w:bottom w:w="75" w:type="dxa"/>
              <w:left w:w="90" w:type="dxa"/>
              <w:right w:w="90" w:type="dxa"/>
            </w:tcMar>
          </w:tcPr>
          <w:p>
            <w:pPr>
              <w:spacing w:before="0" w:after="40" w:line="250" w:lineRule="auto"/>
            </w:pPr>
            <w:r>
              <w:rPr>
                <w:rFonts w:ascii="Calibri" w:hAnsi="Calibri"/>
                <w:sz w:val="20"/>
              </w:rPr>
              <w:t>F08</w:t>
            </w:r>
          </w:p>
        </w:tc>
        <w:tc>
          <w:tcPr>
            <w:tcW w:type="dxa" w:w="4320"/>
            <w:shd w:fill="F2F5F8"/>
            <w:vAlign w:val="center"/>
            <w:tcMar>
              <w:top w:w="75" w:type="dxa"/>
              <w:bottom w:w="75" w:type="dxa"/>
              <w:left w:w="90" w:type="dxa"/>
              <w:right w:w="90" w:type="dxa"/>
            </w:tcMar>
          </w:tcPr>
          <w:p>
            <w:pPr>
              <w:spacing w:before="0" w:after="40" w:line="250" w:lineRule="auto"/>
            </w:pPr>
            <w:r>
              <w:rPr>
                <w:rFonts w:ascii="Calibri" w:hAnsi="Calibri"/>
                <w:sz w:val="20"/>
              </w:rPr>
              <w:t>Privacy and address/photo collection</w:t>
            </w:r>
          </w:p>
        </w:tc>
        <w:tc>
          <w:tcPr>
            <w:tcW w:type="dxa" w:w="4810"/>
            <w:shd w:fill="F2F5F8"/>
            <w:vAlign w:val="center"/>
            <w:tcMar>
              <w:top w:w="75" w:type="dxa"/>
              <w:bottom w:w="75" w:type="dxa"/>
              <w:left w:w="90" w:type="dxa"/>
              <w:right w:w="90" w:type="dxa"/>
            </w:tcMar>
          </w:tcPr>
          <w:p>
            <w:pPr>
              <w:spacing w:before="0" w:after="40" w:line="250" w:lineRule="auto"/>
            </w:pPr>
            <w:r>
              <w:rPr>
                <w:rFonts w:ascii="Calibri" w:hAnsi="Calibri"/>
                <w:sz w:val="20"/>
              </w:rPr>
              <w:t>HP2-F09</w:t>
            </w:r>
          </w:p>
        </w:tc>
      </w:tr>
      <w:tr>
        <w:trPr>
          <w:cantSplit/>
        </w:trPr>
        <w:tc>
          <w:tcPr>
            <w:tcW w:type="dxa" w:w="1152"/>
            <w:vAlign w:val="center"/>
            <w:tcMar>
              <w:top w:w="75" w:type="dxa"/>
              <w:bottom w:w="75" w:type="dxa"/>
              <w:left w:w="90" w:type="dxa"/>
              <w:right w:w="90" w:type="dxa"/>
            </w:tcMar>
          </w:tcPr>
          <w:p>
            <w:pPr>
              <w:spacing w:before="0" w:after="40" w:line="250" w:lineRule="auto"/>
            </w:pPr>
            <w:r>
              <w:rPr>
                <w:rFonts w:ascii="Calibri" w:hAnsi="Calibri"/>
                <w:sz w:val="20"/>
              </w:rPr>
              <w:t>F09</w:t>
            </w:r>
          </w:p>
        </w:tc>
        <w:tc>
          <w:tcPr>
            <w:tcW w:type="dxa" w:w="4320"/>
            <w:vAlign w:val="center"/>
            <w:tcMar>
              <w:top w:w="75" w:type="dxa"/>
              <w:bottom w:w="75" w:type="dxa"/>
              <w:left w:w="90" w:type="dxa"/>
              <w:right w:w="90" w:type="dxa"/>
            </w:tcMar>
          </w:tcPr>
          <w:p>
            <w:pPr>
              <w:spacing w:before="0" w:after="40" w:line="250" w:lineRule="auto"/>
            </w:pPr>
            <w:r>
              <w:rPr>
                <w:sz w:val="20"/>
              </w:rPr>
            </w:r>
            <w:r>
              <w:rPr>
                <w:sz w:val="20"/>
              </w:rPr>
              <w:t>Promises in the page title, search description and checker</w:t>
            </w:r>
          </w:p>
        </w:tc>
        <w:tc>
          <w:tcPr>
            <w:tcW w:type="dxa" w:w="4810"/>
            <w:vAlign w:val="center"/>
            <w:tcMar>
              <w:top w:w="75" w:type="dxa"/>
              <w:bottom w:w="75" w:type="dxa"/>
              <w:left w:w="90" w:type="dxa"/>
              <w:right w:w="90" w:type="dxa"/>
            </w:tcMar>
          </w:tcPr>
          <w:p>
            <w:pPr>
              <w:spacing w:before="0" w:after="40" w:line="250" w:lineRule="auto"/>
            </w:pPr>
            <w:r>
              <w:rPr>
                <w:sz w:val="20"/>
              </w:rPr>
            </w:r>
            <w:r>
              <w:rPr>
                <w:sz w:val="20"/>
              </w:rPr>
              <w:t>HP2-F02; checker function also requires HP2-F04</w:t>
            </w:r>
          </w:p>
        </w:tc>
      </w:tr>
      <w:tr>
        <w:trPr>
          <w:cantSplit/>
        </w:trPr>
        <w:tc>
          <w:tcPr>
            <w:tcW w:type="dxa" w:w="1152"/>
            <w:shd w:fill="F2F5F8"/>
            <w:vAlign w:val="center"/>
            <w:tcMar>
              <w:top w:w="75" w:type="dxa"/>
              <w:bottom w:w="75" w:type="dxa"/>
              <w:left w:w="90" w:type="dxa"/>
              <w:right w:w="90" w:type="dxa"/>
            </w:tcMar>
          </w:tcPr>
          <w:p>
            <w:pPr>
              <w:spacing w:before="0" w:after="40" w:line="250" w:lineRule="auto"/>
            </w:pPr>
            <w:r>
              <w:rPr>
                <w:rFonts w:ascii="Calibri" w:hAnsi="Calibri"/>
                <w:sz w:val="20"/>
              </w:rPr>
              <w:t>F10</w:t>
            </w:r>
          </w:p>
        </w:tc>
        <w:tc>
          <w:tcPr>
            <w:tcW w:type="dxa" w:w="4320"/>
            <w:shd w:fill="F2F5F8"/>
            <w:vAlign w:val="center"/>
            <w:tcMar>
              <w:top w:w="75" w:type="dxa"/>
              <w:bottom w:w="75" w:type="dxa"/>
              <w:left w:w="90" w:type="dxa"/>
              <w:right w:w="90" w:type="dxa"/>
            </w:tcMar>
          </w:tcPr>
          <w:p>
            <w:pPr>
              <w:spacing w:before="0" w:after="40" w:line="250" w:lineRule="auto"/>
            </w:pPr>
            <w:r>
              <w:rPr>
                <w:rFonts w:ascii="Calibri" w:hAnsi="Calibri"/>
                <w:sz w:val="20"/>
              </w:rPr>
              <w:t>Search demand, visibility and results</w:t>
            </w:r>
          </w:p>
        </w:tc>
        <w:tc>
          <w:tcPr>
            <w:tcW w:type="dxa" w:w="4810"/>
            <w:shd w:fill="F2F5F8"/>
            <w:vAlign w:val="center"/>
            <w:tcMar>
              <w:top w:w="75" w:type="dxa"/>
              <w:bottom w:w="75" w:type="dxa"/>
              <w:left w:w="90" w:type="dxa"/>
              <w:right w:w="90" w:type="dxa"/>
            </w:tcMar>
          </w:tcPr>
          <w:p>
            <w:pPr>
              <w:spacing w:before="0" w:after="40" w:line="250" w:lineRule="auto"/>
            </w:pPr>
            <w:r>
              <w:rPr>
                <w:rFonts w:ascii="Calibri" w:hAnsi="Calibri"/>
                <w:sz w:val="20"/>
              </w:rPr>
              <w:t>HP2-F11</w:t>
            </w:r>
          </w:p>
        </w:tc>
      </w:tr>
      <w:tr>
        <w:trPr>
          <w:cantSplit/>
        </w:trPr>
        <w:tc>
          <w:tcPr>
            <w:tcW w:type="dxa" w:w="1152"/>
            <w:vAlign w:val="center"/>
            <w:tcMar>
              <w:top w:w="75" w:type="dxa"/>
              <w:bottom w:w="75" w:type="dxa"/>
              <w:left w:w="90" w:type="dxa"/>
              <w:right w:w="90" w:type="dxa"/>
            </w:tcMar>
          </w:tcPr>
          <w:p>
            <w:pPr>
              <w:spacing w:before="0" w:after="40" w:line="250" w:lineRule="auto"/>
            </w:pPr>
            <w:r>
              <w:rPr>
                <w:rFonts w:ascii="Calibri" w:hAnsi="Calibri"/>
                <w:sz w:val="20"/>
              </w:rPr>
              <w:t>F11</w:t>
            </w:r>
          </w:p>
        </w:tc>
        <w:tc>
          <w:tcPr>
            <w:tcW w:type="dxa" w:w="4320"/>
            <w:vAlign w:val="center"/>
            <w:tcMar>
              <w:top w:w="75" w:type="dxa"/>
              <w:bottom w:w="75" w:type="dxa"/>
              <w:left w:w="90" w:type="dxa"/>
              <w:right w:w="90" w:type="dxa"/>
            </w:tcMar>
          </w:tcPr>
          <w:p>
            <w:pPr>
              <w:spacing w:before="0" w:after="40" w:line="250" w:lineRule="auto"/>
            </w:pPr>
            <w:r>
              <w:rPr>
                <w:rFonts w:ascii="Calibri" w:hAnsi="Calibri"/>
                <w:sz w:val="20"/>
              </w:rPr>
              <w:t>Links and delivery-location options</w:t>
            </w:r>
          </w:p>
        </w:tc>
        <w:tc>
          <w:tcPr>
            <w:tcW w:type="dxa" w:w="4810"/>
            <w:vAlign w:val="center"/>
            <w:tcMar>
              <w:top w:w="75" w:type="dxa"/>
              <w:bottom w:w="75" w:type="dxa"/>
              <w:left w:w="90" w:type="dxa"/>
              <w:right w:w="90" w:type="dxa"/>
            </w:tcMar>
          </w:tcPr>
          <w:p>
            <w:pPr>
              <w:spacing w:before="0" w:after="40" w:line="250" w:lineRule="auto"/>
            </w:pPr>
            <w:r>
              <w:rPr>
                <w:rFonts w:ascii="Calibri" w:hAnsi="Calibri"/>
                <w:sz w:val="20"/>
              </w:rPr>
              <w:t>HP2-F01 for links; HP2-F10 for options</w:t>
            </w:r>
          </w:p>
        </w:tc>
      </w:tr>
      <w:tr>
        <w:trPr>
          <w:cantSplit/>
        </w:trPr>
        <w:tc>
          <w:tcPr>
            <w:tcW w:type="dxa" w:w="1152"/>
            <w:shd w:fill="F2F5F8"/>
            <w:vAlign w:val="center"/>
            <w:tcMar>
              <w:top w:w="75" w:type="dxa"/>
              <w:bottom w:w="75" w:type="dxa"/>
              <w:left w:w="90" w:type="dxa"/>
              <w:right w:w="90" w:type="dxa"/>
            </w:tcMar>
          </w:tcPr>
          <w:p>
            <w:pPr>
              <w:keepNext/>
              <w:spacing w:before="0" w:after="40" w:line="250" w:lineRule="auto"/>
            </w:pPr>
            <w:r>
              <w:rPr>
                <w:rFonts w:ascii="Calibri" w:hAnsi="Calibri"/>
                <w:sz w:val="20"/>
              </w:rPr>
              <w:t>F12</w:t>
            </w:r>
          </w:p>
        </w:tc>
        <w:tc>
          <w:tcPr>
            <w:tcW w:type="dxa" w:w="4320"/>
            <w:shd w:fill="F2F5F8"/>
            <w:vAlign w:val="center"/>
            <w:tcMar>
              <w:top w:w="75" w:type="dxa"/>
              <w:bottom w:w="75" w:type="dxa"/>
              <w:left w:w="90" w:type="dxa"/>
              <w:right w:w="90" w:type="dxa"/>
            </w:tcMar>
          </w:tcPr>
          <w:p>
            <w:pPr>
              <w:keepNext/>
              <w:spacing w:before="0" w:after="40" w:line="250" w:lineRule="auto"/>
            </w:pPr>
            <w:r>
              <w:rPr>
                <w:rFonts w:ascii="Calibri" w:hAnsi="Calibri"/>
                <w:sz w:val="20"/>
              </w:rPr>
              <w:t>External profiles, citations and proof</w:t>
            </w:r>
          </w:p>
        </w:tc>
        <w:tc>
          <w:tcPr>
            <w:tcW w:type="dxa" w:w="4810"/>
            <w:shd w:fill="F2F5F8"/>
            <w:vAlign w:val="center"/>
            <w:tcMar>
              <w:top w:w="75" w:type="dxa"/>
              <w:bottom w:w="75" w:type="dxa"/>
              <w:left w:w="90" w:type="dxa"/>
              <w:right w:w="90" w:type="dxa"/>
            </w:tcMar>
          </w:tcPr>
          <w:p>
            <w:pPr>
              <w:keepNext/>
              <w:spacing w:before="0" w:after="40" w:line="250" w:lineRule="auto"/>
            </w:pPr>
            <w:r>
              <w:rPr>
                <w:rFonts w:ascii="Calibri" w:hAnsi="Calibri"/>
                <w:sz w:val="20"/>
              </w:rPr>
              <w:t>HP2-F12</w:t>
            </w:r>
          </w:p>
        </w:tc>
      </w:tr>
      <w:tr>
        <w:trPr>
          <w:cantSplit/>
        </w:trPr>
        <w:tc>
          <w:tcPr>
            <w:tcW w:type="dxa" w:w="1152"/>
            <w:vAlign w:val="center"/>
            <w:tcMar>
              <w:top w:w="75" w:type="dxa"/>
              <w:bottom w:w="75" w:type="dxa"/>
              <w:left w:w="90" w:type="dxa"/>
              <w:right w:w="90" w:type="dxa"/>
            </w:tcMar>
          </w:tcPr>
          <w:p>
            <w:pPr>
              <w:keepNext/>
              <w:spacing w:before="0" w:after="40" w:line="250" w:lineRule="auto"/>
            </w:pPr>
            <w:r>
              <w:rPr>
                <w:rFonts w:ascii="Calibri" w:hAnsi="Calibri"/>
                <w:sz w:val="20"/>
              </w:rPr>
              <w:t>F13</w:t>
            </w:r>
          </w:p>
        </w:tc>
        <w:tc>
          <w:tcPr>
            <w:tcW w:type="dxa" w:w="4320"/>
            <w:vAlign w:val="center"/>
            <w:tcMar>
              <w:top w:w="75" w:type="dxa"/>
              <w:bottom w:w="75" w:type="dxa"/>
              <w:left w:w="90" w:type="dxa"/>
              <w:right w:w="90" w:type="dxa"/>
            </w:tcMar>
          </w:tcPr>
          <w:p>
            <w:pPr>
              <w:keepNext/>
              <w:spacing w:before="0" w:after="40" w:line="250" w:lineRule="auto"/>
            </w:pPr>
            <w:r>
              <w:rPr>
                <w:rFonts w:ascii="Calibri" w:hAnsi="Calibri"/>
                <w:sz w:val="20"/>
              </w:rPr>
              <w:t>Technical implementation and measurement</w:t>
            </w:r>
          </w:p>
        </w:tc>
        <w:tc>
          <w:tcPr>
            <w:tcW w:type="dxa" w:w="4810"/>
            <w:vAlign w:val="center"/>
            <w:tcMar>
              <w:top w:w="75" w:type="dxa"/>
              <w:bottom w:w="75" w:type="dxa"/>
              <w:left w:w="90" w:type="dxa"/>
              <w:right w:w="90" w:type="dxa"/>
            </w:tcMar>
          </w:tcPr>
          <w:p>
            <w:pPr>
              <w:keepNext/>
              <w:spacing w:before="0" w:after="40" w:line="250" w:lineRule="auto"/>
            </w:pPr>
            <w:r>
              <w:rPr>
                <w:sz w:val="20"/>
              </w:rPr>
            </w:r>
            <w:r>
              <w:rPr>
                <w:sz w:val="20"/>
              </w:rPr>
              <w:t>HP2-F12 for structured data; HP2-F11 for measurement</w:t>
            </w:r>
          </w:p>
        </w:tc>
      </w:tr>
      <w:tr>
        <w:trPr>
          <w:cantSplit/>
        </w:trPr>
        <w:tc>
          <w:tcPr>
            <w:tcW w:type="dxa" w:w="1152"/>
            <w:shd w:fill="F2F5F8"/>
            <w:vAlign w:val="center"/>
            <w:tcMar>
              <w:top w:w="75" w:type="dxa"/>
              <w:bottom w:w="75" w:type="dxa"/>
              <w:left w:w="90" w:type="dxa"/>
              <w:right w:w="90" w:type="dxa"/>
            </w:tcMar>
          </w:tcPr>
          <w:p>
            <w:pPr>
              <w:spacing w:before="0" w:after="40" w:line="250" w:lineRule="auto"/>
            </w:pPr>
            <w:r>
              <w:rPr>
                <w:rFonts w:ascii="Calibri" w:hAnsi="Calibri"/>
                <w:sz w:val="20"/>
              </w:rPr>
              <w:t>F14</w:t>
            </w:r>
          </w:p>
        </w:tc>
        <w:tc>
          <w:tcPr>
            <w:tcW w:type="dxa" w:w="4320"/>
            <w:shd w:fill="F2F5F8"/>
            <w:vAlign w:val="center"/>
            <w:tcMar>
              <w:top w:w="75" w:type="dxa"/>
              <w:bottom w:w="75" w:type="dxa"/>
              <w:left w:w="90" w:type="dxa"/>
              <w:right w:w="90" w:type="dxa"/>
            </w:tcMar>
          </w:tcPr>
          <w:p>
            <w:pPr>
              <w:spacing w:before="0" w:after="40" w:line="250" w:lineRule="auto"/>
            </w:pPr>
            <w:r>
              <w:rPr>
                <w:rFonts w:ascii="Calibri" w:hAnsi="Calibri"/>
                <w:sz w:val="20"/>
              </w:rPr>
              <w:t>Source approval status and later content review</w:t>
            </w:r>
          </w:p>
        </w:tc>
        <w:tc>
          <w:tcPr>
            <w:tcW w:type="dxa" w:w="4810"/>
            <w:shd w:fill="F2F5F8"/>
            <w:vAlign w:val="center"/>
            <w:tcMar>
              <w:top w:w="75" w:type="dxa"/>
              <w:bottom w:w="75" w:type="dxa"/>
              <w:left w:w="90" w:type="dxa"/>
              <w:right w:w="90" w:type="dxa"/>
            </w:tcMar>
          </w:tcPr>
          <w:p>
            <w:pPr>
              <w:spacing w:before="0" w:after="40" w:line="250" w:lineRule="auto"/>
            </w:pPr>
            <w:r>
              <w:rPr>
                <w:sz w:val="20"/>
              </w:rPr>
            </w:r>
            <w:r>
              <w:rPr>
                <w:sz w:val="20"/>
              </w:rPr>
              <w:t>Applies across findings: a draft is now supplied; source decisions and final-page review remain open</w:t>
            </w:r>
          </w:p>
        </w:tc>
      </w:tr>
    </w:tbl>
    <w:p>
      <w:pPr>
        <w:spacing w:after="40"/>
      </w:pPr>
      <w:r/>
    </w:p>
    <w:p>
      <w:pPr>
        <w:pStyle w:val="Heading2"/>
        <w:keepNext/>
        <w:keepLines/>
      </w:pPr>
      <w:r>
        <w:rPr>
          <w:color w:val="000000"/>
        </w:rPr>
        <w:t>2.3 Claims and evidence validation</w:t>
      </w:r>
    </w:p>
    <w:p>
      <w:pPr>
        <w:keepLines/>
      </w:pPr>
      <w:r>
        <w:t>The table below is the main HP-002 evidence record. It distinguishes improvements in draft wording from proof that the described service or process operates. No missing operational fact has been 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3"/>
        <w:gridCol w:w="2923"/>
        <w:gridCol w:w="2952"/>
        <w:gridCol w:w="3283"/>
      </w:tblGrid>
      <w:tr>
        <w:trPr>
          <w:tblHeader/>
        </w:trPr>
        <w:tc>
          <w:tcPr>
            <w:tcW w:type="dxa" w:w="1123"/>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Finding</w:t>
            </w:r>
          </w:p>
        </w:tc>
        <w:tc>
          <w:tcPr>
            <w:tcW w:type="dxa" w:w="2923"/>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Claim and available source</w:t>
            </w:r>
          </w:p>
        </w:tc>
        <w:tc>
          <w:tcPr>
            <w:tcW w:type="dxa" w:w="2952"/>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Classification and limitation</w:t>
            </w:r>
          </w:p>
        </w:tc>
        <w:tc>
          <w:tcPr>
            <w:tcW w:type="dxa" w:w="3283"/>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Required action owner and status</w:t>
            </w:r>
          </w:p>
        </w:tc>
      </w:tr>
      <w:tr>
        <w:trPr>
          <w:cantSplit/>
        </w:trPr>
        <w:tc>
          <w:tcPr>
            <w:tcW w:type="dxa" w:w="1123"/>
            <w:vAlign w:val="center"/>
            <w:tcMar>
              <w:top w:w="75" w:type="dxa"/>
              <w:bottom w:w="75" w:type="dxa"/>
              <w:left w:w="90" w:type="dxa"/>
              <w:right w:w="90" w:type="dxa"/>
            </w:tcMar>
          </w:tcPr>
          <w:p>
            <w:pPr>
              <w:keepNext/>
              <w:spacing w:before="0" w:after="40" w:line="250" w:lineRule="auto"/>
            </w:pPr>
            <w:r>
              <w:rPr>
                <w:rFonts w:ascii="Calibri" w:hAnsi="Calibri"/>
                <w:sz w:val="20"/>
              </w:rPr>
              <w:t>HP2-F01</w:t>
            </w:r>
          </w:p>
        </w:tc>
        <w:tc>
          <w:tcPr>
            <w:tcW w:type="dxa" w:w="2923"/>
            <w:vAlign w:val="center"/>
            <w:tcMar>
              <w:top w:w="75" w:type="dxa"/>
              <w:bottom w:w="75" w:type="dxa"/>
              <w:left w:w="90" w:type="dxa"/>
              <w:right w:w="90" w:type="dxa"/>
            </w:tcMar>
          </w:tcPr>
          <w:p>
            <w:pPr>
              <w:keepNext/>
              <w:spacing w:before="0" w:after="40" w:line="250" w:lineRule="auto"/>
            </w:pPr>
            <w:r>
              <w:rPr>
                <w:sz w:val="20"/>
              </w:rPr>
            </w:r>
            <w:r>
              <w:rPr>
                <w:sz w:val="20"/>
              </w:rPr>
              <w:t>Page responsibility. Architecture workbook, Architecture row 3 and Internal Links rows 4–5; HP-002 Content Package, Parts 1–3; Evidence and Trust Matrix, HP2-C01.</w:t>
            </w:r>
          </w:p>
        </w:tc>
        <w:tc>
          <w:tcPr>
            <w:tcW w:type="dxa" w:w="2952"/>
            <w:vAlign w:val="center"/>
            <w:tcMar>
              <w:top w:w="75" w:type="dxa"/>
              <w:bottom w:w="75" w:type="dxa"/>
              <w:left w:w="90" w:type="dxa"/>
              <w:right w:w="90" w:type="dxa"/>
            </w:tcMar>
          </w:tcPr>
          <w:p>
            <w:pPr>
              <w:keepNext/>
              <w:spacing w:before="0" w:after="40" w:line="250" w:lineRule="auto"/>
            </w:pPr>
            <w:r>
              <w:rPr>
                <w:sz w:val="20"/>
              </w:rPr>
            </w:r>
            <w:r>
              <w:rPr>
                <w:sz w:val="20"/>
              </w:rPr>
              <w:t>Supported planning. The approved page role is retained. Search proposals to repeat service explanations must respect the division between pages.</w:t>
            </w:r>
          </w:p>
        </w:tc>
        <w:tc>
          <w:tcPr>
            <w:tcW w:type="dxa" w:w="3283"/>
            <w:vAlign w:val="center"/>
            <w:tcMar>
              <w:top w:w="75" w:type="dxa"/>
              <w:bottom w:w="75" w:type="dxa"/>
              <w:left w:w="90" w:type="dxa"/>
              <w:right w:w="90" w:type="dxa"/>
            </w:tcMar>
          </w:tcPr>
          <w:p>
            <w:pPr>
              <w:keepNext/>
              <w:spacing w:before="0" w:after="40" w:line="250" w:lineRule="auto"/>
            </w:pPr>
            <w:r>
              <w:rPr>
                <w:sz w:val="20"/>
              </w:rPr>
            </w:r>
            <w:r>
              <w:rPr>
                <w:sz w:val="20"/>
              </w:rPr>
              <w:t>Arnav and Strategy preserve the local focus and resolve extra links or repeated service explanations. Structure can proceed; additional decisions remain OPEN.</w:t>
            </w:r>
          </w:p>
        </w:tc>
      </w:tr>
      <w:tr>
        <w:trPr>
          <w:cantSplit/>
        </w:trPr>
        <w:tc>
          <w:tcPr>
            <w:tcW w:type="dxa" w:w="1123"/>
            <w:shd w:fill="F2F5F8"/>
            <w:vAlign w:val="center"/>
            <w:tcMar>
              <w:top w:w="75" w:type="dxa"/>
              <w:bottom w:w="75" w:type="dxa"/>
              <w:left w:w="90" w:type="dxa"/>
              <w:right w:w="90" w:type="dxa"/>
            </w:tcMar>
          </w:tcPr>
          <w:p>
            <w:pPr>
              <w:keepNext/>
              <w:spacing w:before="0" w:after="40" w:line="250" w:lineRule="auto"/>
            </w:pPr>
            <w:r>
              <w:rPr>
                <w:rFonts w:ascii="Calibri" w:hAnsi="Calibri"/>
                <w:sz w:val="20"/>
              </w:rPr>
              <w:t>HP2-F02</w:t>
            </w:r>
          </w:p>
        </w:tc>
        <w:tc>
          <w:tcPr>
            <w:tcW w:type="dxa" w:w="2923"/>
            <w:shd w:fill="F2F5F8"/>
            <w:vAlign w:val="center"/>
            <w:tcMar>
              <w:top w:w="75" w:type="dxa"/>
              <w:bottom w:w="75" w:type="dxa"/>
              <w:left w:w="90" w:type="dxa"/>
              <w:right w:w="90" w:type="dxa"/>
            </w:tcMar>
          </w:tcPr>
          <w:p>
            <w:pPr>
              <w:keepNext/>
              <w:spacing w:before="0" w:after="40" w:line="250" w:lineRule="auto"/>
            </w:pPr>
            <w:r>
              <w:rPr>
                <w:sz w:val="20"/>
              </w:rPr>
            </w:r>
            <w:r>
              <w:rPr>
                <w:sz w:val="20"/>
              </w:rPr>
              <w:t>Service promises and search description. HP-002 Content Package, Part 4, replaces equipment and inclusion promises with enquiry wording. Evidence and Trust Matrix, HP2-C12.</w:t>
            </w:r>
          </w:p>
        </w:tc>
        <w:tc>
          <w:tcPr>
            <w:tcW w:type="dxa" w:w="2952"/>
            <w:shd w:fill="F2F5F8"/>
            <w:vAlign w:val="center"/>
            <w:tcMar>
              <w:top w:w="75" w:type="dxa"/>
              <w:bottom w:w="75" w:type="dxa"/>
              <w:left w:w="90" w:type="dxa"/>
              <w:right w:w="90" w:type="dxa"/>
            </w:tcMar>
          </w:tcPr>
          <w:p>
            <w:pPr>
              <w:keepNext/>
              <w:spacing w:before="0" w:after="40" w:line="250" w:lineRule="auto"/>
            </w:pPr>
            <w:r>
              <w:rPr>
                <w:sz w:val="20"/>
              </w:rPr>
            </w:r>
            <w:r>
              <w:rPr>
                <w:sz w:val="20"/>
              </w:rPr>
              <w:t>Partly addressed in the draft; operational evidence required. No current mobile offer or authorised delivery record was supplied.</w:t>
            </w:r>
          </w:p>
        </w:tc>
        <w:tc>
          <w:tcPr>
            <w:tcW w:type="dxa" w:w="3283"/>
            <w:shd w:fill="F2F5F8"/>
            <w:vAlign w:val="center"/>
            <w:tcMar>
              <w:top w:w="75" w:type="dxa"/>
              <w:bottom w:w="75" w:type="dxa"/>
              <w:left w:w="90" w:type="dxa"/>
              <w:right w:w="90" w:type="dxa"/>
            </w:tcMar>
          </w:tcPr>
          <w:p>
            <w:pPr>
              <w:keepNext/>
              <w:spacing w:before="0" w:after="40" w:line="250" w:lineRule="auto"/>
            </w:pPr>
            <w:r>
              <w:rPr>
                <w:sz w:val="20"/>
              </w:rPr>
            </w:r>
            <w:r>
              <w:rPr>
                <w:sz w:val="20"/>
              </w:rPr>
              <w:t>Ajith and operations confirm the offer, name, scope and public wording. Arnav checks remaining promises. Drafting can proceed; service claims remain ON HOLD.</w:t>
            </w:r>
          </w:p>
        </w:tc>
      </w:tr>
      <w:tr>
        <w:trPr>
          <w:cantSplit/>
        </w:trPr>
        <w:tc>
          <w:tcPr>
            <w:tcW w:type="dxa" w:w="1123"/>
            <w:vAlign w:val="center"/>
            <w:tcMar>
              <w:top w:w="75" w:type="dxa"/>
              <w:bottom w:w="75" w:type="dxa"/>
              <w:left w:w="90" w:type="dxa"/>
              <w:right w:w="90" w:type="dxa"/>
            </w:tcMar>
          </w:tcPr>
          <w:p>
            <w:pPr>
              <w:spacing w:before="0" w:after="40" w:line="250" w:lineRule="auto"/>
            </w:pPr>
            <w:r>
              <w:rPr>
                <w:rFonts w:ascii="Calibri" w:hAnsi="Calibri"/>
                <w:sz w:val="20"/>
              </w:rPr>
              <w:t>HP2-F03</w:t>
            </w:r>
          </w:p>
        </w:tc>
        <w:tc>
          <w:tcPr>
            <w:tcW w:type="dxa" w:w="2923"/>
            <w:vAlign w:val="center"/>
            <w:tcMar>
              <w:top w:w="75" w:type="dxa"/>
              <w:bottom w:w="75" w:type="dxa"/>
              <w:left w:w="90" w:type="dxa"/>
              <w:right w:w="90" w:type="dxa"/>
            </w:tcMar>
          </w:tcPr>
          <w:p>
            <w:pPr>
              <w:spacing w:before="0" w:after="40" w:line="250" w:lineRule="auto"/>
            </w:pPr>
            <w:r>
              <w:rPr>
                <w:sz w:val="20"/>
              </w:rPr>
            </w:r>
            <w:r>
              <w:rPr>
                <w:sz w:val="20"/>
              </w:rPr>
              <w:t>Coverage. Architecture workbook, Content Briefs row 3, requires a map. The HP-002 Content Package avoids named suburbs and blanket coverage. Evidence and Trust Matrix, HP2-C03.</w:t>
            </w:r>
          </w:p>
        </w:tc>
        <w:tc>
          <w:tcPr>
            <w:tcW w:type="dxa" w:w="2952"/>
            <w:vAlign w:val="center"/>
            <w:tcMar>
              <w:top w:w="75" w:type="dxa"/>
              <w:bottom w:w="75" w:type="dxa"/>
              <w:left w:w="90" w:type="dxa"/>
              <w:right w:w="90" w:type="dxa"/>
            </w:tcMar>
          </w:tcPr>
          <w:p>
            <w:pPr>
              <w:spacing w:before="0" w:after="40" w:line="250" w:lineRule="auto"/>
            </w:pPr>
            <w:r>
              <w:rPr>
                <w:sz w:val="20"/>
              </w:rPr>
            </w:r>
            <w:r>
              <w:rPr>
                <w:sz w:val="20"/>
              </w:rPr>
              <w:t>Evidence required. A postcode or address enquiry does not establish whether the address is eligible or remains covered.</w:t>
            </w:r>
          </w:p>
        </w:tc>
        <w:tc>
          <w:tcPr>
            <w:tcW w:type="dxa" w:w="3283"/>
            <w:vAlign w:val="center"/>
            <w:tcMar>
              <w:top w:w="75" w:type="dxa"/>
              <w:bottom w:w="75" w:type="dxa"/>
              <w:left w:w="90" w:type="dxa"/>
              <w:right w:w="90" w:type="dxa"/>
            </w:tcMar>
          </w:tcPr>
          <w:p>
            <w:pPr>
              <w:spacing w:before="0" w:after="40" w:line="250" w:lineRule="auto"/>
            </w:pPr>
            <w:r>
              <w:rPr>
                <w:sz w:val="20"/>
              </w:rPr>
            </w:r>
            <w:r>
              <w:rPr>
                <w:sz w:val="20"/>
              </w:rPr>
              <w:t>Ajith and operations provide a dated map, exclusions, exceptions, effective date and person responsible for updates. Coverage lists and eligibility assurances remain ON HOLD.</w:t>
            </w:r>
          </w:p>
        </w:tc>
      </w:tr>
      <w:tr>
        <w:trPr>
          <w:cantSplit/>
        </w:trPr>
        <w:tc>
          <w:tcPr>
            <w:tcW w:type="dxa" w:w="1123"/>
            <w:shd w:fill="F2F5F8"/>
            <w:vAlign w:val="center"/>
            <w:tcMar>
              <w:top w:w="75" w:type="dxa"/>
              <w:bottom w:w="75" w:type="dxa"/>
              <w:left w:w="90" w:type="dxa"/>
              <w:right w:w="90" w:type="dxa"/>
            </w:tcMar>
          </w:tcPr>
          <w:p>
            <w:pPr>
              <w:spacing w:before="0" w:after="40" w:line="250" w:lineRule="auto"/>
            </w:pPr>
            <w:r>
              <w:rPr>
                <w:rFonts w:ascii="Calibri" w:hAnsi="Calibri"/>
                <w:sz w:val="20"/>
              </w:rPr>
              <w:t>HP2-F04</w:t>
            </w:r>
          </w:p>
        </w:tc>
        <w:tc>
          <w:tcPr>
            <w:tcW w:type="dxa" w:w="2923"/>
            <w:shd w:fill="F2F5F8"/>
            <w:vAlign w:val="center"/>
            <w:tcMar>
              <w:top w:w="75" w:type="dxa"/>
              <w:bottom w:w="75" w:type="dxa"/>
              <w:left w:w="90" w:type="dxa"/>
              <w:right w:w="90" w:type="dxa"/>
            </w:tcMar>
          </w:tcPr>
          <w:p>
            <w:pPr>
              <w:spacing w:before="0" w:after="40" w:line="250" w:lineRule="auto"/>
            </w:pPr>
            <w:r>
              <w:rPr>
                <w:sz w:val="20"/>
              </w:rPr>
            </w:r>
            <w:r>
              <w:rPr>
                <w:sz w:val="20"/>
              </w:rPr>
              <w:t>Checker and booking. HP-002 Content Package, Part 5, separates acknowledgement and review from booking. Appendix C holds the operating rules. Matrix records HP2-C02/C04 and HP2-P01.</w:t>
            </w:r>
          </w:p>
        </w:tc>
        <w:tc>
          <w:tcPr>
            <w:tcW w:type="dxa" w:w="2952"/>
            <w:shd w:fill="F2F5F8"/>
            <w:vAlign w:val="center"/>
            <w:tcMar>
              <w:top w:w="75" w:type="dxa"/>
              <w:bottom w:w="75" w:type="dxa"/>
              <w:left w:w="90" w:type="dxa"/>
              <w:right w:w="90" w:type="dxa"/>
            </w:tcMar>
          </w:tcPr>
          <w:p>
            <w:pPr>
              <w:spacing w:before="0" w:after="40" w:line="250" w:lineRule="auto"/>
            </w:pPr>
            <w:r>
              <w:rPr>
                <w:sz w:val="20"/>
              </w:rPr>
            </w:r>
            <w:r>
              <w:rPr>
                <w:sz w:val="20"/>
              </w:rPr>
              <w:t>Copy correction demonstrated. System rules, availability records, lead times and booking processes are untested. “Reviewed straight away” still depends on actual functionality.</w:t>
            </w:r>
          </w:p>
        </w:tc>
        <w:tc>
          <w:tcPr>
            <w:tcW w:type="dxa" w:w="3283"/>
            <w:shd w:fill="F2F5F8"/>
            <w:vAlign w:val="center"/>
            <w:tcMar>
              <w:top w:w="75" w:type="dxa"/>
              <w:bottom w:w="75" w:type="dxa"/>
              <w:left w:w="90" w:type="dxa"/>
              <w:right w:w="90" w:type="dxa"/>
            </w:tcMar>
          </w:tcPr>
          <w:p>
            <w:pPr>
              <w:spacing w:before="0" w:after="40" w:line="250" w:lineRule="auto"/>
            </w:pPr>
            <w:r>
              <w:rPr>
                <w:sz w:val="20"/>
              </w:rPr>
            </w:r>
            <w:r>
              <w:rPr>
                <w:sz w:val="20"/>
              </w:rPr>
              <w:t>Operations and product owners, coordinated by Arnav, approve and test every response and next step. Screen design can proceed; automation, availability and live enquiries remain ON HOLD.</w:t>
            </w:r>
          </w:p>
        </w:tc>
      </w:tr>
      <w:tr>
        <w:trPr>
          <w:cantSplit/>
        </w:trPr>
        <w:tc>
          <w:tcPr>
            <w:tcW w:type="dxa" w:w="1123"/>
            <w:vAlign w:val="center"/>
            <w:tcMar>
              <w:top w:w="75" w:type="dxa"/>
              <w:bottom w:w="75" w:type="dxa"/>
              <w:left w:w="90" w:type="dxa"/>
              <w:right w:w="90" w:type="dxa"/>
            </w:tcMar>
          </w:tcPr>
          <w:p>
            <w:pPr>
              <w:spacing w:before="0" w:after="40" w:line="250" w:lineRule="auto"/>
            </w:pPr>
            <w:r>
              <w:rPr>
                <w:rFonts w:ascii="Calibri" w:hAnsi="Calibri"/>
                <w:sz w:val="20"/>
              </w:rPr>
              <w:t>HP2-F05</w:t>
            </w:r>
          </w:p>
        </w:tc>
        <w:tc>
          <w:tcPr>
            <w:tcW w:type="dxa" w:w="2923"/>
            <w:vAlign w:val="center"/>
            <w:tcMar>
              <w:top w:w="75" w:type="dxa"/>
              <w:bottom w:w="75" w:type="dxa"/>
              <w:left w:w="90" w:type="dxa"/>
              <w:right w:w="90" w:type="dxa"/>
            </w:tcMar>
          </w:tcPr>
          <w:p>
            <w:pPr>
              <w:spacing w:before="0" w:after="40" w:line="250" w:lineRule="auto"/>
            </w:pPr>
            <w:r>
              <w:rPr>
                <w:sz w:val="20"/>
              </w:rPr>
            </w:r>
            <w:r>
              <w:rPr>
                <w:sz w:val="20"/>
              </w:rPr>
              <w:t>Travel and commercial terms. The HP-002 Content Package holds prices, packages, fees and lead times. Matrix records HP2-C05/C06; AI Search research v1.2, Part B9, contains unapproved fee wording.</w:t>
            </w:r>
          </w:p>
        </w:tc>
        <w:tc>
          <w:tcPr>
            <w:tcW w:type="dxa" w:w="2952"/>
            <w:vAlign w:val="center"/>
            <w:tcMar>
              <w:top w:w="75" w:type="dxa"/>
              <w:bottom w:w="75" w:type="dxa"/>
              <w:left w:w="90" w:type="dxa"/>
              <w:right w:w="90" w:type="dxa"/>
            </w:tcMar>
          </w:tcPr>
          <w:p>
            <w:pPr>
              <w:spacing w:before="0" w:after="40" w:line="250" w:lineRule="auto"/>
            </w:pPr>
            <w:r>
              <w:rPr>
                <w:sz w:val="20"/>
              </w:rPr>
            </w:r>
            <w:r>
              <w:rPr>
                <w:sz w:val="20"/>
              </w:rPr>
              <w:t>Evidence required. No approved mobile package or fee and quote terms were supplied. Search copy must not introduce a promise of free travel.</w:t>
            </w:r>
          </w:p>
        </w:tc>
        <w:tc>
          <w:tcPr>
            <w:tcW w:type="dxa" w:w="3283"/>
            <w:vAlign w:val="center"/>
            <w:tcMar>
              <w:top w:w="75" w:type="dxa"/>
              <w:bottom w:w="75" w:type="dxa"/>
              <w:left w:w="90" w:type="dxa"/>
              <w:right w:w="90" w:type="dxa"/>
            </w:tcMar>
          </w:tcPr>
          <w:p>
            <w:pPr>
              <w:spacing w:before="0" w:after="40" w:line="250" w:lineRule="auto"/>
            </w:pPr>
            <w:r>
              <w:rPr>
                <w:sz w:val="20"/>
              </w:rPr>
            </w:r>
            <w:r>
              <w:rPr>
                <w:sz w:val="20"/>
              </w:rPr>
              <w:t>Ajith and pricing provide dated terms, inclusions, exclusions, exceptions and quote wording. Arnav keeps the reserved sections empty. Commercial claims remain ON HOLD.</w:t>
            </w:r>
          </w:p>
        </w:tc>
      </w:tr>
      <w:tr>
        <w:trPr>
          <w:cantSplit/>
        </w:trPr>
        <w:tc>
          <w:tcPr>
            <w:tcW w:type="dxa" w:w="1123"/>
            <w:shd w:fill="F2F5F8"/>
            <w:vAlign w:val="center"/>
            <w:tcMar>
              <w:top w:w="75" w:type="dxa"/>
              <w:bottom w:w="75" w:type="dxa"/>
              <w:left w:w="90" w:type="dxa"/>
              <w:right w:w="90" w:type="dxa"/>
            </w:tcMar>
          </w:tcPr>
          <w:p>
            <w:pPr>
              <w:spacing w:before="0" w:after="40" w:line="250" w:lineRule="auto"/>
            </w:pPr>
            <w:r>
              <w:rPr>
                <w:rFonts w:ascii="Calibri" w:hAnsi="Calibri"/>
                <w:sz w:val="20"/>
              </w:rPr>
              <w:t>HP2-F06</w:t>
            </w:r>
          </w:p>
        </w:tc>
        <w:tc>
          <w:tcPr>
            <w:tcW w:type="dxa" w:w="2923"/>
            <w:shd w:fill="F2F5F8"/>
            <w:vAlign w:val="center"/>
            <w:tcMar>
              <w:top w:w="75" w:type="dxa"/>
              <w:bottom w:w="75" w:type="dxa"/>
              <w:left w:w="90" w:type="dxa"/>
              <w:right w:w="90" w:type="dxa"/>
            </w:tcMar>
          </w:tcPr>
          <w:p>
            <w:pPr>
              <w:spacing w:before="0" w:after="40" w:line="250" w:lineRule="auto"/>
            </w:pPr>
            <w:r>
              <w:rPr>
                <w:sz w:val="20"/>
              </w:rPr>
            </w:r>
            <w:r>
              <w:rPr>
                <w:sz w:val="20"/>
              </w:rPr>
              <w:t>Preparation and delivery. The HP-002 Content Package asks conditional access questions. Matrix records HP2-C07/C09 apply; HP2-C06 also covers equipment.</w:t>
            </w:r>
          </w:p>
        </w:tc>
        <w:tc>
          <w:tcPr>
            <w:tcW w:type="dxa" w:w="2952"/>
            <w:shd w:fill="F2F5F8"/>
            <w:vAlign w:val="center"/>
            <w:tcMar>
              <w:top w:w="75" w:type="dxa"/>
              <w:bottom w:w="75" w:type="dxa"/>
              <w:left w:w="90" w:type="dxa"/>
              <w:right w:w="90" w:type="dxa"/>
            </w:tcMar>
          </w:tcPr>
          <w:p>
            <w:pPr>
              <w:spacing w:before="0" w:after="40" w:line="250" w:lineRule="auto"/>
            </w:pPr>
            <w:r>
              <w:rPr>
                <w:sz w:val="20"/>
              </w:rPr>
            </w:r>
            <w:r>
              <w:rPr>
                <w:sz w:val="20"/>
              </w:rPr>
              <w:t>Proposed structure only. No tested run sheet, technical limits, staffing, capacity or contingency arrangements were supplied. Questions do not establish room or apartment suitability.</w:t>
            </w:r>
          </w:p>
        </w:tc>
        <w:tc>
          <w:tcPr>
            <w:tcW w:type="dxa" w:w="3283"/>
            <w:shd w:fill="F2F5F8"/>
            <w:vAlign w:val="center"/>
            <w:tcMar>
              <w:top w:w="75" w:type="dxa"/>
              <w:bottom w:w="75" w:type="dxa"/>
              <w:left w:w="90" w:type="dxa"/>
              <w:right w:w="90" w:type="dxa"/>
            </w:tcMar>
          </w:tcPr>
          <w:p>
            <w:pPr>
              <w:spacing w:before="0" w:after="40" w:line="250" w:lineRule="auto"/>
            </w:pPr>
            <w:r>
              <w:rPr>
                <w:sz w:val="20"/>
              </w:rPr>
            </w:r>
            <w:r>
              <w:rPr>
                <w:sz w:val="20"/>
              </w:rPr>
              <w:t>Operations, technical and safety owners review the preparation answer and supply the applicable checklist, limits, timings and exceptions. General questions can proceed; specific instructions remain ON HOLD.</w:t>
            </w:r>
          </w:p>
        </w:tc>
      </w:tr>
      <w:tr>
        <w:trPr>
          <w:cantSplit/>
        </w:trPr>
        <w:tc>
          <w:tcPr>
            <w:tcW w:type="dxa" w:w="1123"/>
            <w:vAlign w:val="center"/>
            <w:tcMar>
              <w:top w:w="75" w:type="dxa"/>
              <w:bottom w:w="75" w:type="dxa"/>
              <w:left w:w="90" w:type="dxa"/>
              <w:right w:w="90" w:type="dxa"/>
            </w:tcMar>
          </w:tcPr>
          <w:p>
            <w:pPr>
              <w:spacing w:before="0" w:after="40" w:line="250" w:lineRule="auto"/>
            </w:pPr>
            <w:r>
              <w:rPr>
                <w:rFonts w:ascii="Calibri" w:hAnsi="Calibri"/>
                <w:sz w:val="20"/>
              </w:rPr>
              <w:t>HP2-F07</w:t>
            </w:r>
          </w:p>
        </w:tc>
        <w:tc>
          <w:tcPr>
            <w:tcW w:type="dxa" w:w="2923"/>
            <w:vAlign w:val="center"/>
            <w:tcMar>
              <w:top w:w="75" w:type="dxa"/>
              <w:bottom w:w="75" w:type="dxa"/>
              <w:left w:w="90" w:type="dxa"/>
              <w:right w:w="90" w:type="dxa"/>
            </w:tcMar>
          </w:tcPr>
          <w:p>
            <w:pPr>
              <w:spacing w:before="0" w:after="40" w:line="250" w:lineRule="auto"/>
            </w:pPr>
            <w:r>
              <w:rPr>
                <w:sz w:val="20"/>
              </w:rPr>
            </w:r>
            <w:r>
              <w:rPr>
                <w:sz w:val="20"/>
              </w:rPr>
              <w:t>Age, supervision, safety and insurance. The HP-002 Content Package excludes assurances; AI Search trust answers remain blocked. Evidence and Trust Matrix, HP2-C08.</w:t>
            </w:r>
          </w:p>
        </w:tc>
        <w:tc>
          <w:tcPr>
            <w:tcW w:type="dxa" w:w="2952"/>
            <w:vAlign w:val="center"/>
            <w:tcMar>
              <w:top w:w="75" w:type="dxa"/>
              <w:bottom w:w="75" w:type="dxa"/>
              <w:left w:w="90" w:type="dxa"/>
              <w:right w:w="90" w:type="dxa"/>
            </w:tcMar>
          </w:tcPr>
          <w:p>
            <w:pPr>
              <w:spacing w:before="0" w:after="40" w:line="250" w:lineRule="auto"/>
            </w:pPr>
            <w:r>
              <w:rPr>
                <w:sz w:val="20"/>
              </w:rPr>
            </w:r>
            <w:r>
              <w:rPr>
                <w:sz w:val="20"/>
              </w:rPr>
              <w:t>Evidence required; withhold assurances. Applicable policies, insurance cover, staff-check records and authorised wording were not supplied.</w:t>
            </w:r>
          </w:p>
        </w:tc>
        <w:tc>
          <w:tcPr>
            <w:tcW w:type="dxa" w:w="3283"/>
            <w:vAlign w:val="center"/>
            <w:tcMar>
              <w:top w:w="75" w:type="dxa"/>
              <w:bottom w:w="75" w:type="dxa"/>
              <w:left w:w="90" w:type="dxa"/>
              <w:right w:w="90" w:type="dxa"/>
            </w:tcMar>
          </w:tcPr>
          <w:p>
            <w:pPr>
              <w:spacing w:before="0" w:after="40" w:line="250" w:lineRule="auto"/>
            </w:pPr>
            <w:r>
              <w:rPr>
                <w:sz w:val="20"/>
              </w:rPr>
            </w:r>
            <w:r>
              <w:rPr>
                <w:sz w:val="20"/>
              </w:rPr>
              <w:t>Ajith routes current documents and the exact claims to the designated safety, insurance and legal owners. Sensitive claims remain ON HOLD.</w:t>
            </w:r>
          </w:p>
        </w:tc>
      </w:tr>
      <w:tr>
        <w:trPr>
          <w:cantSplit/>
        </w:trPr>
        <w:tc>
          <w:tcPr>
            <w:tcW w:type="dxa" w:w="1123"/>
            <w:shd w:fill="F2F5F8"/>
            <w:vAlign w:val="center"/>
            <w:tcMar>
              <w:top w:w="75" w:type="dxa"/>
              <w:bottom w:w="75" w:type="dxa"/>
              <w:left w:w="90" w:type="dxa"/>
              <w:right w:w="90" w:type="dxa"/>
            </w:tcMar>
          </w:tcPr>
          <w:p>
            <w:pPr>
              <w:spacing w:before="0" w:after="40" w:line="250" w:lineRule="auto"/>
            </w:pPr>
            <w:r>
              <w:rPr>
                <w:rFonts w:ascii="Calibri" w:hAnsi="Calibri"/>
                <w:sz w:val="20"/>
              </w:rPr>
              <w:t>HP2-F08</w:t>
            </w:r>
          </w:p>
        </w:tc>
        <w:tc>
          <w:tcPr>
            <w:tcW w:type="dxa" w:w="2923"/>
            <w:shd w:fill="F2F5F8"/>
            <w:vAlign w:val="center"/>
            <w:tcMar>
              <w:top w:w="75" w:type="dxa"/>
              <w:bottom w:w="75" w:type="dxa"/>
              <w:left w:w="90" w:type="dxa"/>
              <w:right w:w="90" w:type="dxa"/>
            </w:tcMar>
          </w:tcPr>
          <w:p>
            <w:pPr>
              <w:spacing w:before="0" w:after="40" w:line="250" w:lineRule="auto"/>
            </w:pPr>
            <w:r>
              <w:rPr>
                <w:sz w:val="20"/>
              </w:rPr>
            </w:r>
            <w:r>
              <w:rPr>
                <w:sz w:val="20"/>
              </w:rPr>
              <w:t>Local proof. The HP-002 Content Package reserves a section for trust evidence. Evidence and Trust Matrix, HP2-C10.</w:t>
            </w:r>
          </w:p>
        </w:tc>
        <w:tc>
          <w:tcPr>
            <w:tcW w:type="dxa" w:w="2952"/>
            <w:shd w:fill="F2F5F8"/>
            <w:vAlign w:val="center"/>
            <w:tcMar>
              <w:top w:w="75" w:type="dxa"/>
              <w:bottom w:w="75" w:type="dxa"/>
              <w:left w:w="90" w:type="dxa"/>
              <w:right w:w="90" w:type="dxa"/>
            </w:tcMar>
          </w:tcPr>
          <w:p>
            <w:pPr>
              <w:spacing w:before="0" w:after="40" w:line="250" w:lineRule="auto"/>
            </w:pPr>
            <w:r>
              <w:rPr>
                <w:sz w:val="20"/>
              </w:rPr>
            </w:r>
            <w:r>
              <w:rPr>
                <w:sz w:val="20"/>
              </w:rPr>
              <w:t>Evidence required. No original local-event record or permission was supplied. Venue or stock images cannot prove delivery to a Melbourne home.</w:t>
            </w:r>
          </w:p>
        </w:tc>
        <w:tc>
          <w:tcPr>
            <w:tcW w:type="dxa" w:w="3283"/>
            <w:shd w:fill="F2F5F8"/>
            <w:vAlign w:val="center"/>
            <w:tcMar>
              <w:top w:w="75" w:type="dxa"/>
              <w:bottom w:w="75" w:type="dxa"/>
              <w:left w:w="90" w:type="dxa"/>
              <w:right w:w="90" w:type="dxa"/>
            </w:tcMar>
          </w:tcPr>
          <w:p>
            <w:pPr>
              <w:spacing w:before="0" w:after="40" w:line="250" w:lineRule="auto"/>
            </w:pPr>
            <w:r>
              <w:rPr>
                <w:sz w:val="20"/>
              </w:rPr>
            </w:r>
            <w:r>
              <w:rPr>
                <w:sz w:val="20"/>
              </w:rPr>
              <w:t>Ajith and the evidence and consent owners provide the event date, setting, original source, rights and permitted details. The Brand Authority Builder then reviews presentation. Proof remains ON HOLD.</w:t>
            </w:r>
          </w:p>
        </w:tc>
      </w:tr>
      <w:tr>
        <w:trPr>
          <w:cantSplit/>
        </w:trPr>
        <w:tc>
          <w:tcPr>
            <w:tcW w:type="dxa" w:w="1123"/>
            <w:vAlign w:val="center"/>
            <w:tcMar>
              <w:top w:w="75" w:type="dxa"/>
              <w:bottom w:w="75" w:type="dxa"/>
              <w:left w:w="90" w:type="dxa"/>
              <w:right w:w="90" w:type="dxa"/>
            </w:tcMar>
          </w:tcPr>
          <w:p>
            <w:pPr>
              <w:spacing w:before="0" w:after="40" w:line="250" w:lineRule="auto"/>
            </w:pPr>
            <w:r>
              <w:rPr>
                <w:rFonts w:ascii="Calibri" w:hAnsi="Calibri"/>
                <w:sz w:val="20"/>
              </w:rPr>
              <w:t>HP2-F09</w:t>
            </w:r>
          </w:p>
        </w:tc>
        <w:tc>
          <w:tcPr>
            <w:tcW w:type="dxa" w:w="2923"/>
            <w:vAlign w:val="center"/>
            <w:tcMar>
              <w:top w:w="75" w:type="dxa"/>
              <w:bottom w:w="75" w:type="dxa"/>
              <w:left w:w="90" w:type="dxa"/>
              <w:right w:w="90" w:type="dxa"/>
            </w:tcMar>
          </w:tcPr>
          <w:p>
            <w:pPr>
              <w:spacing w:before="0" w:after="40" w:line="250" w:lineRule="auto"/>
            </w:pPr>
            <w:r>
              <w:rPr>
                <w:sz w:val="20"/>
              </w:rPr>
            </w:r>
            <w:r>
              <w:rPr>
                <w:sz w:val="20"/>
              </w:rPr>
              <w:t>Privacy. HP-002 Content Package, Part 4 and Appendix C, holds data handling. Matrix records HP2-C02/C10 and HP2-P01 apply.</w:t>
            </w:r>
          </w:p>
        </w:tc>
        <w:tc>
          <w:tcPr>
            <w:tcW w:type="dxa" w:w="2952"/>
            <w:vAlign w:val="center"/>
            <w:tcMar>
              <w:top w:w="75" w:type="dxa"/>
              <w:bottom w:w="75" w:type="dxa"/>
              <w:left w:w="90" w:type="dxa"/>
              <w:right w:w="90" w:type="dxa"/>
            </w:tcMar>
          </w:tcPr>
          <w:p>
            <w:pPr>
              <w:spacing w:before="0" w:after="40" w:line="250" w:lineRule="auto"/>
            </w:pPr>
            <w:r>
              <w:rPr>
                <w:sz w:val="20"/>
              </w:rPr>
            </w:r>
            <w:r>
              <w:rPr>
                <w:sz w:val="20"/>
              </w:rPr>
              <w:t>Human confirmation required. Fields, guest ages, postcode and date transfers, addresses and photo submission lack approval and testing. The checker itself collects data.</w:t>
            </w:r>
          </w:p>
        </w:tc>
        <w:tc>
          <w:tcPr>
            <w:tcW w:type="dxa" w:w="3283"/>
            <w:vAlign w:val="center"/>
            <w:tcMar>
              <w:top w:w="75" w:type="dxa"/>
              <w:bottom w:w="75" w:type="dxa"/>
              <w:left w:w="90" w:type="dxa"/>
              <w:right w:w="90" w:type="dxa"/>
            </w:tcMar>
          </w:tcPr>
          <w:p>
            <w:pPr>
              <w:spacing w:before="0" w:after="40" w:line="250" w:lineRule="auto"/>
            </w:pPr>
            <w:r>
              <w:rPr>
                <w:sz w:val="20"/>
              </w:rPr>
            </w:r>
            <w:r>
              <w:rPr>
                <w:sz w:val="20"/>
              </w:rPr>
              <w:t>Privacy and product owners, coordinated by Arnav, approve and test the whole journey: notices, access, retention, consent and transfers. Data collection and photo submission remain ON HOLD.</w:t>
            </w:r>
          </w:p>
        </w:tc>
      </w:tr>
      <w:tr>
        <w:trPr>
          <w:cantSplit/>
        </w:trPr>
        <w:tc>
          <w:tcPr>
            <w:tcW w:type="dxa" w:w="1123"/>
            <w:shd w:fill="F2F5F8"/>
            <w:vAlign w:val="center"/>
            <w:tcMar>
              <w:top w:w="75" w:type="dxa"/>
              <w:bottom w:w="75" w:type="dxa"/>
              <w:left w:w="90" w:type="dxa"/>
              <w:right w:w="90" w:type="dxa"/>
            </w:tcMar>
          </w:tcPr>
          <w:p>
            <w:pPr>
              <w:keepNext/>
              <w:spacing w:before="0" w:after="40" w:line="250" w:lineRule="auto"/>
            </w:pPr>
            <w:r>
              <w:rPr>
                <w:rFonts w:ascii="Calibri" w:hAnsi="Calibri"/>
                <w:sz w:val="20"/>
              </w:rPr>
              <w:t>HP2-F10</w:t>
            </w:r>
          </w:p>
        </w:tc>
        <w:tc>
          <w:tcPr>
            <w:tcW w:type="dxa" w:w="2923"/>
            <w:shd w:fill="F2F5F8"/>
            <w:vAlign w:val="center"/>
            <w:tcMar>
              <w:top w:w="75" w:type="dxa"/>
              <w:bottom w:w="75" w:type="dxa"/>
              <w:left w:w="90" w:type="dxa"/>
              <w:right w:w="90" w:type="dxa"/>
            </w:tcMar>
          </w:tcPr>
          <w:p>
            <w:pPr>
              <w:keepNext/>
              <w:spacing w:before="0" w:after="40" w:line="250" w:lineRule="auto"/>
            </w:pPr>
            <w:r>
              <w:rPr>
                <w:sz w:val="20"/>
              </w:rPr>
            </w:r>
            <w:r>
              <w:rPr>
                <w:sz w:val="20"/>
              </w:rPr>
              <w:t>Venue options. HP-002 Content Package, Part 2, answers the venue-delivery question “Yes” and includes “let us source a private venue”. Appendix D prohibits unconfirmed sourcing promises. Matrix record HP2-C11 applies.</w:t>
            </w:r>
          </w:p>
        </w:tc>
        <w:tc>
          <w:tcPr>
            <w:tcW w:type="dxa" w:w="2952"/>
            <w:shd w:fill="F2F5F8"/>
            <w:vAlign w:val="center"/>
            <w:tcMar>
              <w:top w:w="75" w:type="dxa"/>
              <w:bottom w:w="75" w:type="dxa"/>
              <w:left w:w="90" w:type="dxa"/>
              <w:right w:w="90" w:type="dxa"/>
            </w:tcMar>
          </w:tcPr>
          <w:p>
            <w:pPr>
              <w:keepNext/>
              <w:spacing w:before="0" w:after="40" w:line="250" w:lineRule="auto"/>
            </w:pPr>
            <w:r>
              <w:rPr>
                <w:sz w:val="20"/>
              </w:rPr>
            </w:r>
            <w:r>
              <w:rPr>
                <w:sz w:val="20"/>
              </w:rPr>
              <w:t>Unsupported - withhold. The answer and link wording contradict Appendix D. No current owner evidence establishes venue delivery or sourcing.</w:t>
            </w:r>
          </w:p>
        </w:tc>
        <w:tc>
          <w:tcPr>
            <w:tcW w:type="dxa" w:w="3283"/>
            <w:shd w:fill="F2F5F8"/>
            <w:vAlign w:val="center"/>
            <w:tcMar>
              <w:top w:w="75" w:type="dxa"/>
              <w:bottom w:w="75" w:type="dxa"/>
              <w:left w:w="90" w:type="dxa"/>
              <w:right w:w="90" w:type="dxa"/>
            </w:tcMar>
          </w:tcPr>
          <w:p>
            <w:pPr>
              <w:keepNext/>
              <w:spacing w:before="0" w:after="40" w:line="250" w:lineRule="auto"/>
            </w:pPr>
            <w:r>
              <w:rPr>
                <w:sz w:val="20"/>
              </w:rPr>
            </w:r>
            <w:r>
              <w:rPr>
                <w:sz w:val="20"/>
              </w:rPr>
              <w:t>Arnav revises or holds both promises and resolves the contradiction. Ajith and the owner responsible for private-venue options confirm services, responsibilities and public wording. Affected wording remains ON HOLD.</w:t>
            </w:r>
          </w:p>
        </w:tc>
      </w:tr>
      <w:tr>
        <w:trPr>
          <w:cantSplit/>
        </w:trPr>
        <w:tc>
          <w:tcPr>
            <w:tcW w:type="dxa" w:w="1123"/>
            <w:vAlign w:val="center"/>
            <w:tcMar>
              <w:top w:w="75" w:type="dxa"/>
              <w:bottom w:w="75" w:type="dxa"/>
              <w:left w:w="90" w:type="dxa"/>
              <w:right w:w="90" w:type="dxa"/>
            </w:tcMar>
          </w:tcPr>
          <w:p>
            <w:pPr>
              <w:keepNext/>
              <w:spacing w:before="0" w:after="40" w:line="250" w:lineRule="auto"/>
            </w:pPr>
            <w:r>
              <w:rPr>
                <w:rFonts w:ascii="Calibri" w:hAnsi="Calibri"/>
                <w:sz w:val="20"/>
              </w:rPr>
              <w:t>HP2-F11</w:t>
            </w:r>
          </w:p>
        </w:tc>
        <w:tc>
          <w:tcPr>
            <w:tcW w:type="dxa" w:w="2923"/>
            <w:vAlign w:val="center"/>
            <w:tcMar>
              <w:top w:w="75" w:type="dxa"/>
              <w:bottom w:w="75" w:type="dxa"/>
              <w:left w:w="90" w:type="dxa"/>
              <w:right w:w="90" w:type="dxa"/>
            </w:tcMar>
          </w:tcPr>
          <w:p>
            <w:pPr>
              <w:keepNext/>
              <w:spacing w:before="0" w:after="40" w:line="250" w:lineRule="auto"/>
            </w:pPr>
            <w:r>
              <w:rPr>
                <w:sz w:val="20"/>
              </w:rPr>
            </w:r>
            <w:r>
              <w:rPr>
                <w:sz w:val="20"/>
              </w:rPr>
              <w:t>Search and measurement. The Architecture workbook and AI Visibility preparation use different phrases. AI Search research v1.2 has no measured baseline. Content Package wording must align with the Measurement Validation Requirements.</w:t>
            </w:r>
          </w:p>
        </w:tc>
        <w:tc>
          <w:tcPr>
            <w:tcW w:type="dxa" w:w="2952"/>
            <w:vAlign w:val="center"/>
            <w:tcMar>
              <w:top w:w="75" w:type="dxa"/>
              <w:bottom w:w="75" w:type="dxa"/>
              <w:left w:w="90" w:type="dxa"/>
              <w:right w:w="90" w:type="dxa"/>
            </w:tcMar>
          </w:tcPr>
          <w:p>
            <w:pPr>
              <w:keepNext/>
              <w:spacing w:before="0" w:after="40" w:line="250" w:lineRule="auto"/>
            </w:pPr>
            <w:r>
              <w:rPr>
                <w:sz w:val="20"/>
              </w:rPr>
            </w:r>
            <w:r>
              <w:rPr>
                <w:sz w:val="20"/>
              </w:rPr>
              <w:t>Supported planning; performance unavailable. There is no page-specific demand, AI visibility or conversion baseline. Configured tracking events do not verify business outcomes.</w:t>
            </w:r>
          </w:p>
        </w:tc>
        <w:tc>
          <w:tcPr>
            <w:tcW w:type="dxa" w:w="3283"/>
            <w:vAlign w:val="center"/>
            <w:tcMar>
              <w:top w:w="75" w:type="dxa"/>
              <w:bottom w:w="75" w:type="dxa"/>
              <w:left w:w="90" w:type="dxa"/>
              <w:right w:w="90" w:type="dxa"/>
            </w:tcMar>
          </w:tcPr>
          <w:p>
            <w:pPr>
              <w:keepNext/>
              <w:spacing w:before="0" w:after="40" w:line="250" w:lineRule="auto"/>
            </w:pPr>
            <w:r>
              <w:rPr>
                <w:sz w:val="20"/>
              </w:rPr>
            </w:r>
            <w:r>
              <w:rPr>
                <w:sz w:val="20"/>
              </w:rPr>
              <w:t>Strategy resolves the phrase difference and which wording stays held. Analytics and AI Visibility distinguish enquiry-action clicks, submitted enquiries, qualification and bookings. They approve definitions and record results. Outcome claims remain ON HOLD.</w:t>
            </w:r>
          </w:p>
        </w:tc>
      </w:tr>
      <w:tr>
        <w:trPr>
          <w:cantSplit/>
        </w:trPr>
        <w:tc>
          <w:tcPr>
            <w:tcW w:type="dxa" w:w="1123"/>
            <w:shd w:fill="F2F5F8"/>
            <w:vAlign w:val="center"/>
            <w:tcMar>
              <w:top w:w="75" w:type="dxa"/>
              <w:bottom w:w="75" w:type="dxa"/>
              <w:left w:w="90" w:type="dxa"/>
              <w:right w:w="90" w:type="dxa"/>
            </w:tcMar>
          </w:tcPr>
          <w:p>
            <w:pPr>
              <w:spacing w:before="0" w:after="40" w:line="250" w:lineRule="auto"/>
            </w:pPr>
            <w:r>
              <w:rPr>
                <w:rFonts w:ascii="Calibri" w:hAnsi="Calibri"/>
                <w:sz w:val="20"/>
              </w:rPr>
              <w:t>HP2-F12</w:t>
            </w:r>
          </w:p>
        </w:tc>
        <w:tc>
          <w:tcPr>
            <w:tcW w:type="dxa" w:w="2923"/>
            <w:shd w:fill="F2F5F8"/>
            <w:vAlign w:val="center"/>
            <w:tcMar>
              <w:top w:w="75" w:type="dxa"/>
              <w:bottom w:w="75" w:type="dxa"/>
              <w:left w:w="90" w:type="dxa"/>
              <w:right w:w="90" w:type="dxa"/>
            </w:tcMar>
          </w:tcPr>
          <w:p>
            <w:pPr>
              <w:spacing w:before="0" w:after="40" w:line="250" w:lineRule="auto"/>
            </w:pPr>
            <w:r/>
            <w:r>
              <w:rPr>
                <w:sz w:val="20"/>
              </w:rPr>
              <w:t>Structured data (website code describing the page) and external authority. The HP-002 Content Package omits unsupported website-code properties. AI Search research v1.2, Part B10, reports venue-focused listings and address differences.</w:t>
            </w:r>
          </w:p>
        </w:tc>
        <w:tc>
          <w:tcPr>
            <w:tcW w:type="dxa" w:w="2952"/>
            <w:shd w:fill="F2F5F8"/>
            <w:vAlign w:val="center"/>
            <w:tcMar>
              <w:top w:w="75" w:type="dxa"/>
              <w:bottom w:w="75" w:type="dxa"/>
              <w:left w:w="90" w:type="dxa"/>
              <w:right w:w="90" w:type="dxa"/>
            </w:tcMar>
          </w:tcPr>
          <w:p>
            <w:pPr>
              <w:spacing w:before="0" w:after="40" w:line="250" w:lineRule="auto"/>
            </w:pPr>
            <w:r>
              <w:rPr>
                <w:sz w:val="20"/>
              </w:rPr>
            </w:r>
            <w:r>
              <w:rPr>
                <w:sz w:val="20"/>
              </w:rPr>
              <w:t>Proposed follow-up. No implemented structured data or specialist audit was validated. Reported differences do not establish the correct address or prove inaccurate AI representation.</w:t>
            </w:r>
          </w:p>
        </w:tc>
        <w:tc>
          <w:tcPr>
            <w:tcW w:type="dxa" w:w="3283"/>
            <w:shd w:fill="F2F5F8"/>
            <w:vAlign w:val="center"/>
            <w:tcMar>
              <w:top w:w="75" w:type="dxa"/>
              <w:bottom w:w="75" w:type="dxa"/>
              <w:left w:w="90" w:type="dxa"/>
              <w:right w:w="90" w:type="dxa"/>
            </w:tcMar>
          </w:tcPr>
          <w:p>
            <w:pPr>
              <w:spacing w:before="0" w:after="40" w:line="250" w:lineRule="auto"/>
            </w:pPr>
            <w:r>
              <w:rPr>
                <w:sz w:val="20"/>
              </w:rPr>
            </w:r>
            <w:r>
              <w:rPr>
                <w:sz w:val="20"/>
              </w:rPr>
              <w:t>Technical SEO (search engine optimisation) checks website code against approved visible facts. The Brand Authority Builder and business-profile owner verify listings before corrections. Evidence-backed assets precede link or media review. Unsupported code and profile claims remain ON HOLD.</w:t>
            </w:r>
          </w:p>
        </w:tc>
      </w:tr>
    </w:tbl>
    <w:p>
      <w:pPr>
        <w:spacing w:after="40"/>
      </w:pPr>
      <w:r/>
    </w:p>
    <w:p>
      <w:pPr>
        <w:pStyle w:val="Heading2"/>
        <w:keepNext/>
        <w:keepLines/>
      </w:pPr>
      <w:r>
        <w:rPr>
          <w:color w:val="000000"/>
        </w:rPr>
        <w:t>2.4 Unsupported claims and remaining assumptions</w:t>
      </w:r>
    </w:p>
    <w:p>
      <w:pPr>
        <w:keepLines/>
      </w:pPr>
      <w:r>
        <w:t>The claims listed under HP2-F02–HP2-F10 remain subject to their evidence holds. In particular, HP2-F10’s venue-delivery answer and venue-sourcing link need correction and owner confirmation. Unapproved wording about fees, home delivery or staff checks in the AI Search research cannot replace business evidence.</w:t>
      </w:r>
    </w:p>
    <w:p>
      <w:pPr>
        <w:keepLines/>
      </w:pPr>
      <w:r>
        <w:t>Assumptions A02–A03 in the HP-002 Content Package describe proposed date and postcode fields, automatic and manual responses, and enquiry-form fields. They do not approve the process or its data handling (HP2-F04/F09). The follow-up process, response time, capacity and booking acceptance remain unverified.</w:t>
      </w:r>
    </w:p>
    <w:p>
      <w:pPr>
        <w:pStyle w:val="Heading2"/>
        <w:keepNext/>
        <w:keepLines/>
      </w:pPr>
      <w:r>
        <w:rPr>
          <w:color w:val="000000"/>
        </w:rPr>
        <w:t>2.5 Trust signals and supporting proof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20"/>
        <w:gridCol w:w="4162"/>
      </w:tblGrid>
      <w:tr>
        <w:trPr>
          <w:tblHeader/>
        </w:trPr>
        <w:tc>
          <w:tcPr>
            <w:tcW w:type="dxa" w:w="1800"/>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Signal</w:t>
            </w:r>
          </w:p>
        </w:tc>
        <w:tc>
          <w:tcPr>
            <w:tcW w:type="dxa" w:w="4320"/>
            <w:shd w:fill="243B53"/>
            <w:vAlign w:val="center"/>
            <w:tcMar>
              <w:top w:w="75" w:type="dxa"/>
              <w:bottom w:w="75" w:type="dxa"/>
              <w:left w:w="90" w:type="dxa"/>
              <w:right w:w="90" w:type="dxa"/>
            </w:tcMar>
          </w:tcPr>
          <w:p>
            <w:pPr>
              <w:keepNext/>
              <w:spacing w:before="0" w:after="40" w:line="250" w:lineRule="auto"/>
            </w:pPr>
            <w:r>
              <w:rPr>
                <w:b/>
                <w:color w:val="FFFFFF"/>
                <w:sz w:val="20"/>
              </w:rPr>
            </w:r>
            <w:r>
              <w:rPr>
                <w:b/>
                <w:color w:val="FFFFFF"/>
                <w:sz w:val="20"/>
              </w:rPr>
              <w:t>Available support</w:t>
            </w:r>
          </w:p>
        </w:tc>
        <w:tc>
          <w:tcPr>
            <w:tcW w:type="dxa" w:w="4162"/>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Required confirmation</w:t>
            </w:r>
          </w:p>
        </w:tc>
      </w:tr>
      <w:tr>
        <w:trPr>
          <w:cantSplit/>
        </w:trPr>
        <w:tc>
          <w:tcPr>
            <w:tcW w:type="dxa" w:w="1800"/>
            <w:vAlign w:val="center"/>
            <w:tcMar>
              <w:top w:w="75" w:type="dxa"/>
              <w:bottom w:w="75" w:type="dxa"/>
              <w:left w:w="90" w:type="dxa"/>
              <w:right w:w="90" w:type="dxa"/>
            </w:tcMar>
          </w:tcPr>
          <w:p>
            <w:pPr>
              <w:keepNext/>
              <w:spacing w:before="0" w:after="40" w:line="250" w:lineRule="auto"/>
            </w:pPr>
            <w:r>
              <w:rPr>
                <w:sz w:val="20"/>
              </w:rPr>
            </w:r>
            <w:r>
              <w:rPr>
                <w:sz w:val="20"/>
              </w:rPr>
              <w:t>Public contact</w:t>
            </w:r>
          </w:p>
        </w:tc>
        <w:tc>
          <w:tcPr>
            <w:tcW w:type="dxa" w:w="4320"/>
            <w:vAlign w:val="center"/>
            <w:tcMar>
              <w:top w:w="75" w:type="dxa"/>
              <w:bottom w:w="75" w:type="dxa"/>
              <w:left w:w="90" w:type="dxa"/>
              <w:right w:w="90" w:type="dxa"/>
            </w:tcMar>
          </w:tcPr>
          <w:p>
            <w:pPr>
              <w:keepNext/>
              <w:spacing w:before="0" w:after="40" w:line="250" w:lineRule="auto"/>
            </w:pPr>
            <w:r>
              <w:rPr>
                <w:sz w:val="20"/>
              </w:rPr>
            </w:r>
            <w:r>
              <w:rPr>
                <w:sz w:val="20"/>
              </w:rPr>
              <w:t>The official Contact Us page showed 03 9088 6232 when reviewed on 27 October 2026. This supports that contact detail only.</w:t>
            </w:r>
          </w:p>
        </w:tc>
        <w:tc>
          <w:tcPr>
            <w:tcW w:type="dxa" w:w="4162"/>
            <w:vAlign w:val="center"/>
            <w:tcMar>
              <w:top w:w="75" w:type="dxa"/>
              <w:bottom w:w="75" w:type="dxa"/>
              <w:left w:w="90" w:type="dxa"/>
              <w:right w:w="90" w:type="dxa"/>
            </w:tcMar>
          </w:tcPr>
          <w:p>
            <w:pPr>
              <w:keepNext/>
              <w:spacing w:before="0" w:after="40" w:line="250" w:lineRule="auto"/>
            </w:pPr>
            <w:r>
              <w:rPr>
                <w:sz w:val="20"/>
              </w:rPr>
            </w:r>
            <w:r>
              <w:rPr>
                <w:sz w:val="20"/>
              </w:rPr>
              <w:t>It does not confirm mobile eligibility, response times or bookings.</w:t>
            </w:r>
          </w:p>
        </w:tc>
      </w:tr>
      <w:tr>
        <w:trPr>
          <w:cantSplit/>
        </w:trPr>
        <w:tc>
          <w:tcPr>
            <w:tcW w:type="dxa" w:w="1800"/>
            <w:shd w:fill="F2F5F8"/>
            <w:vAlign w:val="center"/>
            <w:tcMar>
              <w:top w:w="75" w:type="dxa"/>
              <w:bottom w:w="75" w:type="dxa"/>
              <w:left w:w="90" w:type="dxa"/>
              <w:right w:w="90" w:type="dxa"/>
            </w:tcMar>
          </w:tcPr>
          <w:p>
            <w:pPr>
              <w:keepNext/>
              <w:spacing w:before="0" w:after="40" w:line="250" w:lineRule="auto"/>
            </w:pPr>
            <w:r>
              <w:rPr>
                <w:sz w:val="20"/>
              </w:rPr>
            </w:r>
            <w:r>
              <w:rPr>
                <w:sz w:val="20"/>
              </w:rPr>
              <w:t>Clear enquiry messages</w:t>
            </w:r>
          </w:p>
        </w:tc>
        <w:tc>
          <w:tcPr>
            <w:tcW w:type="dxa" w:w="4320"/>
            <w:shd w:fill="F2F5F8"/>
            <w:vAlign w:val="center"/>
            <w:tcMar>
              <w:top w:w="75" w:type="dxa"/>
              <w:bottom w:w="75" w:type="dxa"/>
              <w:left w:w="90" w:type="dxa"/>
              <w:right w:w="90" w:type="dxa"/>
            </w:tcMar>
          </w:tcPr>
          <w:p>
            <w:pPr>
              <w:keepNext/>
              <w:spacing w:before="0" w:after="40" w:line="250" w:lineRule="auto"/>
            </w:pPr>
            <w:r>
              <w:rPr>
                <w:sz w:val="20"/>
              </w:rPr>
            </w:r>
            <w:r>
              <w:rPr>
                <w:sz w:val="20"/>
              </w:rPr>
              <w:t>The HP-002 Content Package explicitly says acknowledgement is not booking confirmation.</w:t>
            </w:r>
          </w:p>
        </w:tc>
        <w:tc>
          <w:tcPr>
            <w:tcW w:type="dxa" w:w="4162"/>
            <w:shd w:fill="F2F5F8"/>
            <w:vAlign w:val="center"/>
            <w:tcMar>
              <w:top w:w="75" w:type="dxa"/>
              <w:bottom w:w="75" w:type="dxa"/>
              <w:left w:w="90" w:type="dxa"/>
              <w:right w:w="90" w:type="dxa"/>
            </w:tcMar>
          </w:tcPr>
          <w:p>
            <w:pPr>
              <w:keepNext/>
              <w:spacing w:before="0" w:after="40" w:line="250" w:lineRule="auto"/>
            </w:pPr>
            <w:r>
              <w:rPr>
                <w:sz w:val="20"/>
              </w:rPr>
            </w:r>
            <w:r>
              <w:rPr>
                <w:sz w:val="20"/>
              </w:rPr>
              <w:t>Operating and privacy tests are still required (HP2-F04/F09).</w:t>
            </w:r>
          </w:p>
        </w:tc>
      </w:tr>
      <w:tr>
        <w:trPr>
          <w:cantSplit/>
        </w:trPr>
        <w:tc>
          <w:tcPr>
            <w:tcW w:type="dxa" w:w="1800"/>
            <w:vAlign w:val="center"/>
            <w:tcMar>
              <w:top w:w="75" w:type="dxa"/>
              <w:bottom w:w="75" w:type="dxa"/>
              <w:left w:w="90" w:type="dxa"/>
              <w:right w:w="90" w:type="dxa"/>
            </w:tcMar>
          </w:tcPr>
          <w:p>
            <w:pPr>
              <w:keepNext/>
              <w:spacing w:before="0" w:after="40" w:line="250" w:lineRule="auto"/>
            </w:pPr>
            <w:r>
              <w:rPr>
                <w:sz w:val="20"/>
              </w:rPr>
            </w:r>
            <w:r>
              <w:rPr>
                <w:sz w:val="20"/>
              </w:rPr>
              <w:t>Local photos, reviews and cases</w:t>
            </w:r>
          </w:p>
        </w:tc>
        <w:tc>
          <w:tcPr>
            <w:tcW w:type="dxa" w:w="4320"/>
            <w:vAlign w:val="center"/>
            <w:tcMar>
              <w:top w:w="75" w:type="dxa"/>
              <w:bottom w:w="75" w:type="dxa"/>
              <w:left w:w="90" w:type="dxa"/>
              <w:right w:w="90" w:type="dxa"/>
            </w:tcMar>
          </w:tcPr>
          <w:p>
            <w:pPr>
              <w:keepNext/>
              <w:spacing w:before="0" w:after="40" w:line="250" w:lineRule="auto"/>
            </w:pPr>
            <w:r>
              <w:rPr>
                <w:sz w:val="20"/>
              </w:rPr>
            </w:r>
            <w:r>
              <w:rPr>
                <w:sz w:val="20"/>
              </w:rPr>
              <w:t>Proposed; no approved material or permission was supplied.</w:t>
            </w:r>
          </w:p>
        </w:tc>
        <w:tc>
          <w:tcPr>
            <w:tcW w:type="dxa" w:w="4162"/>
            <w:vAlign w:val="center"/>
            <w:tcMar>
              <w:top w:w="75" w:type="dxa"/>
              <w:bottom w:w="75" w:type="dxa"/>
              <w:left w:w="90" w:type="dxa"/>
              <w:right w:w="90" w:type="dxa"/>
            </w:tcMar>
          </w:tcPr>
          <w:p>
            <w:pPr>
              <w:keepNext/>
              <w:spacing w:before="0" w:after="40" w:line="250" w:lineRule="auto"/>
            </w:pPr>
            <w:r>
              <w:rPr>
                <w:sz w:val="20"/>
              </w:rPr>
            </w:r>
            <w:r>
              <w:rPr>
                <w:sz w:val="20"/>
              </w:rPr>
              <w:t>Document the actual event, claim supported, rights and consent (HP2-F08).</w:t>
            </w:r>
          </w:p>
        </w:tc>
      </w:tr>
      <w:tr>
        <w:trPr>
          <w:cantSplit/>
        </w:trPr>
        <w:tc>
          <w:tcPr>
            <w:tcW w:type="dxa" w:w="1800"/>
            <w:shd w:fill="F2F5F8"/>
            <w:vAlign w:val="center"/>
            <w:tcMar>
              <w:top w:w="75" w:type="dxa"/>
              <w:bottom w:w="75" w:type="dxa"/>
              <w:left w:w="90" w:type="dxa"/>
              <w:right w:w="90" w:type="dxa"/>
            </w:tcMar>
          </w:tcPr>
          <w:p>
            <w:pPr>
              <w:keepNext/>
              <w:spacing w:before="0" w:after="40" w:line="250" w:lineRule="auto"/>
            </w:pPr>
            <w:r>
              <w:rPr>
                <w:sz w:val="20"/>
              </w:rPr>
            </w:r>
            <w:r>
              <w:rPr>
                <w:sz w:val="20"/>
              </w:rPr>
              <w:t>Service, commercial and safety information</w:t>
            </w:r>
          </w:p>
        </w:tc>
        <w:tc>
          <w:tcPr>
            <w:tcW w:type="dxa" w:w="4320"/>
            <w:shd w:fill="F2F5F8"/>
            <w:vAlign w:val="center"/>
            <w:tcMar>
              <w:top w:w="75" w:type="dxa"/>
              <w:bottom w:w="75" w:type="dxa"/>
              <w:left w:w="90" w:type="dxa"/>
              <w:right w:w="90" w:type="dxa"/>
            </w:tcMar>
          </w:tcPr>
          <w:p>
            <w:pPr>
              <w:keepNext/>
              <w:spacing w:before="0" w:after="40" w:line="250" w:lineRule="auto"/>
            </w:pPr>
            <w:r>
              <w:rPr>
                <w:sz w:val="20"/>
              </w:rPr>
            </w:r>
            <w:r>
              <w:rPr>
                <w:sz w:val="20"/>
              </w:rPr>
              <w:t>Potential trust signals once the specific claims have evidence and authorised review.</w:t>
            </w:r>
          </w:p>
        </w:tc>
        <w:tc>
          <w:tcPr>
            <w:tcW w:type="dxa" w:w="4162"/>
            <w:shd w:fill="F2F5F8"/>
            <w:vAlign w:val="center"/>
            <w:tcMar>
              <w:top w:w="75" w:type="dxa"/>
              <w:bottom w:w="75" w:type="dxa"/>
              <w:left w:w="90" w:type="dxa"/>
              <w:right w:w="90" w:type="dxa"/>
            </w:tcMar>
          </w:tcPr>
          <w:p>
            <w:pPr>
              <w:keepNext/>
              <w:spacing w:before="0" w:after="40" w:line="250" w:lineRule="auto"/>
            </w:pPr>
            <w:r>
              <w:rPr>
                <w:sz w:val="20"/>
              </w:rPr>
            </w:r>
            <w:r>
              <w:rPr>
                <w:sz w:val="20"/>
              </w:rPr>
              <w:t>Confirm current rules, scope, dates and public wording (HP2-F03/F05/F07).</w:t>
            </w:r>
          </w:p>
        </w:tc>
      </w:tr>
      <w:tr>
        <w:trPr>
          <w:cantSplit/>
        </w:trPr>
        <w:tc>
          <w:tcPr>
            <w:tcW w:type="dxa" w:w="1800"/>
            <w:vAlign w:val="center"/>
            <w:tcMar>
              <w:top w:w="75" w:type="dxa"/>
              <w:bottom w:w="75" w:type="dxa"/>
              <w:left w:w="90" w:type="dxa"/>
              <w:right w:w="90" w:type="dxa"/>
            </w:tcMar>
          </w:tcPr>
          <w:p>
            <w:pPr>
              <w:spacing w:before="0" w:after="40" w:line="250" w:lineRule="auto"/>
            </w:pPr>
            <w:r>
              <w:rPr>
                <w:sz w:val="20"/>
              </w:rPr>
            </w:r>
            <w:r>
              <w:rPr>
                <w:sz w:val="20"/>
              </w:rPr>
              <w:t>Consistent business profiles and citations</w:t>
            </w:r>
          </w:p>
        </w:tc>
        <w:tc>
          <w:tcPr>
            <w:tcW w:type="dxa" w:w="4320"/>
            <w:vAlign w:val="center"/>
            <w:tcMar>
              <w:top w:w="75" w:type="dxa"/>
              <w:bottom w:w="75" w:type="dxa"/>
              <w:left w:w="90" w:type="dxa"/>
              <w:right w:w="90" w:type="dxa"/>
            </w:tcMar>
          </w:tcPr>
          <w:p>
            <w:pPr>
              <w:spacing w:before="0" w:after="40" w:line="250" w:lineRule="auto"/>
            </w:pPr>
            <w:r>
              <w:rPr>
                <w:sz w:val="20"/>
              </w:rPr>
            </w:r>
            <w:r>
              <w:rPr>
                <w:sz w:val="20"/>
              </w:rPr>
              <w:t>The AI Search research reports observations, rather than a completed Authority specialist audit.</w:t>
            </w:r>
          </w:p>
        </w:tc>
        <w:tc>
          <w:tcPr>
            <w:tcW w:type="dxa" w:w="4162"/>
            <w:vAlign w:val="center"/>
            <w:tcMar>
              <w:top w:w="75" w:type="dxa"/>
              <w:bottom w:w="75" w:type="dxa"/>
              <w:left w:w="90" w:type="dxa"/>
              <w:right w:w="90" w:type="dxa"/>
            </w:tcMar>
          </w:tcPr>
          <w:p>
            <w:pPr>
              <w:spacing w:before="0" w:after="40" w:line="250" w:lineRule="auto"/>
            </w:pPr>
            <w:r>
              <w:rPr>
                <w:sz w:val="20"/>
              </w:rPr>
            </w:r>
            <w:r>
              <w:rPr>
                <w:sz w:val="20"/>
              </w:rPr>
              <w:t>Verify current facts and profile content before proposing changes (HP2-F12).</w:t>
            </w:r>
          </w:p>
        </w:tc>
      </w:tr>
    </w:tbl>
    <w:p>
      <w:pPr>
        <w:spacing w:after="40"/>
      </w:pPr>
      <w:r/>
    </w:p>
    <w:p>
      <w:pPr>
        <w:keepLines/>
      </w:pPr>
      <w:r>
        <w:t>The Architecture workbook, Authority reports, Evidence and Trust Matrix and Search inputs explain where the requirements came from. Public-facing proof must support the particular claim and have permission for publication. Access to a private policy or customer record does not grant that permission.</w:t>
      </w:r>
    </w:p>
    <w:p>
      <w:pPr>
        <w:pStyle w:val="Heading2"/>
        <w:keepNext/>
        <w:keepLines/>
      </w:pPr>
      <w:r>
        <w:rPr>
          <w:color w:val="000000"/>
        </w:rPr>
        <w:t>2.6 Validation outcome</w:t>
      </w:r>
    </w:p>
    <w:p>
      <w:pPr>
        <w:keepLines/>
      </w:pPr>
      <w:r>
        <w:t>Requirements, draft content and finding IDs are reconciled. Acknowledgement wording is improved, but HP2-F04 remains open. Arnav can develop the local structure, conditional questions and reserved sections. Factual claims, data collection and website functions await the evidence and tests in Section 2.3. Draft access partly addresses earlier finding F14; source approvals and final-page review remain outstanding.</w:t>
      </w:r>
    </w:p>
    <w:p>
      <w:pPr>
        <w:pStyle w:val="Heading1"/>
        <w:keepNext/>
        <w:keepLines/>
        <w:pageBreakBefore w:val="0"/>
      </w:pPr>
      <w:r>
        <w:rPr>
          <w:color w:val="000000"/>
        </w:rPr>
        <w:t>3 Refined HP-003 Authority Requirements</w:t>
      </w:r>
    </w:p>
    <w:p>
      <w:pPr>
        <w:pStyle w:val="Heading2"/>
        <w:keepNext/>
        <w:keepLines/>
      </w:pPr>
      <w:r>
        <w:rPr>
          <w:color w:val="000000"/>
        </w:rPr>
        <w:t>3.1 Existing work and refinement approach</w:t>
      </w:r>
    </w:p>
    <w:p>
      <w:pPr>
        <w:keepLines/>
      </w:pPr>
      <w:r>
        <w:t>The existing HP-003 report and Evidence and Trust Matrix remain the basis of this assessment. The Content Package v1.0-draft adds eight comparison criteria, balanced coverage of DIY games, food-led activities, music, mystery, gaming and hosted VR, and a blank run sheet without timings. HP-001 and HP-002 lessons require traceable claims and clear evidence limits. Service facts must be checked for HP-003.</w:t>
      </w:r>
    </w:p>
    <w:p>
      <w:pPr>
        <w:keepLines/>
      </w:pPr>
      <w:r>
        <w:t xml:space="preserve">HP-003’s existing </w:t>
      </w:r>
      <w:r>
        <w:rPr>
          <w:b/>
        </w:rPr>
        <w:t>F01–F15</w:t>
      </w:r>
      <w:r>
        <w:t xml:space="preserve"> identify findings, </w:t>
      </w:r>
      <w:r>
        <w:rPr>
          <w:b/>
        </w:rPr>
        <w:t>C01–C14</w:t>
      </w:r>
      <w:r>
        <w:t xml:space="preserve"> identify claim guidance and </w:t>
      </w:r>
      <w:r>
        <w:rPr>
          <w:b/>
        </w:rPr>
        <w:t>I01–I14</w:t>
      </w:r>
      <w:r>
        <w:t xml:space="preserve"> identify handoffs. These records are retained and refined below. Section 7.2 shows how the claim guidance and handoffs relate to the findings.</w:t>
      </w:r>
    </w:p>
    <w:p>
      <w:pPr>
        <w:pStyle w:val="Heading2"/>
        <w:keepNext/>
        <w:keepLines/>
      </w:pPr>
      <w:r>
        <w:rPr>
          <w:color w:val="000000"/>
        </w:rPr>
        <w:t>3.2 Claims that need revision or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960"/>
        <w:gridCol w:w="4666"/>
      </w:tblGrid>
      <w:tr>
        <w:trPr>
          <w:tblHeader/>
        </w:trPr>
        <w:tc>
          <w:tcPr>
            <w:tcW w:type="dxa" w:w="1656"/>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Existing references</w:t>
            </w:r>
          </w:p>
        </w:tc>
        <w:tc>
          <w:tcPr>
            <w:tcW w:type="dxa" w:w="3960"/>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Exact draft wording</w:t>
            </w:r>
          </w:p>
        </w:tc>
        <w:tc>
          <w:tcPr>
            <w:tcW w:type="dxa" w:w="4666"/>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Risk and required treatment</w:t>
            </w:r>
          </w:p>
        </w:tc>
      </w:tr>
      <w:tr>
        <w:trPr>
          <w:cantSplit/>
        </w:trPr>
        <w:tc>
          <w:tcPr>
            <w:tcW w:type="dxa" w:w="1656"/>
            <w:vAlign w:val="center"/>
            <w:tcMar>
              <w:top w:w="75" w:type="dxa"/>
              <w:bottom w:w="75" w:type="dxa"/>
              <w:left w:w="90" w:type="dxa"/>
              <w:right w:w="90" w:type="dxa"/>
            </w:tcMar>
          </w:tcPr>
          <w:p>
            <w:pPr>
              <w:keepNext/>
              <w:spacing w:before="0" w:after="40" w:line="250" w:lineRule="auto"/>
            </w:pPr>
            <w:r>
              <w:rPr>
                <w:rFonts w:ascii="Calibri" w:hAnsi="Calibri"/>
                <w:sz w:val="20"/>
              </w:rPr>
              <w:t>F06 / C05 / I05</w:t>
            </w:r>
          </w:p>
        </w:tc>
        <w:tc>
          <w:tcPr>
            <w:tcW w:type="dxa" w:w="3960"/>
            <w:vAlign w:val="center"/>
            <w:tcMar>
              <w:top w:w="75" w:type="dxa"/>
              <w:bottom w:w="75" w:type="dxa"/>
              <w:left w:w="90" w:type="dxa"/>
              <w:right w:w="90" w:type="dxa"/>
            </w:tcMar>
          </w:tcPr>
          <w:p>
            <w:pPr>
              <w:keepNext/>
              <w:spacing w:before="0" w:after="40" w:line="250" w:lineRule="auto"/>
            </w:pPr>
            <w:r>
              <w:rPr>
                <w:rFonts w:ascii="Calibri" w:hAnsi="Calibri"/>
                <w:sz w:val="20"/>
              </w:rPr>
              <w:t>DIY games: existing materials "can keep the activity budget low".</w:t>
            </w:r>
          </w:p>
        </w:tc>
        <w:tc>
          <w:tcPr>
            <w:tcW w:type="dxa" w:w="4666"/>
            <w:vAlign w:val="center"/>
            <w:tcMar>
              <w:top w:w="75" w:type="dxa"/>
              <w:bottom w:w="75" w:type="dxa"/>
              <w:left w:w="90" w:type="dxa"/>
              <w:right w:w="90" w:type="dxa"/>
            </w:tcMar>
          </w:tcPr>
          <w:p>
            <w:pPr>
              <w:keepNext/>
              <w:spacing w:before="0" w:after="40" w:line="250" w:lineRule="auto"/>
            </w:pPr>
            <w:r>
              <w:rPr>
                <w:sz w:val="20"/>
              </w:rPr>
            </w:r>
            <w:r>
              <w:rPr>
                <w:sz w:val="20"/>
              </w:rPr>
              <w:t>Even without a price, this suggests a cost benefit. Provide evidence for the circumstances described, or turn it into a question about materials and budget.</w:t>
            </w:r>
          </w:p>
        </w:tc>
      </w:tr>
      <w:tr>
        <w:trPr>
          <w:cantSplit/>
        </w:trPr>
        <w:tc>
          <w:tcPr>
            <w:tcW w:type="dxa" w:w="1656"/>
            <w:shd w:fill="F2F5F8"/>
            <w:vAlign w:val="center"/>
            <w:tcMar>
              <w:top w:w="75" w:type="dxa"/>
              <w:bottom w:w="75" w:type="dxa"/>
              <w:left w:w="90" w:type="dxa"/>
              <w:right w:w="90" w:type="dxa"/>
            </w:tcMar>
          </w:tcPr>
          <w:p>
            <w:pPr>
              <w:keepNext/>
              <w:spacing w:before="0" w:after="40" w:line="250" w:lineRule="auto"/>
            </w:pPr>
            <w:r>
              <w:rPr>
                <w:rFonts w:ascii="Calibri" w:hAnsi="Calibri"/>
                <w:sz w:val="20"/>
              </w:rPr>
              <w:t>F08 / C08 / I06</w:t>
            </w:r>
          </w:p>
        </w:tc>
        <w:tc>
          <w:tcPr>
            <w:tcW w:type="dxa" w:w="3960"/>
            <w:shd w:fill="F2F5F8"/>
            <w:vAlign w:val="center"/>
            <w:tcMar>
              <w:top w:w="75" w:type="dxa"/>
              <w:bottom w:w="75" w:type="dxa"/>
              <w:left w:w="90" w:type="dxa"/>
              <w:right w:w="90" w:type="dxa"/>
            </w:tcMar>
          </w:tcPr>
          <w:p>
            <w:pPr>
              <w:keepNext/>
              <w:spacing w:before="0" w:after="40" w:line="250" w:lineRule="auto"/>
            </w:pPr>
            <w:r>
              <w:rPr>
                <w:rFonts w:ascii="Calibri" w:hAnsi="Calibri"/>
                <w:sz w:val="20"/>
              </w:rPr>
              <w:t>Mystery: the activity "can lose momentum" when guests arrive late or miss information.</w:t>
            </w:r>
          </w:p>
        </w:tc>
        <w:tc>
          <w:tcPr>
            <w:tcW w:type="dxa" w:w="4666"/>
            <w:shd w:fill="F2F5F8"/>
            <w:vAlign w:val="center"/>
            <w:tcMar>
              <w:top w:w="75" w:type="dxa"/>
              <w:bottom w:w="75" w:type="dxa"/>
              <w:left w:w="90" w:type="dxa"/>
              <w:right w:w="90" w:type="dxa"/>
            </w:tcMar>
          </w:tcPr>
          <w:p>
            <w:pPr>
              <w:keepNext/>
              <w:spacing w:before="0" w:after="40" w:line="250" w:lineRule="auto"/>
            </w:pPr>
            <w:r>
              <w:rPr>
                <w:sz w:val="20"/>
              </w:rPr>
            </w:r>
            <w:r>
              <w:rPr>
                <w:sz w:val="20"/>
              </w:rPr>
              <w:t>The cited provider guidance describes how the activity works. It does not establish this outcome across mystery activities. Support the stated effect or revise it.</w:t>
            </w:r>
          </w:p>
        </w:tc>
      </w:tr>
      <w:tr>
        <w:trPr>
          <w:cantSplit/>
        </w:trPr>
        <w:tc>
          <w:tcPr>
            <w:tcW w:type="dxa" w:w="1656"/>
            <w:vAlign w:val="center"/>
            <w:tcMar>
              <w:top w:w="75" w:type="dxa"/>
              <w:bottom w:w="75" w:type="dxa"/>
              <w:left w:w="90" w:type="dxa"/>
              <w:right w:w="90" w:type="dxa"/>
            </w:tcMar>
          </w:tcPr>
          <w:p>
            <w:pPr>
              <w:spacing w:before="0" w:after="40" w:line="250" w:lineRule="auto"/>
            </w:pPr>
            <w:r>
              <w:rPr>
                <w:rFonts w:ascii="Calibri" w:hAnsi="Calibri"/>
                <w:sz w:val="20"/>
              </w:rPr>
              <w:t>F07 / C06 / I06</w:t>
            </w:r>
          </w:p>
        </w:tc>
        <w:tc>
          <w:tcPr>
            <w:tcW w:type="dxa" w:w="3960"/>
            <w:vAlign w:val="center"/>
            <w:tcMar>
              <w:top w:w="75" w:type="dxa"/>
              <w:bottom w:w="75" w:type="dxa"/>
              <w:left w:w="90" w:type="dxa"/>
              <w:right w:w="90" w:type="dxa"/>
            </w:tcMar>
          </w:tcPr>
          <w:p>
            <w:pPr>
              <w:spacing w:before="0" w:after="40" w:line="250" w:lineRule="auto"/>
            </w:pPr>
            <w:r>
              <w:rPr>
                <w:rFonts w:ascii="Calibri" w:hAnsi="Calibri"/>
                <w:sz w:val="20"/>
              </w:rPr>
              <w:t>Participation answer: a format is "easier to organise" when roles are clear.</w:t>
            </w:r>
          </w:p>
        </w:tc>
        <w:tc>
          <w:tcPr>
            <w:tcW w:type="dxa" w:w="4666"/>
            <w:vAlign w:val="center"/>
            <w:tcMar>
              <w:top w:w="75" w:type="dxa"/>
              <w:bottom w:w="75" w:type="dxa"/>
              <w:left w:w="90" w:type="dxa"/>
              <w:right w:w="90" w:type="dxa"/>
            </w:tcMar>
          </w:tcPr>
          <w:p>
            <w:pPr>
              <w:spacing w:before="0" w:after="40" w:line="250" w:lineRule="auto"/>
            </w:pPr>
            <w:r>
              <w:rPr>
                <w:sz w:val="20"/>
              </w:rPr>
            </w:r>
            <w:r>
              <w:rPr>
                <w:sz w:val="20"/>
              </w:rPr>
              <w:t>This claims an organising benefit. Provide relevant planner reasoning or clearly present it as planning advice.</w:t>
            </w:r>
          </w:p>
        </w:tc>
      </w:tr>
    </w:tbl>
    <w:p>
      <w:pPr>
        <w:spacing w:after="40"/>
      </w:pPr>
      <w:r/>
    </w:p>
    <w:p>
      <w:pPr>
        <w:keepLines/>
      </w:pPr>
      <w:r>
        <w:t>The draft avoids scores, numerical limits, prices, timings and promises about Viri VR packages. Its practical-check note does not substantiate statements elsewhere. Claims about age, supervision, safety, accessibility, participation and hosted VR still need evidence for their specific wording and circumstances.</w:t>
      </w:r>
    </w:p>
    <w:p>
      <w:pPr>
        <w:pStyle w:val="Heading2"/>
        <w:keepNext/>
        <w:keepLines/>
      </w:pPr>
      <w:r>
        <w:rPr>
          <w:color w:val="000000"/>
        </w:rPr>
        <w:t>3.3 Evidence requirements</w:t>
      </w:r>
    </w:p>
    <w:p>
      <w:pPr>
        <w:keepLines/>
      </w:pPr>
      <w:r>
        <w:t>The existing evidence requirements still apply whenever the related claim is used. Questions for readers and a blank worksheet do not prove suitability or event outcomes. Section 3.6 records the refinements, available support, missing evidence, owners and continuing holds.</w:t>
      </w:r>
    </w:p>
    <w:p>
      <w:pPr>
        <w:keepLines/>
      </w:pPr>
      <w:r>
        <w:t>Retain the draft comparison method without scores. Its eight criteria are guest age, group size, space, budget, host effort, weather, noise and participation. “Fits my plan”, “Needs more planning” and “I do not know yet” are reader responses, not ratings. Strategy and a planner still need to review the method. The workbook does not require weights, rankings or an independent-review rule.</w:t>
      </w:r>
    </w:p>
    <w:p>
      <w:pPr>
        <w:keepLines/>
      </w:pPr>
      <w:r>
        <w:t>For each material claim, record its existing finding and claim-guidance IDs, exact wording and content location. Link it to a source passage, URL or document version, date, limitations, proposed use and owner. Recheck information that can change or conflicts with another source. The current references do not establish tested conclusions across all six formats.</w:t>
      </w:r>
    </w:p>
    <w:p>
      <w:pPr>
        <w:pStyle w:val="Heading2"/>
        <w:keepNext/>
        <w:keepLines/>
      </w:pPr>
      <w:r>
        <w:rPr>
          <w:color w:val="000000"/>
        </w:rPr>
        <w:t>3.4 Trust signals</w:t>
      </w:r>
    </w:p>
    <w:p>
      <w:pPr>
        <w:keepLines/>
      </w:pPr>
      <w:r>
        <w:t>Original proof remains ON HOLD under F10/I08 until the event context, rights and publication permission are documented. A photo or event example supports only the setting it depicts. Venue evidence cannot imply home delivery. Current business evidence is required before adding specific Viri VR service details (F11/I09).</w:t>
      </w:r>
    </w:p>
    <w:p>
      <w:pPr>
        <w:keepLines/>
      </w:pPr>
      <w:r>
        <w:t>The HP-003 Content Package correctly leaves the public reviewer unnamed. The client must authorise the reviewer’s identity and its public use, with evidence for any credentials. Arnav’s responsibility for content does not establish expert review. “Last updated 21 October 2026” records a draft revision. No approved reviewer credentials or customer assets were supplied.</w:t>
      </w:r>
    </w:p>
    <w:p>
      <w:pPr>
        <w:keepLines/>
      </w:pPr>
      <w:r>
        <w:t>Visible criteria, balanced treatment and an option to record uncertainty help readers understand the draft. They do not verify its comparisons. The limits of the available citations are set out below.</w:t>
      </w:r>
    </w:p>
    <w:p>
      <w:pPr>
        <w:pStyle w:val="Heading2"/>
        <w:keepNext/>
        <w:keepLines/>
      </w:pPr>
      <w:r>
        <w:rPr>
          <w:color w:val="000000"/>
        </w:rPr>
        <w:t>3.5 Citations and opportunities for original proof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3773"/>
        <w:gridCol w:w="4464"/>
      </w:tblGrid>
      <w:tr>
        <w:trPr>
          <w:tblHeader/>
        </w:trPr>
        <w:tc>
          <w:tcPr>
            <w:tcW w:type="dxa" w:w="2045"/>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Source or proof</w:t>
            </w:r>
          </w:p>
        </w:tc>
        <w:tc>
          <w:tcPr>
            <w:tcW w:type="dxa" w:w="3773"/>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Suitable use</w:t>
            </w:r>
          </w:p>
        </w:tc>
        <w:tc>
          <w:tcPr>
            <w:tcW w:type="dxa" w:w="4464"/>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Limitation and next action</w:t>
            </w:r>
          </w:p>
        </w:tc>
      </w:tr>
      <w:tr>
        <w:trPr>
          <w:cantSplit/>
        </w:trPr>
        <w:tc>
          <w:tcPr>
            <w:tcW w:type="dxa" w:w="2045"/>
            <w:vAlign w:val="center"/>
            <w:tcMar>
              <w:top w:w="75" w:type="dxa"/>
              <w:bottom w:w="75" w:type="dxa"/>
              <w:left w:w="90" w:type="dxa"/>
              <w:right w:w="90" w:type="dxa"/>
            </w:tcMar>
          </w:tcPr>
          <w:p>
            <w:pPr>
              <w:keepNext/>
              <w:spacing w:before="0" w:after="40" w:line="250" w:lineRule="auto"/>
            </w:pPr>
            <w:r>
              <w:rPr>
                <w:sz w:val="20"/>
              </w:rPr>
            </w:r>
            <w:r>
              <w:rPr>
                <w:sz w:val="20"/>
              </w:rPr>
              <w:t>Coles party-planning checklist</w:t>
            </w:r>
          </w:p>
        </w:tc>
        <w:tc>
          <w:tcPr>
            <w:tcW w:type="dxa" w:w="3773"/>
            <w:vAlign w:val="center"/>
            <w:tcMar>
              <w:top w:w="75" w:type="dxa"/>
              <w:bottom w:w="75" w:type="dxa"/>
              <w:left w:w="90" w:type="dxa"/>
              <w:right w:w="90" w:type="dxa"/>
            </w:tcMar>
          </w:tcPr>
          <w:p>
            <w:pPr>
              <w:keepNext/>
              <w:spacing w:before="0" w:after="40" w:line="250" w:lineRule="auto"/>
            </w:pPr>
            <w:r>
              <w:rPr>
                <w:sz w:val="20"/>
              </w:rPr>
            </w:r>
            <w:r>
              <w:rPr>
                <w:sz w:val="20"/>
              </w:rPr>
              <w:t>General budget, menu, utensil and clean-up considerations.</w:t>
            </w:r>
          </w:p>
        </w:tc>
        <w:tc>
          <w:tcPr>
            <w:tcW w:type="dxa" w:w="4464"/>
            <w:vAlign w:val="center"/>
            <w:tcMar>
              <w:top w:w="75" w:type="dxa"/>
              <w:bottom w:w="75" w:type="dxa"/>
              <w:left w:w="90" w:type="dxa"/>
              <w:right w:w="90" w:type="dxa"/>
            </w:tcMar>
          </w:tcPr>
          <w:p>
            <w:pPr>
              <w:keepNext/>
              <w:spacing w:before="0" w:after="40" w:line="250" w:lineRule="auto"/>
            </w:pPr>
            <w:r>
              <w:rPr>
                <w:sz w:val="20"/>
              </w:rPr>
            </w:r>
            <w:r>
              <w:rPr>
                <w:sz w:val="20"/>
              </w:rPr>
              <w:t>Planning advice, not a comparison of costs or effort across six formats. Link the relevant food or preparation statement to the exact passage.</w:t>
            </w:r>
          </w:p>
        </w:tc>
      </w:tr>
      <w:tr>
        <w:trPr>
          <w:cantSplit/>
        </w:trPr>
        <w:tc>
          <w:tcPr>
            <w:tcW w:type="dxa" w:w="2045"/>
            <w:shd w:fill="F2F5F8"/>
            <w:vAlign w:val="center"/>
            <w:tcMar>
              <w:top w:w="75" w:type="dxa"/>
              <w:bottom w:w="75" w:type="dxa"/>
              <w:left w:w="90" w:type="dxa"/>
              <w:right w:w="90" w:type="dxa"/>
            </w:tcMar>
          </w:tcPr>
          <w:p>
            <w:pPr>
              <w:keepNext/>
              <w:spacing w:before="0" w:after="40" w:line="250" w:lineRule="auto"/>
            </w:pPr>
            <w:r>
              <w:rPr>
                <w:sz w:val="20"/>
              </w:rPr>
            </w:r>
            <w:r>
              <w:rPr>
                <w:sz w:val="20"/>
              </w:rPr>
              <w:t>EPA Victoria noise guidance</w:t>
            </w:r>
          </w:p>
        </w:tc>
        <w:tc>
          <w:tcPr>
            <w:tcW w:type="dxa" w:w="3773"/>
            <w:shd w:fill="F2F5F8"/>
            <w:vAlign w:val="center"/>
            <w:tcMar>
              <w:top w:w="75" w:type="dxa"/>
              <w:bottom w:w="75" w:type="dxa"/>
              <w:left w:w="90" w:type="dxa"/>
              <w:right w:w="90" w:type="dxa"/>
            </w:tcMar>
          </w:tcPr>
          <w:p>
            <w:pPr>
              <w:keepNext/>
              <w:spacing w:before="0" w:after="40" w:line="250" w:lineRule="auto"/>
            </w:pPr>
            <w:r>
              <w:rPr>
                <w:sz w:val="20"/>
              </w:rPr>
            </w:r>
            <w:r>
              <w:rPr>
                <w:sz w:val="20"/>
              </w:rPr>
              <w:t>Residential music, noise and neighbour considerations.</w:t>
            </w:r>
          </w:p>
        </w:tc>
        <w:tc>
          <w:tcPr>
            <w:tcW w:type="dxa" w:w="4464"/>
            <w:shd w:fill="F2F5F8"/>
            <w:vAlign w:val="center"/>
            <w:tcMar>
              <w:top w:w="75" w:type="dxa"/>
              <w:bottom w:w="75" w:type="dxa"/>
              <w:left w:w="90" w:type="dxa"/>
              <w:right w:w="90" w:type="dxa"/>
            </w:tcMar>
          </w:tcPr>
          <w:p>
            <w:pPr>
              <w:keepNext/>
              <w:spacing w:before="0" w:after="40" w:line="250" w:lineRule="auto"/>
            </w:pPr>
            <w:r>
              <w:rPr>
                <w:sz w:val="20"/>
              </w:rPr>
            </w:r>
            <w:r>
              <w:rPr>
                <w:sz w:val="20"/>
              </w:rPr>
              <w:t>Applies in Victoria. It does not establish national curfews, safety approval or that another format is quiet. State its limits.</w:t>
            </w:r>
          </w:p>
        </w:tc>
      </w:tr>
      <w:tr>
        <w:trPr>
          <w:cantSplit/>
        </w:trPr>
        <w:tc>
          <w:tcPr>
            <w:tcW w:type="dxa" w:w="2045"/>
            <w:vAlign w:val="center"/>
            <w:tcMar>
              <w:top w:w="75" w:type="dxa"/>
              <w:bottom w:w="75" w:type="dxa"/>
              <w:left w:w="90" w:type="dxa"/>
              <w:right w:w="90" w:type="dxa"/>
            </w:tcMar>
          </w:tcPr>
          <w:p>
            <w:pPr>
              <w:spacing w:before="0" w:after="40" w:line="250" w:lineRule="auto"/>
            </w:pPr>
            <w:r>
              <w:rPr>
                <w:sz w:val="20"/>
              </w:rPr>
            </w:r>
            <w:r>
              <w:rPr>
                <w:sz w:val="20"/>
              </w:rPr>
              <w:t>Night of Mystery guidance</w:t>
            </w:r>
          </w:p>
        </w:tc>
        <w:tc>
          <w:tcPr>
            <w:tcW w:type="dxa" w:w="3773"/>
            <w:vAlign w:val="center"/>
            <w:tcMar>
              <w:top w:w="75" w:type="dxa"/>
              <w:bottom w:w="75" w:type="dxa"/>
              <w:left w:w="90" w:type="dxa"/>
              <w:right w:w="90" w:type="dxa"/>
            </w:tcMar>
          </w:tcPr>
          <w:p>
            <w:pPr>
              <w:spacing w:before="0" w:after="40" w:line="250" w:lineRule="auto"/>
            </w:pPr>
            <w:r>
              <w:rPr>
                <w:sz w:val="20"/>
              </w:rPr>
            </w:r>
            <w:r>
              <w:rPr>
                <w:sz w:val="20"/>
              </w:rPr>
              <w:t>That provider’s roles, materials, host tasks and activity sequence.</w:t>
            </w:r>
          </w:p>
        </w:tc>
        <w:tc>
          <w:tcPr>
            <w:tcW w:type="dxa" w:w="4464"/>
            <w:vAlign w:val="center"/>
            <w:tcMar>
              <w:top w:w="75" w:type="dxa"/>
              <w:bottom w:w="75" w:type="dxa"/>
              <w:left w:w="90" w:type="dxa"/>
              <w:right w:w="90" w:type="dxa"/>
            </w:tcMar>
          </w:tcPr>
          <w:p>
            <w:pPr>
              <w:spacing w:before="0" w:after="40" w:line="250" w:lineRule="auto"/>
            </w:pPr>
            <w:r>
              <w:rPr>
                <w:sz w:val="20"/>
              </w:rPr>
            </w:r>
            <w:r>
              <w:rPr>
                <w:sz w:val="20"/>
              </w:rPr>
              <w:t>Provider-specific instructions do not support the late-arrival or momentum claim, or conclusions about all mystery formats.</w:t>
            </w:r>
          </w:p>
        </w:tc>
      </w:tr>
      <w:tr>
        <w:trPr>
          <w:cantSplit/>
        </w:trPr>
        <w:tc>
          <w:tcPr>
            <w:tcW w:type="dxa" w:w="2045"/>
            <w:shd w:fill="F2F5F8"/>
            <w:vAlign w:val="center"/>
            <w:tcMar>
              <w:top w:w="75" w:type="dxa"/>
              <w:bottom w:w="75" w:type="dxa"/>
              <w:left w:w="90" w:type="dxa"/>
              <w:right w:w="90" w:type="dxa"/>
            </w:tcMar>
          </w:tcPr>
          <w:p>
            <w:pPr>
              <w:keepNext/>
              <w:spacing w:before="0" w:after="40" w:line="250" w:lineRule="auto"/>
            </w:pPr>
            <w:r>
              <w:rPr>
                <w:sz w:val="20"/>
              </w:rPr>
            </w:r>
            <w:r>
              <w:rPr>
                <w:sz w:val="20"/>
              </w:rPr>
              <w:t>PlayStation references in the HP-003 Content Package</w:t>
            </w:r>
          </w:p>
        </w:tc>
        <w:tc>
          <w:tcPr>
            <w:tcW w:type="dxa" w:w="3773"/>
            <w:shd w:fill="F2F5F8"/>
            <w:vAlign w:val="center"/>
            <w:tcMar>
              <w:top w:w="75" w:type="dxa"/>
              <w:bottom w:w="75" w:type="dxa"/>
              <w:left w:w="90" w:type="dxa"/>
              <w:right w:w="90" w:type="dxa"/>
            </w:tcMar>
          </w:tcPr>
          <w:p>
            <w:pPr>
              <w:keepNext/>
              <w:spacing w:before="0" w:after="40" w:line="250" w:lineRule="auto"/>
            </w:pPr>
            <w:r>
              <w:rPr>
                <w:sz w:val="20"/>
              </w:rPr>
            </w:r>
            <w:r>
              <w:rPr>
                <w:sz w:val="20"/>
              </w:rPr>
              <w:t>Possible support for differences in games and setup.</w:t>
            </w:r>
          </w:p>
        </w:tc>
        <w:tc>
          <w:tcPr>
            <w:tcW w:type="dxa" w:w="4464"/>
            <w:shd w:fill="F2F5F8"/>
            <w:vAlign w:val="center"/>
            <w:tcMar>
              <w:top w:w="75" w:type="dxa"/>
              <w:bottom w:w="75" w:type="dxa"/>
              <w:left w:w="90" w:type="dxa"/>
              <w:right w:w="90" w:type="dxa"/>
            </w:tcMar>
          </w:tcPr>
          <w:p>
            <w:pPr>
              <w:keepNext/>
              <w:spacing w:before="0" w:after="40" w:line="250" w:lineRule="auto"/>
            </w:pPr>
            <w:r>
              <w:rPr>
                <w:sz w:val="20"/>
              </w:rPr>
            </w:r>
            <w:r>
              <w:rPr>
                <w:sz w:val="20"/>
              </w:rPr>
              <w:t>Exact URLs and passages were not available in the extracted source list. Arnav must supply and check the official references. Do not infer player counts or suitability.</w:t>
            </w:r>
          </w:p>
        </w:tc>
      </w:tr>
      <w:tr>
        <w:trPr>
          <w:cantSplit/>
        </w:trPr>
        <w:tc>
          <w:tcPr>
            <w:tcW w:type="dxa" w:w="2045"/>
            <w:vAlign w:val="center"/>
            <w:tcMar>
              <w:top w:w="75" w:type="dxa"/>
              <w:bottom w:w="75" w:type="dxa"/>
              <w:left w:w="90" w:type="dxa"/>
              <w:right w:w="90" w:type="dxa"/>
            </w:tcMar>
          </w:tcPr>
          <w:p>
            <w:pPr>
              <w:keepNext/>
              <w:spacing w:before="0" w:after="40" w:line="250" w:lineRule="auto"/>
            </w:pPr>
            <w:r>
              <w:rPr>
                <w:sz w:val="20"/>
              </w:rPr>
            </w:r>
            <w:r>
              <w:rPr>
                <w:sz w:val="20"/>
              </w:rPr>
              <w:t>Original planner notes and event proof</w:t>
            </w:r>
          </w:p>
        </w:tc>
        <w:tc>
          <w:tcPr>
            <w:tcW w:type="dxa" w:w="3773"/>
            <w:vAlign w:val="center"/>
            <w:tcMar>
              <w:top w:w="75" w:type="dxa"/>
              <w:bottom w:w="75" w:type="dxa"/>
              <w:left w:w="90" w:type="dxa"/>
              <w:right w:w="90" w:type="dxa"/>
            </w:tcMar>
          </w:tcPr>
          <w:p>
            <w:pPr>
              <w:keepNext/>
              <w:spacing w:before="0" w:after="40" w:line="250" w:lineRule="auto"/>
            </w:pPr>
            <w:r>
              <w:rPr>
                <w:sz w:val="20"/>
              </w:rPr>
            </w:r>
            <w:r>
              <w:rPr>
                <w:sz w:val="20"/>
              </w:rPr>
              <w:t>A reviewed method, supported trade-offs and a real run sheet with publication permission could strengthen the guide.</w:t>
            </w:r>
          </w:p>
        </w:tc>
        <w:tc>
          <w:tcPr>
            <w:tcW w:type="dxa" w:w="4464"/>
            <w:vAlign w:val="center"/>
            <w:tcMar>
              <w:top w:w="75" w:type="dxa"/>
              <w:bottom w:w="75" w:type="dxa"/>
              <w:left w:w="90" w:type="dxa"/>
              <w:right w:w="90" w:type="dxa"/>
            </w:tcMar>
          </w:tcPr>
          <w:p>
            <w:pPr>
              <w:keepNext/>
              <w:spacing w:before="0" w:after="40" w:line="250" w:lineRule="auto"/>
            </w:pPr>
            <w:r>
              <w:rPr>
                <w:sz w:val="20"/>
              </w:rPr>
            </w:r>
            <w:r>
              <w:rPr>
                <w:sz w:val="20"/>
              </w:rPr>
              <w:t>Record context, limits, review and rights (F02/F03/F07/F10). Retain the blank template and existing holds until then.</w:t>
            </w:r>
          </w:p>
        </w:tc>
      </w:tr>
      <w:tr>
        <w:trPr>
          <w:cantSplit/>
        </w:trPr>
        <w:tc>
          <w:tcPr>
            <w:tcW w:type="dxa" w:w="2045"/>
            <w:shd w:fill="F2F5F8"/>
            <w:vAlign w:val="center"/>
            <w:tcMar>
              <w:top w:w="75" w:type="dxa"/>
              <w:bottom w:w="75" w:type="dxa"/>
              <w:left w:w="90" w:type="dxa"/>
              <w:right w:w="90" w:type="dxa"/>
            </w:tcMar>
          </w:tcPr>
          <w:p>
            <w:pPr>
              <w:spacing w:before="0" w:after="40" w:line="250" w:lineRule="auto"/>
            </w:pPr>
            <w:r>
              <w:rPr>
                <w:sz w:val="20"/>
              </w:rPr>
            </w:r>
            <w:r>
              <w:rPr>
                <w:sz w:val="20"/>
              </w:rPr>
              <w:t>External authority and visibility</w:t>
            </w:r>
          </w:p>
        </w:tc>
        <w:tc>
          <w:tcPr>
            <w:tcW w:type="dxa" w:w="3773"/>
            <w:shd w:fill="F2F5F8"/>
            <w:vAlign w:val="center"/>
            <w:tcMar>
              <w:top w:w="75" w:type="dxa"/>
              <w:bottom w:w="75" w:type="dxa"/>
              <w:left w:w="90" w:type="dxa"/>
              <w:right w:w="90" w:type="dxa"/>
            </w:tcMar>
          </w:tcPr>
          <w:p>
            <w:pPr>
              <w:spacing w:before="0" w:after="40" w:line="250" w:lineRule="auto"/>
            </w:pPr>
            <w:r>
              <w:rPr>
                <w:sz w:val="20"/>
              </w:rPr>
            </w:r>
            <w:r>
              <w:rPr>
                <w:sz w:val="20"/>
              </w:rPr>
              <w:t>A well-supported guide may be suitable for citations, links or media coverage.</w:t>
            </w:r>
          </w:p>
        </w:tc>
        <w:tc>
          <w:tcPr>
            <w:tcW w:type="dxa" w:w="4464"/>
            <w:shd w:fill="F2F5F8"/>
            <w:vAlign w:val="center"/>
            <w:tcMar>
              <w:top w:w="75" w:type="dxa"/>
              <w:bottom w:w="75" w:type="dxa"/>
              <w:left w:w="90" w:type="dxa"/>
              <w:right w:w="90" w:type="dxa"/>
            </w:tcMar>
          </w:tcPr>
          <w:p>
            <w:pPr>
              <w:spacing w:before="0" w:after="40" w:line="250" w:lineRule="auto"/>
            </w:pPr>
            <w:r>
              <w:rPr>
                <w:sz w:val="20"/>
              </w:rPr>
            </w:r>
            <w:r>
              <w:rPr>
                <w:sz w:val="20"/>
              </w:rPr>
              <w:t>These are opportunities, not results (F12/F14). Specialist review and actual observations are required before outcome claims.</w:t>
            </w:r>
          </w:p>
        </w:tc>
      </w:tr>
    </w:tbl>
    <w:p>
      <w:pPr>
        <w:spacing w:after="40"/>
      </w:pPr>
      <w:r/>
    </w:p>
    <w:p>
      <w:pPr>
        <w:pStyle w:val="Heading2"/>
        <w:keepNext/>
        <w:keepLines/>
      </w:pPr>
      <w:r>
        <w:rPr>
          <w:color w:val="000000"/>
        </w:rPr>
        <w:t>3.6 Refinements to existing findings</w:t>
      </w:r>
    </w:p>
    <w:p>
      <w:pPr>
        <w:keepLines/>
      </w:pPr>
      <w:r>
        <w:t>“Retained” and “Refined” describe changes to the existing record, not factual clearance. Evidence holds remain in force. No complete finding has been resolved with evidence. Section 3.2 contains the detailed analysis of the three wording issues.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
        <w:gridCol w:w="1584"/>
        <w:gridCol w:w="3312"/>
        <w:gridCol w:w="3528"/>
        <w:gridCol w:w="1238"/>
      </w:tblGrid>
      <w:tr>
        <w:trPr>
          <w:tblHeader/>
        </w:trPr>
        <w:tc>
          <w:tcPr>
            <w:tcW w:type="dxa" w:w="619"/>
            <w:shd w:fill="243B53"/>
            <w:vAlign w:val="center"/>
            <w:tcMar>
              <w:top w:w="75" w:type="dxa"/>
              <w:bottom w:w="75" w:type="dxa"/>
              <w:left w:w="90" w:type="dxa"/>
              <w:right w:w="90" w:type="dxa"/>
            </w:tcMar>
          </w:tcPr>
          <w:p>
            <w:pPr>
              <w:keepNext/>
              <w:spacing w:before="0" w:after="40" w:line="250" w:lineRule="auto"/>
            </w:pPr>
            <w:r>
              <w:rPr>
                <w:b/>
                <w:color w:val="FFFFFF"/>
                <w:sz w:val="20"/>
              </w:rPr>
            </w:r>
            <w:r>
              <w:rPr>
                <w:b/>
                <w:color w:val="FFFFFF"/>
                <w:sz w:val="20"/>
              </w:rPr>
              <w:t>ID</w:t>
            </w:r>
          </w:p>
        </w:tc>
        <w:tc>
          <w:tcPr>
            <w:tcW w:type="dxa" w:w="1584"/>
            <w:shd w:fill="243B53"/>
            <w:vAlign w:val="center"/>
            <w:tcMar>
              <w:top w:w="75" w:type="dxa"/>
              <w:bottom w:w="75" w:type="dxa"/>
              <w:left w:w="90" w:type="dxa"/>
              <w:right w:w="90" w:type="dxa"/>
            </w:tcMar>
          </w:tcPr>
          <w:p>
            <w:pPr>
              <w:keepNext/>
              <w:spacing w:before="0" w:after="40" w:line="250" w:lineRule="auto"/>
            </w:pPr>
            <w:r>
              <w:rPr>
                <w:b/>
                <w:color w:val="FFFFFF"/>
                <w:sz w:val="20"/>
              </w:rPr>
            </w:r>
            <w:r>
              <w:rPr>
                <w:b/>
                <w:color w:val="FFFFFF"/>
                <w:sz w:val="20"/>
              </w:rPr>
              <w:t>Previous requirement</w:t>
            </w:r>
          </w:p>
        </w:tc>
        <w:tc>
          <w:tcPr>
            <w:tcW w:type="dxa" w:w="3312"/>
            <w:shd w:fill="243B53"/>
            <w:vAlign w:val="center"/>
            <w:tcMar>
              <w:top w:w="75" w:type="dxa"/>
              <w:bottom w:w="75" w:type="dxa"/>
              <w:left w:w="90" w:type="dxa"/>
              <w:right w:w="90" w:type="dxa"/>
            </w:tcMar>
          </w:tcPr>
          <w:p>
            <w:pPr>
              <w:keepNext/>
              <w:spacing w:before="0" w:after="40" w:line="250" w:lineRule="auto"/>
            </w:pPr>
            <w:r>
              <w:rPr>
                <w:b/>
                <w:color w:val="FFFFFF"/>
                <w:sz w:val="20"/>
              </w:rPr>
            </w:r>
            <w:r>
              <w:rPr>
                <w:b/>
                <w:color w:val="FFFFFF"/>
                <w:sz w:val="20"/>
              </w:rPr>
              <w:t>What changed and why</w:t>
            </w:r>
          </w:p>
        </w:tc>
        <w:tc>
          <w:tcPr>
            <w:tcW w:type="dxa" w:w="3528"/>
            <w:shd w:fill="243B53"/>
            <w:vAlign w:val="center"/>
            <w:tcMar>
              <w:top w:w="75" w:type="dxa"/>
              <w:bottom w:w="75" w:type="dxa"/>
              <w:left w:w="90" w:type="dxa"/>
              <w:right w:w="90" w:type="dxa"/>
            </w:tcMar>
          </w:tcPr>
          <w:p>
            <w:pPr>
              <w:keepNext/>
              <w:spacing w:before="0" w:after="40" w:line="250" w:lineRule="auto"/>
            </w:pPr>
            <w:r>
              <w:rPr>
                <w:b/>
                <w:color w:val="FFFFFF"/>
                <w:sz w:val="20"/>
              </w:rPr>
            </w:r>
            <w:r>
              <w:rPr>
                <w:b/>
                <w:color w:val="FFFFFF"/>
                <w:sz w:val="20"/>
              </w:rPr>
              <w:t>Outstanding action and owner</w:t>
            </w:r>
          </w:p>
        </w:tc>
        <w:tc>
          <w:tcPr>
            <w:tcW w:type="dxa" w:w="1238"/>
            <w:shd w:fill="243B53"/>
            <w:vAlign w:val="center"/>
            <w:tcMar>
              <w:top w:w="75" w:type="dxa"/>
              <w:bottom w:w="75" w:type="dxa"/>
              <w:left w:w="90" w:type="dxa"/>
              <w:right w:w="90" w:type="dxa"/>
            </w:tcMar>
          </w:tcPr>
          <w:p>
            <w:pPr>
              <w:keepNext/>
              <w:spacing w:before="0" w:after="40" w:line="250" w:lineRule="auto"/>
            </w:pPr>
            <w:r>
              <w:rPr>
                <w:b/>
                <w:color w:val="FFFFFF"/>
                <w:sz w:val="20"/>
              </w:rPr>
            </w:r>
            <w:r>
              <w:rPr>
                <w:b/>
                <w:color w:val="FFFFFF"/>
                <w:sz w:val="20"/>
              </w:rPr>
              <w:t>Status</w:t>
            </w:r>
          </w:p>
        </w:tc>
      </w:tr>
      <w:tr>
        <w:trPr>
          <w:cantSplit/>
        </w:trPr>
        <w:tc>
          <w:tcPr>
            <w:tcW w:type="dxa" w:w="619"/>
            <w:vAlign w:val="center"/>
            <w:tcMar>
              <w:top w:w="75" w:type="dxa"/>
              <w:bottom w:w="75" w:type="dxa"/>
              <w:left w:w="90" w:type="dxa"/>
              <w:right w:w="90" w:type="dxa"/>
            </w:tcMar>
          </w:tcPr>
          <w:p>
            <w:pPr>
              <w:keepNext/>
              <w:spacing w:before="0" w:after="40" w:line="250" w:lineRule="auto"/>
            </w:pPr>
            <w:r>
              <w:rPr>
                <w:sz w:val="20"/>
              </w:rPr>
            </w:r>
            <w:r>
              <w:rPr>
                <w:sz w:val="20"/>
              </w:rPr>
              <w:t>F01</w:t>
            </w:r>
          </w:p>
        </w:tc>
        <w:tc>
          <w:tcPr>
            <w:tcW w:type="dxa" w:w="1584"/>
            <w:vAlign w:val="center"/>
            <w:tcMar>
              <w:top w:w="75" w:type="dxa"/>
              <w:bottom w:w="75" w:type="dxa"/>
              <w:left w:w="90" w:type="dxa"/>
              <w:right w:w="90" w:type="dxa"/>
            </w:tcMar>
          </w:tcPr>
          <w:p>
            <w:pPr>
              <w:keepNext/>
              <w:spacing w:before="0" w:after="40" w:line="250" w:lineRule="auto"/>
            </w:pPr>
            <w:r>
              <w:rPr>
                <w:sz w:val="20"/>
              </w:rPr>
            </w:r>
            <w:r>
              <w:rPr>
                <w:sz w:val="20"/>
              </w:rPr>
              <w:t>Balanced guide and links to HP-001.</w:t>
            </w:r>
          </w:p>
        </w:tc>
        <w:tc>
          <w:tcPr>
            <w:tcW w:type="dxa" w:w="3312"/>
            <w:vAlign w:val="center"/>
            <w:tcMar>
              <w:top w:w="75" w:type="dxa"/>
              <w:bottom w:w="75" w:type="dxa"/>
              <w:left w:w="90" w:type="dxa"/>
              <w:right w:w="90" w:type="dxa"/>
            </w:tcMar>
          </w:tcPr>
          <w:p>
            <w:pPr>
              <w:keepNext/>
              <w:spacing w:before="0" w:after="40" w:line="250" w:lineRule="auto"/>
            </w:pPr>
            <w:r>
              <w:rPr>
                <w:sz w:val="20"/>
              </w:rPr>
            </w:r>
            <w:r>
              <w:rPr>
                <w:sz w:val="20"/>
              </w:rPr>
              <w:t>The HP-003 Content Package keeps the pages’ roles distinct. Retain the established HP-001 and HP-002 boundaries.</w:t>
            </w:r>
          </w:p>
        </w:tc>
        <w:tc>
          <w:tcPr>
            <w:tcW w:type="dxa" w:w="3528"/>
            <w:vAlign w:val="center"/>
            <w:tcMar>
              <w:top w:w="75" w:type="dxa"/>
              <w:bottom w:w="75" w:type="dxa"/>
              <w:left w:w="90" w:type="dxa"/>
              <w:right w:w="90" w:type="dxa"/>
            </w:tcMar>
          </w:tcPr>
          <w:p>
            <w:pPr>
              <w:keepNext/>
              <w:spacing w:before="0" w:after="40" w:line="250" w:lineRule="auto"/>
            </w:pPr>
            <w:r>
              <w:rPr>
                <w:sz w:val="20"/>
              </w:rPr>
            </w:r>
            <w:r>
              <w:rPr>
                <w:sz w:val="20"/>
              </w:rPr>
              <w:t>Arnav and Strategy check additions and links.</w:t>
            </w:r>
          </w:p>
        </w:tc>
        <w:tc>
          <w:tcPr>
            <w:tcW w:type="dxa" w:w="1238"/>
            <w:vAlign w:val="center"/>
            <w:tcMar>
              <w:top w:w="75" w:type="dxa"/>
              <w:bottom w:w="75" w:type="dxa"/>
              <w:left w:w="90" w:type="dxa"/>
              <w:right w:w="90" w:type="dxa"/>
            </w:tcMar>
          </w:tcPr>
          <w:p>
            <w:pPr>
              <w:keepNext/>
              <w:spacing w:before="0" w:after="40" w:line="250" w:lineRule="auto"/>
            </w:pPr>
            <w:r>
              <w:rPr>
                <w:sz w:val="20"/>
              </w:rPr>
            </w:r>
            <w:r>
              <w:rPr>
                <w:sz w:val="20"/>
              </w:rPr>
              <w:t>Retained</w:t>
            </w:r>
          </w:p>
        </w:tc>
      </w:tr>
      <w:tr>
        <w:trPr>
          <w:cantSplit/>
        </w:trPr>
        <w:tc>
          <w:tcPr>
            <w:tcW w:type="dxa" w:w="619"/>
            <w:shd w:fill="F2F5F8"/>
            <w:vAlign w:val="center"/>
            <w:tcMar>
              <w:top w:w="75" w:type="dxa"/>
              <w:bottom w:w="75" w:type="dxa"/>
              <w:left w:w="90" w:type="dxa"/>
              <w:right w:w="90" w:type="dxa"/>
            </w:tcMar>
          </w:tcPr>
          <w:p>
            <w:pPr>
              <w:keepNext/>
              <w:spacing w:before="0" w:after="40" w:line="250" w:lineRule="auto"/>
            </w:pPr>
            <w:r>
              <w:rPr>
                <w:sz w:val="20"/>
              </w:rPr>
            </w:r>
            <w:r>
              <w:rPr>
                <w:sz w:val="20"/>
              </w:rPr>
              <w:t>F02</w:t>
            </w:r>
          </w:p>
        </w:tc>
        <w:tc>
          <w:tcPr>
            <w:tcW w:type="dxa" w:w="1584"/>
            <w:shd w:fill="F2F5F8"/>
            <w:vAlign w:val="center"/>
            <w:tcMar>
              <w:top w:w="75" w:type="dxa"/>
              <w:bottom w:w="75" w:type="dxa"/>
              <w:left w:w="90" w:type="dxa"/>
              <w:right w:w="90" w:type="dxa"/>
            </w:tcMar>
          </w:tcPr>
          <w:p>
            <w:pPr>
              <w:keepNext/>
              <w:spacing w:before="0" w:after="40" w:line="250" w:lineRule="auto"/>
            </w:pPr>
            <w:r>
              <w:rPr>
                <w:sz w:val="20"/>
              </w:rPr>
            </w:r>
            <w:r>
              <w:rPr>
                <w:sz w:val="20"/>
              </w:rPr>
              <w:t>Original comparison method.</w:t>
            </w:r>
          </w:p>
        </w:tc>
        <w:tc>
          <w:tcPr>
            <w:tcW w:type="dxa" w:w="3312"/>
            <w:shd w:fill="F2F5F8"/>
            <w:vAlign w:val="center"/>
            <w:tcMar>
              <w:top w:w="75" w:type="dxa"/>
              <w:bottom w:w="75" w:type="dxa"/>
              <w:left w:w="90" w:type="dxa"/>
              <w:right w:w="90" w:type="dxa"/>
            </w:tcMar>
          </w:tcPr>
          <w:p>
            <w:pPr>
              <w:keepNext/>
              <w:spacing w:before="0" w:after="40" w:line="250" w:lineRule="auto"/>
            </w:pPr>
            <w:r>
              <w:rPr>
                <w:sz w:val="20"/>
              </w:rPr>
            </w:r>
            <w:r>
              <w:rPr>
                <w:sz w:val="20"/>
              </w:rPr>
              <w:t>The draft now supplies eight criteria and reader responses without scores. The method still needs review; it is not a tested conclusion.</w:t>
            </w:r>
          </w:p>
        </w:tc>
        <w:tc>
          <w:tcPr>
            <w:tcW w:type="dxa" w:w="3528"/>
            <w:shd w:fill="F2F5F8"/>
            <w:vAlign w:val="center"/>
            <w:tcMar>
              <w:top w:w="75" w:type="dxa"/>
              <w:bottom w:w="75" w:type="dxa"/>
              <w:left w:w="90" w:type="dxa"/>
              <w:right w:w="90" w:type="dxa"/>
            </w:tcMar>
          </w:tcPr>
          <w:p>
            <w:pPr>
              <w:keepNext/>
              <w:spacing w:before="0" w:after="40" w:line="250" w:lineRule="auto"/>
            </w:pPr>
            <w:r>
              <w:rPr>
                <w:sz w:val="20"/>
              </w:rPr>
            </w:r>
            <w:r>
              <w:rPr>
                <w:sz w:val="20"/>
              </w:rPr>
              <w:t>Strategy and a planner review definitions, version, limits and uncertainty (I01). Weights are not required.</w:t>
            </w:r>
          </w:p>
        </w:tc>
        <w:tc>
          <w:tcPr>
            <w:tcW w:type="dxa" w:w="1238"/>
            <w:shd w:fill="F2F5F8"/>
            <w:vAlign w:val="center"/>
            <w:tcMar>
              <w:top w:w="75" w:type="dxa"/>
              <w:bottom w:w="75" w:type="dxa"/>
              <w:left w:w="90" w:type="dxa"/>
              <w:right w:w="90" w:type="dxa"/>
            </w:tcMar>
          </w:tcPr>
          <w:p>
            <w:pPr>
              <w:keepNext/>
              <w:spacing w:before="0" w:after="40" w:line="250" w:lineRule="auto"/>
            </w:pPr>
            <w:r>
              <w:rPr>
                <w:sz w:val="20"/>
              </w:rPr>
            </w:r>
            <w:r>
              <w:rPr>
                <w:sz w:val="20"/>
              </w:rPr>
              <w:t>Refined; OPEN</w:t>
            </w:r>
          </w:p>
        </w:tc>
      </w:tr>
      <w:tr>
        <w:trPr>
          <w:cantSplit/>
        </w:trPr>
        <w:tc>
          <w:tcPr>
            <w:tcW w:type="dxa" w:w="619"/>
            <w:vAlign w:val="center"/>
            <w:tcMar>
              <w:top w:w="75" w:type="dxa"/>
              <w:bottom w:w="75" w:type="dxa"/>
              <w:left w:w="90" w:type="dxa"/>
              <w:right w:w="90" w:type="dxa"/>
            </w:tcMar>
          </w:tcPr>
          <w:p>
            <w:pPr>
              <w:spacing w:before="0" w:after="40" w:line="250" w:lineRule="auto"/>
            </w:pPr>
            <w:r>
              <w:rPr>
                <w:sz w:val="20"/>
              </w:rPr>
            </w:r>
            <w:r>
              <w:rPr>
                <w:sz w:val="20"/>
              </w:rPr>
              <w:t>F03</w:t>
            </w:r>
          </w:p>
        </w:tc>
        <w:tc>
          <w:tcPr>
            <w:tcW w:type="dxa" w:w="1584"/>
            <w:vAlign w:val="center"/>
            <w:tcMar>
              <w:top w:w="75" w:type="dxa"/>
              <w:bottom w:w="75" w:type="dxa"/>
              <w:left w:w="90" w:type="dxa"/>
              <w:right w:w="90" w:type="dxa"/>
            </w:tcMar>
          </w:tcPr>
          <w:p>
            <w:pPr>
              <w:spacing w:before="0" w:after="40" w:line="250" w:lineRule="auto"/>
            </w:pPr>
            <w:r>
              <w:rPr>
                <w:sz w:val="20"/>
              </w:rPr>
            </w:r>
            <w:r>
              <w:rPr>
                <w:sz w:val="20"/>
              </w:rPr>
              <w:t>Balanced six-format evidence.</w:t>
            </w:r>
          </w:p>
        </w:tc>
        <w:tc>
          <w:tcPr>
            <w:tcW w:type="dxa" w:w="3312"/>
            <w:vAlign w:val="center"/>
            <w:tcMar>
              <w:top w:w="75" w:type="dxa"/>
              <w:bottom w:w="75" w:type="dxa"/>
              <w:left w:w="90" w:type="dxa"/>
              <w:right w:w="90" w:type="dxa"/>
            </w:tcMar>
          </w:tcPr>
          <w:p>
            <w:pPr>
              <w:spacing w:before="0" w:after="40" w:line="250" w:lineRule="auto"/>
            </w:pPr>
            <w:r>
              <w:rPr>
                <w:sz w:val="20"/>
              </w:rPr>
            </w:r>
            <w:r>
              <w:rPr>
                <w:sz w:val="20"/>
              </w:rPr>
              <w:t>References are now supplied, but do not cover or apply to every comparison. Check each source against the statement it supports.</w:t>
            </w:r>
          </w:p>
        </w:tc>
        <w:tc>
          <w:tcPr>
            <w:tcW w:type="dxa" w:w="3528"/>
            <w:vAlign w:val="center"/>
            <w:tcMar>
              <w:top w:w="75" w:type="dxa"/>
              <w:bottom w:w="75" w:type="dxa"/>
              <w:left w:w="90" w:type="dxa"/>
              <w:right w:w="90" w:type="dxa"/>
            </w:tcMar>
          </w:tcPr>
          <w:p>
            <w:pPr>
              <w:spacing w:before="0" w:after="40" w:line="250" w:lineRule="auto"/>
            </w:pPr>
            <w:r>
              <w:rPr>
                <w:sz w:val="20"/>
              </w:rPr>
            </w:r>
            <w:r>
              <w:rPr>
                <w:sz w:val="20"/>
              </w:rPr>
              <w:t>Arnav, a planner and Strategy complete source mapping and balanced notes, including unknowns and contrary examples (I02).</w:t>
            </w:r>
          </w:p>
        </w:tc>
        <w:tc>
          <w:tcPr>
            <w:tcW w:type="dxa" w:w="1238"/>
            <w:vAlign w:val="center"/>
            <w:tcMar>
              <w:top w:w="75" w:type="dxa"/>
              <w:bottom w:w="75" w:type="dxa"/>
              <w:left w:w="90" w:type="dxa"/>
              <w:right w:w="90" w:type="dxa"/>
            </w:tcMar>
          </w:tcPr>
          <w:p>
            <w:pPr>
              <w:spacing w:before="0" w:after="40" w:line="250" w:lineRule="auto"/>
            </w:pPr>
            <w:r>
              <w:rPr>
                <w:sz w:val="20"/>
              </w:rPr>
            </w:r>
            <w:r>
              <w:rPr>
                <w:sz w:val="20"/>
              </w:rPr>
              <w:t>Refined; OPEN</w:t>
            </w:r>
          </w:p>
        </w:tc>
      </w:tr>
      <w:tr>
        <w:trPr>
          <w:cantSplit/>
        </w:trPr>
        <w:tc>
          <w:tcPr>
            <w:tcW w:type="dxa" w:w="619"/>
            <w:shd w:fill="F2F5F8"/>
            <w:vAlign w:val="center"/>
            <w:tcMar>
              <w:top w:w="75" w:type="dxa"/>
              <w:bottom w:w="75" w:type="dxa"/>
              <w:left w:w="90" w:type="dxa"/>
              <w:right w:w="90" w:type="dxa"/>
            </w:tcMar>
          </w:tcPr>
          <w:p>
            <w:pPr>
              <w:spacing w:before="0" w:after="40" w:line="250" w:lineRule="auto"/>
            </w:pPr>
            <w:r>
              <w:rPr>
                <w:sz w:val="20"/>
              </w:rPr>
            </w:r>
            <w:r>
              <w:rPr>
                <w:sz w:val="20"/>
              </w:rPr>
              <w:t>F04</w:t>
            </w:r>
          </w:p>
        </w:tc>
        <w:tc>
          <w:tcPr>
            <w:tcW w:type="dxa" w:w="1584"/>
            <w:shd w:fill="F2F5F8"/>
            <w:vAlign w:val="center"/>
            <w:tcMar>
              <w:top w:w="75" w:type="dxa"/>
              <w:bottom w:w="75" w:type="dxa"/>
              <w:left w:w="90" w:type="dxa"/>
              <w:right w:w="90" w:type="dxa"/>
            </w:tcMar>
          </w:tcPr>
          <w:p>
            <w:pPr>
              <w:spacing w:before="0" w:after="40" w:line="250" w:lineRule="auto"/>
            </w:pPr>
            <w:r>
              <w:rPr>
                <w:sz w:val="20"/>
              </w:rPr>
            </w:r>
            <w:r>
              <w:rPr>
                <w:sz w:val="20"/>
              </w:rPr>
              <w:t>Age and supervision support.</w:t>
            </w:r>
          </w:p>
        </w:tc>
        <w:tc>
          <w:tcPr>
            <w:tcW w:type="dxa" w:w="3312"/>
            <w:shd w:fill="F2F5F8"/>
            <w:vAlign w:val="center"/>
            <w:tcMar>
              <w:top w:w="75" w:type="dxa"/>
              <w:bottom w:w="75" w:type="dxa"/>
              <w:left w:w="90" w:type="dxa"/>
              <w:right w:w="90" w:type="dxa"/>
            </w:tcMar>
          </w:tcPr>
          <w:p>
            <w:pPr>
              <w:spacing w:before="0" w:after="40" w:line="250" w:lineRule="auto"/>
            </w:pPr>
            <w:r>
              <w:rPr>
                <w:sz w:val="20"/>
              </w:rPr>
            </w:r>
            <w:r>
              <w:rPr>
                <w:sz w:val="20"/>
              </w:rPr>
              <w:t>The draft asks questions without age bands. These do not establish suitability.</w:t>
            </w:r>
          </w:p>
        </w:tc>
        <w:tc>
          <w:tcPr>
            <w:tcW w:type="dxa" w:w="3528"/>
            <w:shd w:fill="F2F5F8"/>
            <w:vAlign w:val="center"/>
            <w:tcMar>
              <w:top w:w="75" w:type="dxa"/>
              <w:bottom w:w="75" w:type="dxa"/>
              <w:left w:w="90" w:type="dxa"/>
              <w:right w:w="90" w:type="dxa"/>
            </w:tcMar>
          </w:tcPr>
          <w:p>
            <w:pPr>
              <w:spacing w:before="0" w:after="40" w:line="250" w:lineRule="auto"/>
            </w:pPr>
            <w:r>
              <w:rPr>
                <w:sz w:val="20"/>
              </w:rPr>
            </w:r>
            <w:r>
              <w:rPr>
                <w:sz w:val="20"/>
              </w:rPr>
              <w:t>Safety and planning reviewers, and Ajith for VR, supply applicable guidance before assertions are added (I03).</w:t>
            </w:r>
          </w:p>
        </w:tc>
        <w:tc>
          <w:tcPr>
            <w:tcW w:type="dxa" w:w="1238"/>
            <w:shd w:fill="F2F5F8"/>
            <w:vAlign w:val="center"/>
            <w:tcMar>
              <w:top w:w="75" w:type="dxa"/>
              <w:bottom w:w="75" w:type="dxa"/>
              <w:left w:w="90" w:type="dxa"/>
              <w:right w:w="90" w:type="dxa"/>
            </w:tcMar>
          </w:tcPr>
          <w:p>
            <w:pPr>
              <w:spacing w:before="0" w:after="40" w:line="250" w:lineRule="auto"/>
            </w:pPr>
            <w:r>
              <w:rPr>
                <w:sz w:val="20"/>
              </w:rPr>
            </w:r>
            <w:r>
              <w:rPr>
                <w:sz w:val="20"/>
              </w:rPr>
              <w:t>Refined; claims held</w:t>
            </w:r>
          </w:p>
        </w:tc>
      </w:tr>
      <w:tr>
        <w:trPr>
          <w:cantSplit/>
        </w:trPr>
        <w:tc>
          <w:tcPr>
            <w:tcW w:type="dxa" w:w="619"/>
            <w:vAlign w:val="center"/>
            <w:tcMar>
              <w:top w:w="75" w:type="dxa"/>
              <w:bottom w:w="75" w:type="dxa"/>
              <w:left w:w="90" w:type="dxa"/>
              <w:right w:w="90" w:type="dxa"/>
            </w:tcMar>
          </w:tcPr>
          <w:p>
            <w:pPr>
              <w:spacing w:before="0" w:after="40" w:line="250" w:lineRule="auto"/>
            </w:pPr>
            <w:r>
              <w:rPr>
                <w:sz w:val="20"/>
              </w:rPr>
            </w:r>
            <w:r>
              <w:rPr>
                <w:sz w:val="20"/>
              </w:rPr>
              <w:t>F05</w:t>
            </w:r>
          </w:p>
        </w:tc>
        <w:tc>
          <w:tcPr>
            <w:tcW w:type="dxa" w:w="1584"/>
            <w:vAlign w:val="center"/>
            <w:tcMar>
              <w:top w:w="75" w:type="dxa"/>
              <w:bottom w:w="75" w:type="dxa"/>
              <w:left w:w="90" w:type="dxa"/>
              <w:right w:w="90" w:type="dxa"/>
            </w:tcMar>
          </w:tcPr>
          <w:p>
            <w:pPr>
              <w:spacing w:before="0" w:after="40" w:line="250" w:lineRule="auto"/>
            </w:pPr>
            <w:r>
              <w:rPr>
                <w:sz w:val="20"/>
              </w:rPr>
            </w:r>
            <w:r>
              <w:rPr>
                <w:sz w:val="20"/>
              </w:rPr>
              <w:t>Evidence for space and group size.</w:t>
            </w:r>
          </w:p>
        </w:tc>
        <w:tc>
          <w:tcPr>
            <w:tcW w:type="dxa" w:w="3312"/>
            <w:vAlign w:val="center"/>
            <w:tcMar>
              <w:top w:w="75" w:type="dxa"/>
              <w:bottom w:w="75" w:type="dxa"/>
              <w:left w:w="90" w:type="dxa"/>
              <w:right w:w="90" w:type="dxa"/>
            </w:tcMar>
          </w:tcPr>
          <w:p>
            <w:pPr>
              <w:spacing w:before="0" w:after="40" w:line="250" w:lineRule="auto"/>
            </w:pPr>
            <w:r>
              <w:rPr>
                <w:sz w:val="20"/>
              </w:rPr>
            </w:r>
            <w:r>
              <w:rPr>
                <w:sz w:val="20"/>
              </w:rPr>
              <w:t>The draft’s layout questions contain no tested threshold for fit or safe capacity.</w:t>
            </w:r>
          </w:p>
        </w:tc>
        <w:tc>
          <w:tcPr>
            <w:tcW w:type="dxa" w:w="3528"/>
            <w:vAlign w:val="center"/>
            <w:tcMar>
              <w:top w:w="75" w:type="dxa"/>
              <w:bottom w:w="75" w:type="dxa"/>
              <w:left w:w="90" w:type="dxa"/>
              <w:right w:w="90" w:type="dxa"/>
            </w:tcMar>
          </w:tcPr>
          <w:p>
            <w:pPr>
              <w:spacing w:before="0" w:after="40" w:line="250" w:lineRule="auto"/>
            </w:pPr>
            <w:r>
              <w:rPr>
                <w:sz w:val="20"/>
              </w:rPr>
            </w:r>
            <w:r>
              <w:rPr>
                <w:sz w:val="20"/>
              </w:rPr>
              <w:t>A planner or Ajith and operations provide tested conditions and exceptions before thresholds are added (I04).</w:t>
            </w:r>
          </w:p>
        </w:tc>
        <w:tc>
          <w:tcPr>
            <w:tcW w:type="dxa" w:w="1238"/>
            <w:vAlign w:val="center"/>
            <w:tcMar>
              <w:top w:w="75" w:type="dxa"/>
              <w:bottom w:w="75" w:type="dxa"/>
              <w:left w:w="90" w:type="dxa"/>
              <w:right w:w="90" w:type="dxa"/>
            </w:tcMar>
          </w:tcPr>
          <w:p>
            <w:pPr>
              <w:spacing w:before="0" w:after="40" w:line="250" w:lineRule="auto"/>
            </w:pPr>
            <w:r>
              <w:rPr>
                <w:sz w:val="20"/>
              </w:rPr>
            </w:r>
            <w:r>
              <w:rPr>
                <w:sz w:val="20"/>
              </w:rPr>
              <w:t>Refined; claims held</w:t>
            </w:r>
          </w:p>
        </w:tc>
      </w:tr>
      <w:tr>
        <w:trPr>
          <w:cantSplit/>
        </w:trPr>
        <w:tc>
          <w:tcPr>
            <w:tcW w:type="dxa" w:w="619"/>
            <w:shd w:fill="F2F5F8"/>
            <w:vAlign w:val="center"/>
            <w:tcMar>
              <w:top w:w="75" w:type="dxa"/>
              <w:bottom w:w="75" w:type="dxa"/>
              <w:left w:w="90" w:type="dxa"/>
              <w:right w:w="90" w:type="dxa"/>
            </w:tcMar>
          </w:tcPr>
          <w:p>
            <w:pPr>
              <w:spacing w:before="0" w:after="40" w:line="250" w:lineRule="auto"/>
            </w:pPr>
            <w:r>
              <w:rPr>
                <w:sz w:val="20"/>
              </w:rPr>
            </w:r>
            <w:r>
              <w:rPr>
                <w:sz w:val="20"/>
              </w:rPr>
              <w:t>F06</w:t>
            </w:r>
          </w:p>
        </w:tc>
        <w:tc>
          <w:tcPr>
            <w:tcW w:type="dxa" w:w="1584"/>
            <w:shd w:fill="F2F5F8"/>
            <w:vAlign w:val="center"/>
            <w:tcMar>
              <w:top w:w="75" w:type="dxa"/>
              <w:bottom w:w="75" w:type="dxa"/>
              <w:left w:w="90" w:type="dxa"/>
              <w:right w:w="90" w:type="dxa"/>
            </w:tcMar>
          </w:tcPr>
          <w:p>
            <w:pPr>
              <w:spacing w:before="0" w:after="40" w:line="250" w:lineRule="auto"/>
            </w:pPr>
            <w:r>
              <w:rPr>
                <w:sz w:val="20"/>
              </w:rPr>
            </w:r>
            <w:r>
              <w:rPr>
                <w:sz w:val="20"/>
              </w:rPr>
              <w:t>Cost and value basis.</w:t>
            </w:r>
          </w:p>
        </w:tc>
        <w:tc>
          <w:tcPr>
            <w:tcW w:type="dxa" w:w="3312"/>
            <w:shd w:fill="F2F5F8"/>
            <w:vAlign w:val="center"/>
            <w:tcMar>
              <w:top w:w="75" w:type="dxa"/>
              <w:bottom w:w="75" w:type="dxa"/>
              <w:left w:w="90" w:type="dxa"/>
              <w:right w:w="90" w:type="dxa"/>
            </w:tcMar>
          </w:tcPr>
          <w:p>
            <w:pPr>
              <w:spacing w:before="0" w:after="40" w:line="250" w:lineRule="auto"/>
            </w:pPr>
            <w:r>
              <w:rPr>
                <w:sz w:val="20"/>
              </w:rPr>
            </w:r>
            <w:r>
              <w:rPr>
                <w:sz w:val="20"/>
              </w:rPr>
              <w:t>The DIY cost benefit needs revision (3.2). No dated comparative costs were supplied.</w:t>
            </w:r>
          </w:p>
        </w:tc>
        <w:tc>
          <w:tcPr>
            <w:tcW w:type="dxa" w:w="3528"/>
            <w:shd w:fill="F2F5F8"/>
            <w:vAlign w:val="center"/>
            <w:tcMar>
              <w:top w:w="75" w:type="dxa"/>
              <w:bottom w:w="75" w:type="dxa"/>
              <w:left w:w="90" w:type="dxa"/>
              <w:right w:w="90" w:type="dxa"/>
            </w:tcMar>
          </w:tcPr>
          <w:p>
            <w:pPr>
              <w:spacing w:before="0" w:after="40" w:line="250" w:lineRule="auto"/>
            </w:pPr>
            <w:r>
              <w:rPr>
                <w:sz w:val="20"/>
              </w:rPr>
            </w:r>
            <w:r>
              <w:rPr>
                <w:sz w:val="20"/>
              </w:rPr>
              <w:t>Arnav revises the wording. Strategy and finance support any retained comparison; Ajith approves VR prices (I05).</w:t>
            </w:r>
          </w:p>
        </w:tc>
        <w:tc>
          <w:tcPr>
            <w:tcW w:type="dxa" w:w="1238"/>
            <w:shd w:fill="F2F5F8"/>
            <w:vAlign w:val="center"/>
            <w:tcMar>
              <w:top w:w="75" w:type="dxa"/>
              <w:bottom w:w="75" w:type="dxa"/>
              <w:left w:w="90" w:type="dxa"/>
              <w:right w:w="90" w:type="dxa"/>
            </w:tcMar>
          </w:tcPr>
          <w:p>
            <w:pPr>
              <w:spacing w:before="0" w:after="40" w:line="250" w:lineRule="auto"/>
            </w:pPr>
            <w:r>
              <w:rPr>
                <w:sz w:val="20"/>
              </w:rPr>
            </w:r>
            <w:r>
              <w:rPr>
                <w:sz w:val="20"/>
              </w:rPr>
              <w:t>Refined; phrase held</w:t>
            </w:r>
          </w:p>
        </w:tc>
      </w:tr>
      <w:tr>
        <w:trPr>
          <w:cantSplit/>
        </w:trPr>
        <w:tc>
          <w:tcPr>
            <w:tcW w:type="dxa" w:w="619"/>
            <w:vAlign w:val="center"/>
            <w:tcMar>
              <w:top w:w="75" w:type="dxa"/>
              <w:bottom w:w="75" w:type="dxa"/>
              <w:left w:w="90" w:type="dxa"/>
              <w:right w:w="90" w:type="dxa"/>
            </w:tcMar>
          </w:tcPr>
          <w:p>
            <w:pPr>
              <w:spacing w:before="0" w:after="40" w:line="250" w:lineRule="auto"/>
            </w:pPr>
            <w:r>
              <w:rPr>
                <w:sz w:val="20"/>
              </w:rPr>
            </w:r>
            <w:r>
              <w:rPr>
                <w:sz w:val="20"/>
              </w:rPr>
              <w:t>F07</w:t>
            </w:r>
          </w:p>
        </w:tc>
        <w:tc>
          <w:tcPr>
            <w:tcW w:type="dxa" w:w="1584"/>
            <w:vAlign w:val="center"/>
            <w:tcMar>
              <w:top w:w="75" w:type="dxa"/>
              <w:bottom w:w="75" w:type="dxa"/>
              <w:left w:w="90" w:type="dxa"/>
              <w:right w:w="90" w:type="dxa"/>
            </w:tcMar>
          </w:tcPr>
          <w:p>
            <w:pPr>
              <w:spacing w:before="0" w:after="40" w:line="250" w:lineRule="auto"/>
            </w:pPr>
            <w:r>
              <w:rPr>
                <w:sz w:val="20"/>
              </w:rPr>
            </w:r>
            <w:r>
              <w:rPr>
                <w:sz w:val="20"/>
              </w:rPr>
              <w:t>Effort and actual event flow.</w:t>
            </w:r>
          </w:p>
        </w:tc>
        <w:tc>
          <w:tcPr>
            <w:tcW w:type="dxa" w:w="3312"/>
            <w:vAlign w:val="center"/>
            <w:tcMar>
              <w:top w:w="75" w:type="dxa"/>
              <w:bottom w:w="75" w:type="dxa"/>
              <w:left w:w="90" w:type="dxa"/>
              <w:right w:w="90" w:type="dxa"/>
            </w:tcMar>
          </w:tcPr>
          <w:p>
            <w:pPr>
              <w:spacing w:before="0" w:after="40" w:line="250" w:lineRule="auto"/>
            </w:pPr>
            <w:r>
              <w:rPr>
                <w:sz w:val="20"/>
              </w:rPr>
            </w:r>
            <w:r>
              <w:rPr>
                <w:sz w:val="20"/>
              </w:rPr>
              <w:t>The blank run sheet has no timings. It does not prove reduced effort, nor does the effort statement in 3.2.</w:t>
            </w:r>
          </w:p>
        </w:tc>
        <w:tc>
          <w:tcPr>
            <w:tcW w:type="dxa" w:w="3528"/>
            <w:vAlign w:val="center"/>
            <w:tcMar>
              <w:top w:w="75" w:type="dxa"/>
              <w:bottom w:w="75" w:type="dxa"/>
              <w:left w:w="90" w:type="dxa"/>
              <w:right w:w="90" w:type="dxa"/>
            </w:tcMar>
          </w:tcPr>
          <w:p>
            <w:pPr>
              <w:spacing w:before="0" w:after="40" w:line="250" w:lineRule="auto"/>
            </w:pPr>
            <w:r>
              <w:rPr>
                <w:sz w:val="20"/>
              </w:rPr>
            </w:r>
            <w:r>
              <w:rPr>
                <w:sz w:val="20"/>
              </w:rPr>
              <w:t>Arnav revises the wording; a planner explains the tasks. Real examples need dated run sheets and permission (I06).</w:t>
            </w:r>
          </w:p>
        </w:tc>
        <w:tc>
          <w:tcPr>
            <w:tcW w:type="dxa" w:w="1238"/>
            <w:vAlign w:val="center"/>
            <w:tcMar>
              <w:top w:w="75" w:type="dxa"/>
              <w:bottom w:w="75" w:type="dxa"/>
              <w:left w:w="90" w:type="dxa"/>
              <w:right w:w="90" w:type="dxa"/>
            </w:tcMar>
          </w:tcPr>
          <w:p>
            <w:pPr>
              <w:spacing w:before="0" w:after="40" w:line="250" w:lineRule="auto"/>
            </w:pPr>
            <w:r>
              <w:rPr>
                <w:sz w:val="20"/>
              </w:rPr>
            </w:r>
            <w:r>
              <w:rPr>
                <w:sz w:val="20"/>
              </w:rPr>
              <w:t>Refined; claims held</w:t>
            </w:r>
          </w:p>
        </w:tc>
      </w:tr>
      <w:tr>
        <w:trPr>
          <w:cantSplit/>
        </w:trPr>
        <w:tc>
          <w:tcPr>
            <w:tcW w:type="dxa" w:w="619"/>
            <w:shd w:fill="F2F5F8"/>
            <w:vAlign w:val="center"/>
            <w:tcMar>
              <w:top w:w="75" w:type="dxa"/>
              <w:bottom w:w="75" w:type="dxa"/>
              <w:left w:w="90" w:type="dxa"/>
              <w:right w:w="90" w:type="dxa"/>
            </w:tcMar>
          </w:tcPr>
          <w:p>
            <w:pPr>
              <w:spacing w:before="0" w:after="40" w:line="250" w:lineRule="auto"/>
            </w:pPr>
            <w:r>
              <w:rPr>
                <w:sz w:val="20"/>
              </w:rPr>
            </w:r>
            <w:r>
              <w:rPr>
                <w:sz w:val="20"/>
              </w:rPr>
              <w:t>F08</w:t>
            </w:r>
          </w:p>
        </w:tc>
        <w:tc>
          <w:tcPr>
            <w:tcW w:type="dxa" w:w="1584"/>
            <w:shd w:fill="F2F5F8"/>
            <w:vAlign w:val="center"/>
            <w:tcMar>
              <w:top w:w="75" w:type="dxa"/>
              <w:bottom w:w="75" w:type="dxa"/>
              <w:left w:w="90" w:type="dxa"/>
              <w:right w:w="90" w:type="dxa"/>
            </w:tcMar>
          </w:tcPr>
          <w:p>
            <w:pPr>
              <w:spacing w:before="0" w:after="40" w:line="250" w:lineRule="auto"/>
            </w:pPr>
            <w:r>
              <w:rPr>
                <w:sz w:val="20"/>
              </w:rPr>
            </w:r>
            <w:r>
              <w:rPr>
                <w:sz w:val="20"/>
              </w:rPr>
              <w:t>Participation and conditions outcomes.</w:t>
            </w:r>
          </w:p>
        </w:tc>
        <w:tc>
          <w:tcPr>
            <w:tcW w:type="dxa" w:w="3312"/>
            <w:shd w:fill="F2F5F8"/>
            <w:vAlign w:val="center"/>
            <w:tcMar>
              <w:top w:w="75" w:type="dxa"/>
              <w:bottom w:w="75" w:type="dxa"/>
              <w:left w:w="90" w:type="dxa"/>
              <w:right w:w="90" w:type="dxa"/>
            </w:tcMar>
          </w:tcPr>
          <w:p>
            <w:pPr>
              <w:spacing w:before="0" w:after="40" w:line="250" w:lineRule="auto"/>
            </w:pPr>
            <w:r>
              <w:rPr>
                <w:sz w:val="20"/>
              </w:rPr>
            </w:r>
            <w:r>
              <w:rPr>
                <w:sz w:val="20"/>
              </w:rPr>
              <w:t>The guarantee for every guest is absent. The mystery outcome remains unsupported (3.2).</w:t>
            </w:r>
          </w:p>
        </w:tc>
        <w:tc>
          <w:tcPr>
            <w:tcW w:type="dxa" w:w="3528"/>
            <w:shd w:fill="F2F5F8"/>
            <w:vAlign w:val="center"/>
            <w:tcMar>
              <w:top w:w="75" w:type="dxa"/>
              <w:bottom w:w="75" w:type="dxa"/>
              <w:left w:w="90" w:type="dxa"/>
              <w:right w:w="90" w:type="dxa"/>
            </w:tcMar>
          </w:tcPr>
          <w:p>
            <w:pPr>
              <w:spacing w:before="0" w:after="40" w:line="250" w:lineRule="auto"/>
            </w:pPr>
            <w:r>
              <w:rPr>
                <w:sz w:val="20"/>
              </w:rPr>
            </w:r>
            <w:r>
              <w:rPr>
                <w:sz w:val="20"/>
              </w:rPr>
              <w:t>Arnav and a planner revise or support the outcome. Retain weather and participation limits (I06).</w:t>
            </w:r>
          </w:p>
        </w:tc>
        <w:tc>
          <w:tcPr>
            <w:tcW w:type="dxa" w:w="1238"/>
            <w:shd w:fill="F2F5F8"/>
            <w:vAlign w:val="center"/>
            <w:tcMar>
              <w:top w:w="75" w:type="dxa"/>
              <w:bottom w:w="75" w:type="dxa"/>
              <w:left w:w="90" w:type="dxa"/>
              <w:right w:w="90" w:type="dxa"/>
            </w:tcMar>
          </w:tcPr>
          <w:p>
            <w:pPr>
              <w:spacing w:before="0" w:after="40" w:line="250" w:lineRule="auto"/>
            </w:pPr>
            <w:r>
              <w:rPr>
                <w:sz w:val="20"/>
              </w:rPr>
            </w:r>
            <w:r>
              <w:rPr>
                <w:sz w:val="20"/>
              </w:rPr>
              <w:t>Refined; claims held</w:t>
            </w:r>
          </w:p>
        </w:tc>
      </w:tr>
      <w:tr>
        <w:trPr>
          <w:cantSplit/>
        </w:trPr>
        <w:tc>
          <w:tcPr>
            <w:tcW w:type="dxa" w:w="619"/>
            <w:vAlign w:val="center"/>
            <w:tcMar>
              <w:top w:w="75" w:type="dxa"/>
              <w:bottom w:w="75" w:type="dxa"/>
              <w:left w:w="90" w:type="dxa"/>
              <w:right w:w="90" w:type="dxa"/>
            </w:tcMar>
          </w:tcPr>
          <w:p>
            <w:pPr>
              <w:spacing w:before="0" w:after="40" w:line="250" w:lineRule="auto"/>
            </w:pPr>
            <w:r>
              <w:rPr>
                <w:sz w:val="20"/>
              </w:rPr>
            </w:r>
            <w:r>
              <w:rPr>
                <w:sz w:val="20"/>
              </w:rPr>
              <w:t>F09</w:t>
            </w:r>
          </w:p>
        </w:tc>
        <w:tc>
          <w:tcPr>
            <w:tcW w:type="dxa" w:w="1584"/>
            <w:vAlign w:val="center"/>
            <w:tcMar>
              <w:top w:w="75" w:type="dxa"/>
              <w:bottom w:w="75" w:type="dxa"/>
              <w:left w:w="90" w:type="dxa"/>
              <w:right w:w="90" w:type="dxa"/>
            </w:tcMar>
          </w:tcPr>
          <w:p>
            <w:pPr>
              <w:spacing w:before="0" w:after="40" w:line="250" w:lineRule="auto"/>
            </w:pPr>
            <w:r>
              <w:rPr>
                <w:sz w:val="20"/>
              </w:rPr>
            </w:r>
            <w:r>
              <w:rPr>
                <w:sz w:val="20"/>
              </w:rPr>
              <w:t>Safety and accessibility guidance.</w:t>
            </w:r>
          </w:p>
        </w:tc>
        <w:tc>
          <w:tcPr>
            <w:tcW w:type="dxa" w:w="3312"/>
            <w:vAlign w:val="center"/>
            <w:tcMar>
              <w:top w:w="75" w:type="dxa"/>
              <w:bottom w:w="75" w:type="dxa"/>
              <w:left w:w="90" w:type="dxa"/>
              <w:right w:w="90" w:type="dxa"/>
            </w:tcMar>
          </w:tcPr>
          <w:p>
            <w:pPr>
              <w:spacing w:before="0" w:after="40" w:line="250" w:lineRule="auto"/>
            </w:pPr>
            <w:r>
              <w:rPr>
                <w:sz w:val="20"/>
              </w:rPr>
            </w:r>
            <w:r>
              <w:rPr>
                <w:sz w:val="20"/>
              </w:rPr>
              <w:t>The noise source supports only a limited point. No broader authorised safety or accessibility review was supplied.</w:t>
            </w:r>
          </w:p>
        </w:tc>
        <w:tc>
          <w:tcPr>
            <w:tcW w:type="dxa" w:w="3528"/>
            <w:vAlign w:val="center"/>
            <w:tcMar>
              <w:top w:w="75" w:type="dxa"/>
              <w:bottom w:w="75" w:type="dxa"/>
              <w:left w:w="90" w:type="dxa"/>
              <w:right w:w="90" w:type="dxa"/>
            </w:tcMar>
          </w:tcPr>
          <w:p>
            <w:pPr>
              <w:spacing w:before="0" w:after="40" w:line="250" w:lineRule="auto"/>
            </w:pPr>
            <w:r>
              <w:rPr>
                <w:sz w:val="20"/>
              </w:rPr>
            </w:r>
            <w:r>
              <w:rPr>
                <w:sz w:val="20"/>
              </w:rPr>
              <w:t>The human Authority Manager and relevant expert agree on sources, scope and wording (I07).</w:t>
            </w:r>
          </w:p>
        </w:tc>
        <w:tc>
          <w:tcPr>
            <w:tcW w:type="dxa" w:w="1238"/>
            <w:vAlign w:val="center"/>
            <w:tcMar>
              <w:top w:w="75" w:type="dxa"/>
              <w:bottom w:w="75" w:type="dxa"/>
              <w:left w:w="90" w:type="dxa"/>
              <w:right w:w="90" w:type="dxa"/>
            </w:tcMar>
          </w:tcPr>
          <w:p>
            <w:pPr>
              <w:spacing w:before="0" w:after="40" w:line="250" w:lineRule="auto"/>
            </w:pPr>
            <w:r>
              <w:rPr>
                <w:sz w:val="20"/>
              </w:rPr>
            </w:r>
            <w:r>
              <w:rPr>
                <w:sz w:val="20"/>
              </w:rPr>
              <w:t>Open</w:t>
            </w:r>
          </w:p>
        </w:tc>
      </w:tr>
      <w:tr>
        <w:trPr>
          <w:cantSplit/>
        </w:trPr>
        <w:tc>
          <w:tcPr>
            <w:tcW w:type="dxa" w:w="619"/>
            <w:shd w:fill="F2F5F8"/>
            <w:vAlign w:val="center"/>
            <w:tcMar>
              <w:top w:w="75" w:type="dxa"/>
              <w:bottom w:w="75" w:type="dxa"/>
              <w:left w:w="90" w:type="dxa"/>
              <w:right w:w="90" w:type="dxa"/>
            </w:tcMar>
          </w:tcPr>
          <w:p>
            <w:pPr>
              <w:spacing w:before="0" w:after="40" w:line="250" w:lineRule="auto"/>
            </w:pPr>
            <w:r>
              <w:rPr>
                <w:sz w:val="20"/>
              </w:rPr>
            </w:r>
            <w:r>
              <w:rPr>
                <w:sz w:val="20"/>
              </w:rPr>
              <w:t>F10</w:t>
            </w:r>
          </w:p>
        </w:tc>
        <w:tc>
          <w:tcPr>
            <w:tcW w:type="dxa" w:w="1584"/>
            <w:shd w:fill="F2F5F8"/>
            <w:vAlign w:val="center"/>
            <w:tcMar>
              <w:top w:w="75" w:type="dxa"/>
              <w:bottom w:w="75" w:type="dxa"/>
              <w:left w:w="90" w:type="dxa"/>
              <w:right w:w="90" w:type="dxa"/>
            </w:tcMar>
          </w:tcPr>
          <w:p>
            <w:pPr>
              <w:spacing w:before="0" w:after="40" w:line="250" w:lineRule="auto"/>
            </w:pPr>
            <w:r>
              <w:rPr>
                <w:sz w:val="20"/>
              </w:rPr>
            </w:r>
            <w:r>
              <w:rPr>
                <w:sz w:val="20"/>
              </w:rPr>
              <w:t>Original proof and permissions.</w:t>
            </w:r>
          </w:p>
        </w:tc>
        <w:tc>
          <w:tcPr>
            <w:tcW w:type="dxa" w:w="3312"/>
            <w:shd w:fill="F2F5F8"/>
            <w:vAlign w:val="center"/>
            <w:tcMar>
              <w:top w:w="75" w:type="dxa"/>
              <w:bottom w:w="75" w:type="dxa"/>
              <w:left w:w="90" w:type="dxa"/>
              <w:right w:w="90" w:type="dxa"/>
            </w:tcMar>
          </w:tcPr>
          <w:p>
            <w:pPr>
              <w:spacing w:before="0" w:after="40" w:line="250" w:lineRule="auto"/>
            </w:pPr>
            <w:r>
              <w:rPr>
                <w:sz w:val="20"/>
              </w:rPr>
            </w:r>
            <w:r>
              <w:rPr>
                <w:sz w:val="20"/>
              </w:rPr>
              <w:t>The optional proof section remains held. No original event record or consent documents were supplied.</w:t>
            </w:r>
          </w:p>
        </w:tc>
        <w:tc>
          <w:tcPr>
            <w:tcW w:type="dxa" w:w="3528"/>
            <w:shd w:fill="F2F5F8"/>
            <w:vAlign w:val="center"/>
            <w:tcMar>
              <w:top w:w="75" w:type="dxa"/>
              <w:bottom w:w="75" w:type="dxa"/>
              <w:left w:w="90" w:type="dxa"/>
              <w:right w:w="90" w:type="dxa"/>
            </w:tcMar>
          </w:tcPr>
          <w:p>
            <w:pPr>
              <w:spacing w:before="0" w:after="40" w:line="250" w:lineRule="auto"/>
            </w:pPr>
            <w:r>
              <w:rPr>
                <w:sz w:val="20"/>
              </w:rPr>
            </w:r>
            <w:r>
              <w:rPr>
                <w:sz w:val="20"/>
              </w:rPr>
              <w:t>Ajith and evidence and consent owners provide records. The Brand Authority Builder reviews presentation (I08).</w:t>
            </w:r>
          </w:p>
        </w:tc>
        <w:tc>
          <w:tcPr>
            <w:tcW w:type="dxa" w:w="1238"/>
            <w:shd w:fill="F2F5F8"/>
            <w:vAlign w:val="center"/>
            <w:tcMar>
              <w:top w:w="75" w:type="dxa"/>
              <w:bottom w:w="75" w:type="dxa"/>
              <w:left w:w="90" w:type="dxa"/>
              <w:right w:w="90" w:type="dxa"/>
            </w:tcMar>
          </w:tcPr>
          <w:p>
            <w:pPr>
              <w:spacing w:before="0" w:after="40" w:line="250" w:lineRule="auto"/>
            </w:pPr>
            <w:r>
              <w:rPr>
                <w:sz w:val="20"/>
              </w:rPr>
            </w:r>
            <w:r>
              <w:rPr>
                <w:sz w:val="20"/>
              </w:rPr>
              <w:t>Open; proof held</w:t>
            </w:r>
          </w:p>
        </w:tc>
      </w:tr>
      <w:tr>
        <w:trPr>
          <w:cantSplit/>
        </w:trPr>
        <w:tc>
          <w:tcPr>
            <w:tcW w:type="dxa" w:w="619"/>
            <w:vAlign w:val="center"/>
            <w:tcMar>
              <w:top w:w="75" w:type="dxa"/>
              <w:bottom w:w="75" w:type="dxa"/>
              <w:left w:w="90" w:type="dxa"/>
              <w:right w:w="90" w:type="dxa"/>
            </w:tcMar>
          </w:tcPr>
          <w:p>
            <w:pPr>
              <w:spacing w:before="0" w:after="40" w:line="250" w:lineRule="auto"/>
            </w:pPr>
            <w:r>
              <w:rPr>
                <w:sz w:val="20"/>
              </w:rPr>
            </w:r>
            <w:r>
              <w:rPr>
                <w:sz w:val="20"/>
              </w:rPr>
              <w:t>F11</w:t>
            </w:r>
          </w:p>
        </w:tc>
        <w:tc>
          <w:tcPr>
            <w:tcW w:type="dxa" w:w="1584"/>
            <w:vAlign w:val="center"/>
            <w:tcMar>
              <w:top w:w="75" w:type="dxa"/>
              <w:bottom w:w="75" w:type="dxa"/>
              <w:left w:w="90" w:type="dxa"/>
              <w:right w:w="90" w:type="dxa"/>
            </w:tcMar>
          </w:tcPr>
          <w:p>
            <w:pPr>
              <w:spacing w:before="0" w:after="40" w:line="250" w:lineRule="auto"/>
            </w:pPr>
            <w:r>
              <w:rPr>
                <w:sz w:val="20"/>
              </w:rPr>
            </w:r>
            <w:r>
              <w:rPr>
                <w:sz w:val="20"/>
              </w:rPr>
              <w:t>Current hosted-VR facts.</w:t>
            </w:r>
          </w:p>
        </w:tc>
        <w:tc>
          <w:tcPr>
            <w:tcW w:type="dxa" w:w="3312"/>
            <w:vAlign w:val="center"/>
            <w:tcMar>
              <w:top w:w="75" w:type="dxa"/>
              <w:bottom w:w="75" w:type="dxa"/>
              <w:left w:w="90" w:type="dxa"/>
              <w:right w:w="90" w:type="dxa"/>
            </w:tcMar>
          </w:tcPr>
          <w:p>
            <w:pPr>
              <w:spacing w:before="0" w:after="40" w:line="250" w:lineRule="auto"/>
            </w:pPr>
            <w:r>
              <w:rPr>
                <w:sz w:val="20"/>
              </w:rPr>
            </w:r>
            <w:r>
              <w:rPr>
                <w:sz w:val="20"/>
              </w:rPr>
              <w:t>The draft describes a possible format without package promises. It does not verify Viri VR’s current offer.</w:t>
            </w:r>
          </w:p>
        </w:tc>
        <w:tc>
          <w:tcPr>
            <w:tcW w:type="dxa" w:w="3528"/>
            <w:vAlign w:val="center"/>
            <w:tcMar>
              <w:top w:w="75" w:type="dxa"/>
              <w:bottom w:w="75" w:type="dxa"/>
              <w:left w:w="90" w:type="dxa"/>
              <w:right w:w="90" w:type="dxa"/>
            </w:tcMar>
          </w:tcPr>
          <w:p>
            <w:pPr>
              <w:spacing w:before="0" w:after="40" w:line="250" w:lineRule="auto"/>
            </w:pPr>
            <w:r>
              <w:rPr>
                <w:sz w:val="20"/>
              </w:rPr>
            </w:r>
            <w:r>
              <w:rPr>
                <w:sz w:val="20"/>
              </w:rPr>
              <w:t>Ajith or delegated owners supply current HP-001 evidence for each service detail before use (I09).</w:t>
            </w:r>
          </w:p>
        </w:tc>
        <w:tc>
          <w:tcPr>
            <w:tcW w:type="dxa" w:w="1238"/>
            <w:vAlign w:val="center"/>
            <w:tcMar>
              <w:top w:w="75" w:type="dxa"/>
              <w:bottom w:w="75" w:type="dxa"/>
              <w:left w:w="90" w:type="dxa"/>
              <w:right w:w="90" w:type="dxa"/>
            </w:tcMar>
          </w:tcPr>
          <w:p>
            <w:pPr>
              <w:spacing w:before="0" w:after="40" w:line="250" w:lineRule="auto"/>
            </w:pPr>
            <w:r>
              <w:rPr>
                <w:sz w:val="20"/>
              </w:rPr>
            </w:r>
            <w:r>
              <w:rPr>
                <w:sz w:val="20"/>
              </w:rPr>
              <w:t>Refined; specifics held</w:t>
            </w:r>
          </w:p>
        </w:tc>
      </w:tr>
      <w:tr>
        <w:trPr>
          <w:cantSplit/>
        </w:trPr>
        <w:tc>
          <w:tcPr>
            <w:tcW w:type="dxa" w:w="619"/>
            <w:shd w:fill="F2F5F8"/>
            <w:vAlign w:val="center"/>
            <w:tcMar>
              <w:top w:w="75" w:type="dxa"/>
              <w:bottom w:w="75" w:type="dxa"/>
              <w:left w:w="90" w:type="dxa"/>
              <w:right w:w="90" w:type="dxa"/>
            </w:tcMar>
          </w:tcPr>
          <w:p>
            <w:pPr>
              <w:spacing w:before="0" w:after="40" w:line="250" w:lineRule="auto"/>
            </w:pPr>
            <w:r>
              <w:rPr>
                <w:sz w:val="20"/>
              </w:rPr>
            </w:r>
            <w:r>
              <w:rPr>
                <w:sz w:val="20"/>
              </w:rPr>
              <w:t>F12</w:t>
            </w:r>
          </w:p>
        </w:tc>
        <w:tc>
          <w:tcPr>
            <w:tcW w:type="dxa" w:w="1584"/>
            <w:shd w:fill="F2F5F8"/>
            <w:vAlign w:val="center"/>
            <w:tcMar>
              <w:top w:w="75" w:type="dxa"/>
              <w:bottom w:w="75" w:type="dxa"/>
              <w:left w:w="90" w:type="dxa"/>
              <w:right w:w="90" w:type="dxa"/>
            </w:tcMar>
          </w:tcPr>
          <w:p>
            <w:pPr>
              <w:spacing w:before="0" w:after="40" w:line="250" w:lineRule="auto"/>
            </w:pPr>
            <w:r>
              <w:rPr>
                <w:sz w:val="20"/>
              </w:rPr>
            </w:r>
            <w:r>
              <w:rPr>
                <w:sz w:val="20"/>
              </w:rPr>
              <w:t>Limits of Search and measurement evidence.</w:t>
            </w:r>
          </w:p>
        </w:tc>
        <w:tc>
          <w:tcPr>
            <w:tcW w:type="dxa" w:w="3312"/>
            <w:shd w:fill="F2F5F8"/>
            <w:vAlign w:val="center"/>
            <w:tcMar>
              <w:top w:w="75" w:type="dxa"/>
              <w:bottom w:w="75" w:type="dxa"/>
              <w:left w:w="90" w:type="dxa"/>
              <w:right w:w="90" w:type="dxa"/>
            </w:tcMar>
          </w:tcPr>
          <w:p>
            <w:pPr>
              <w:spacing w:before="0" w:after="40" w:line="250" w:lineRule="auto"/>
            </w:pPr>
            <w:r>
              <w:rPr>
                <w:sz w:val="20"/>
              </w:rPr>
            </w:r>
            <w:r>
              <w:rPr>
                <w:sz w:val="20"/>
              </w:rPr>
              <w:t>Search-demand estimates remain qualified. No HP-003 starting measurement is supplied. Planned tracking events do not establish results.</w:t>
            </w:r>
          </w:p>
        </w:tc>
        <w:tc>
          <w:tcPr>
            <w:tcW w:type="dxa" w:w="3528"/>
            <w:shd w:fill="F2F5F8"/>
            <w:vAlign w:val="center"/>
            <w:tcMar>
              <w:top w:w="75" w:type="dxa"/>
              <w:bottom w:w="75" w:type="dxa"/>
              <w:left w:w="90" w:type="dxa"/>
              <w:right w:w="90" w:type="dxa"/>
            </w:tcMar>
          </w:tcPr>
          <w:p>
            <w:pPr>
              <w:spacing w:before="0" w:after="40" w:line="250" w:lineRule="auto"/>
            </w:pPr>
            <w:r>
              <w:rPr>
                <w:sz w:val="20"/>
              </w:rPr>
            </w:r>
            <w:r>
              <w:rPr>
                <w:sz w:val="20"/>
              </w:rPr>
              <w:t>Analytics and AI Visibility confirm definitions and observations; Strategy owns targets (I11).</w:t>
            </w:r>
          </w:p>
        </w:tc>
        <w:tc>
          <w:tcPr>
            <w:tcW w:type="dxa" w:w="1238"/>
            <w:shd w:fill="F2F5F8"/>
            <w:vAlign w:val="center"/>
            <w:tcMar>
              <w:top w:w="75" w:type="dxa"/>
              <w:bottom w:w="75" w:type="dxa"/>
              <w:left w:w="90" w:type="dxa"/>
              <w:right w:w="90" w:type="dxa"/>
            </w:tcMar>
          </w:tcPr>
          <w:p>
            <w:pPr>
              <w:spacing w:before="0" w:after="40" w:line="250" w:lineRule="auto"/>
            </w:pPr>
            <w:r>
              <w:rPr>
                <w:sz w:val="20"/>
              </w:rPr>
            </w:r>
            <w:r>
              <w:rPr>
                <w:sz w:val="20"/>
              </w:rPr>
              <w:t>Retained; OPEN</w:t>
            </w:r>
          </w:p>
        </w:tc>
      </w:tr>
      <w:tr>
        <w:trPr>
          <w:cantSplit/>
        </w:trPr>
        <w:tc>
          <w:tcPr>
            <w:tcW w:type="dxa" w:w="619"/>
            <w:vAlign w:val="center"/>
            <w:tcMar>
              <w:top w:w="75" w:type="dxa"/>
              <w:bottom w:w="75" w:type="dxa"/>
              <w:left w:w="90" w:type="dxa"/>
              <w:right w:w="90" w:type="dxa"/>
            </w:tcMar>
          </w:tcPr>
          <w:p>
            <w:pPr>
              <w:keepNext/>
              <w:spacing w:before="0" w:after="40" w:line="250" w:lineRule="auto"/>
            </w:pPr>
            <w:r>
              <w:rPr>
                <w:sz w:val="20"/>
              </w:rPr>
            </w:r>
            <w:r>
              <w:rPr>
                <w:sz w:val="20"/>
              </w:rPr>
              <w:t>F13</w:t>
            </w:r>
          </w:p>
        </w:tc>
        <w:tc>
          <w:tcPr>
            <w:tcW w:type="dxa" w:w="1584"/>
            <w:vAlign w:val="center"/>
            <w:tcMar>
              <w:top w:w="75" w:type="dxa"/>
              <w:bottom w:w="75" w:type="dxa"/>
              <w:left w:w="90" w:type="dxa"/>
              <w:right w:w="90" w:type="dxa"/>
            </w:tcMar>
          </w:tcPr>
          <w:p>
            <w:pPr>
              <w:keepNext/>
              <w:spacing w:before="0" w:after="40" w:line="250" w:lineRule="auto"/>
            </w:pPr>
            <w:r>
              <w:rPr>
                <w:sz w:val="20"/>
              </w:rPr>
            </w:r>
            <w:r>
              <w:rPr>
                <w:sz w:val="20"/>
              </w:rPr>
              <w:t>Page addresses, links and old content.</w:t>
            </w:r>
          </w:p>
        </w:tc>
        <w:tc>
          <w:tcPr>
            <w:tcW w:type="dxa" w:w="3312"/>
            <w:vAlign w:val="center"/>
            <w:tcMar>
              <w:top w:w="75" w:type="dxa"/>
              <w:bottom w:w="75" w:type="dxa"/>
              <w:left w:w="90" w:type="dxa"/>
              <w:right w:w="90" w:type="dxa"/>
            </w:tcMar>
          </w:tcPr>
          <w:p>
            <w:pPr>
              <w:keepNext/>
              <w:spacing w:before="0" w:after="40" w:line="250" w:lineRule="auto"/>
            </w:pPr>
            <w:r>
              <w:rPr>
                <w:sz w:val="20"/>
              </w:rPr>
            </w:r>
            <w:r>
              <w:rPr>
                <w:sz w:val="20"/>
              </w:rPr>
              <w:t>The Content Package records /house-party-ideas; the Architecture workbook specifies /house-party/ideas/. No separate approval resolves this.</w:t>
            </w:r>
          </w:p>
        </w:tc>
        <w:tc>
          <w:tcPr>
            <w:tcW w:type="dxa" w:w="3528"/>
            <w:vAlign w:val="center"/>
            <w:tcMar>
              <w:top w:w="75" w:type="dxa"/>
              <w:bottom w:w="75" w:type="dxa"/>
              <w:left w:w="90" w:type="dxa"/>
              <w:right w:w="90" w:type="dxa"/>
            </w:tcMar>
          </w:tcPr>
          <w:p>
            <w:pPr>
              <w:keepNext/>
              <w:spacing w:before="0" w:after="40" w:line="250" w:lineRule="auto"/>
            </w:pPr>
            <w:r>
              <w:rPr>
                <w:sz w:val="20"/>
              </w:rPr>
            </w:r>
            <w:r>
              <w:rPr>
                <w:sz w:val="20"/>
              </w:rPr>
              <w:t>Strategy, Arnav and Technical SEO confirm the preferred address, links, old-content treatment and forwarding tests (I10).</w:t>
            </w:r>
          </w:p>
        </w:tc>
        <w:tc>
          <w:tcPr>
            <w:tcW w:type="dxa" w:w="1238"/>
            <w:vAlign w:val="center"/>
            <w:tcMar>
              <w:top w:w="75" w:type="dxa"/>
              <w:bottom w:w="75" w:type="dxa"/>
              <w:left w:w="90" w:type="dxa"/>
              <w:right w:w="90" w:type="dxa"/>
            </w:tcMar>
          </w:tcPr>
          <w:p>
            <w:pPr>
              <w:keepNext/>
              <w:spacing w:before="0" w:after="40" w:line="250" w:lineRule="auto"/>
            </w:pPr>
            <w:r>
              <w:rPr>
                <w:sz w:val="20"/>
              </w:rPr>
            </w:r>
            <w:r>
              <w:rPr>
                <w:sz w:val="20"/>
              </w:rPr>
              <w:t>Refined; decision held</w:t>
            </w:r>
          </w:p>
        </w:tc>
      </w:tr>
      <w:tr>
        <w:trPr>
          <w:cantSplit/>
        </w:trPr>
        <w:tc>
          <w:tcPr>
            <w:tcW w:type="dxa" w:w="619"/>
            <w:shd w:fill="F2F5F8"/>
            <w:vAlign w:val="center"/>
            <w:tcMar>
              <w:top w:w="75" w:type="dxa"/>
              <w:bottom w:w="75" w:type="dxa"/>
              <w:left w:w="90" w:type="dxa"/>
              <w:right w:w="90" w:type="dxa"/>
            </w:tcMar>
          </w:tcPr>
          <w:p>
            <w:pPr>
              <w:keepNext/>
              <w:spacing w:before="0" w:after="40" w:line="250" w:lineRule="auto"/>
            </w:pPr>
            <w:r>
              <w:rPr>
                <w:sz w:val="20"/>
              </w:rPr>
            </w:r>
            <w:r>
              <w:rPr>
                <w:sz w:val="20"/>
              </w:rPr>
              <w:t>F14</w:t>
            </w:r>
          </w:p>
        </w:tc>
        <w:tc>
          <w:tcPr>
            <w:tcW w:type="dxa" w:w="1584"/>
            <w:shd w:fill="F2F5F8"/>
            <w:vAlign w:val="center"/>
            <w:tcMar>
              <w:top w:w="75" w:type="dxa"/>
              <w:bottom w:w="75" w:type="dxa"/>
              <w:left w:w="90" w:type="dxa"/>
              <w:right w:w="90" w:type="dxa"/>
            </w:tcMar>
          </w:tcPr>
          <w:p>
            <w:pPr>
              <w:keepNext/>
              <w:spacing w:before="0" w:after="40" w:line="250" w:lineRule="auto"/>
            </w:pPr>
            <w:r>
              <w:rPr>
                <w:sz w:val="20"/>
              </w:rPr>
            </w:r>
            <w:r>
              <w:rPr>
                <w:sz w:val="20"/>
              </w:rPr>
              <w:t>Possible external citations and links.</w:t>
            </w:r>
          </w:p>
        </w:tc>
        <w:tc>
          <w:tcPr>
            <w:tcW w:type="dxa" w:w="3312"/>
            <w:shd w:fill="F2F5F8"/>
            <w:vAlign w:val="center"/>
            <w:tcMar>
              <w:top w:w="75" w:type="dxa"/>
              <w:bottom w:w="75" w:type="dxa"/>
              <w:left w:w="90" w:type="dxa"/>
              <w:right w:w="90" w:type="dxa"/>
            </w:tcMar>
          </w:tcPr>
          <w:p>
            <w:pPr>
              <w:keepNext/>
              <w:spacing w:before="0" w:after="40" w:line="250" w:lineRule="auto"/>
            </w:pPr>
            <w:r>
              <w:rPr>
                <w:sz w:val="20"/>
              </w:rPr>
            </w:r>
            <w:r>
              <w:rPr>
                <w:sz w:val="20"/>
              </w:rPr>
              <w:t>No external citation, backlink or media audit was supplied. This is an opportunity, not proof of a weakness or a barrier to drafting.</w:t>
            </w:r>
          </w:p>
        </w:tc>
        <w:tc>
          <w:tcPr>
            <w:tcW w:type="dxa" w:w="3528"/>
            <w:shd w:fill="F2F5F8"/>
            <w:vAlign w:val="center"/>
            <w:tcMar>
              <w:top w:w="75" w:type="dxa"/>
              <w:bottom w:w="75" w:type="dxa"/>
              <w:left w:w="90" w:type="dxa"/>
              <w:right w:w="90" w:type="dxa"/>
            </w:tcMar>
          </w:tcPr>
          <w:p>
            <w:pPr>
              <w:keepNext/>
              <w:spacing w:before="0" w:after="40" w:line="250" w:lineRule="auto"/>
            </w:pPr>
            <w:r>
              <w:rPr>
                <w:sz w:val="20"/>
              </w:rPr>
            </w:r>
            <w:r>
              <w:rPr>
                <w:sz w:val="20"/>
              </w:rPr>
              <w:t>Specialists assess an evidence-backed asset and review each deliverable before it is combined with others (I12).</w:t>
            </w:r>
          </w:p>
        </w:tc>
        <w:tc>
          <w:tcPr>
            <w:tcW w:type="dxa" w:w="1238"/>
            <w:shd w:fill="F2F5F8"/>
            <w:vAlign w:val="center"/>
            <w:tcMar>
              <w:top w:w="75" w:type="dxa"/>
              <w:bottom w:w="75" w:type="dxa"/>
              <w:left w:w="90" w:type="dxa"/>
              <w:right w:w="90" w:type="dxa"/>
            </w:tcMar>
          </w:tcPr>
          <w:p>
            <w:pPr>
              <w:keepNext/>
              <w:spacing w:before="0" w:after="40" w:line="250" w:lineRule="auto"/>
            </w:pPr>
            <w:r>
              <w:rPr>
                <w:sz w:val="20"/>
              </w:rPr>
            </w:r>
            <w:r>
              <w:rPr>
                <w:sz w:val="20"/>
              </w:rPr>
              <w:t>Retained</w:t>
            </w:r>
          </w:p>
        </w:tc>
      </w:tr>
      <w:tr>
        <w:trPr>
          <w:cantSplit/>
        </w:trPr>
        <w:tc>
          <w:tcPr>
            <w:tcW w:type="dxa" w:w="619"/>
            <w:vAlign w:val="center"/>
            <w:tcMar>
              <w:top w:w="75" w:type="dxa"/>
              <w:bottom w:w="75" w:type="dxa"/>
              <w:left w:w="90" w:type="dxa"/>
              <w:right w:w="90" w:type="dxa"/>
            </w:tcMar>
          </w:tcPr>
          <w:p>
            <w:pPr>
              <w:spacing w:before="0" w:after="40" w:line="250" w:lineRule="auto"/>
            </w:pPr>
            <w:r>
              <w:rPr>
                <w:sz w:val="20"/>
              </w:rPr>
            </w:r>
            <w:r>
              <w:rPr>
                <w:sz w:val="20"/>
              </w:rPr>
              <w:t>F15</w:t>
            </w:r>
          </w:p>
        </w:tc>
        <w:tc>
          <w:tcPr>
            <w:tcW w:type="dxa" w:w="1584"/>
            <w:vAlign w:val="center"/>
            <w:tcMar>
              <w:top w:w="75" w:type="dxa"/>
              <w:bottom w:w="75" w:type="dxa"/>
              <w:left w:w="90" w:type="dxa"/>
              <w:right w:w="90" w:type="dxa"/>
            </w:tcMar>
          </w:tcPr>
          <w:p>
            <w:pPr>
              <w:spacing w:before="0" w:after="40" w:line="250" w:lineRule="auto"/>
            </w:pPr>
            <w:r>
              <w:rPr>
                <w:sz w:val="20"/>
              </w:rPr>
            </w:r>
            <w:r>
              <w:rPr>
                <w:sz w:val="20"/>
              </w:rPr>
              <w:t>Developed content and review.</w:t>
            </w:r>
          </w:p>
        </w:tc>
        <w:tc>
          <w:tcPr>
            <w:tcW w:type="dxa" w:w="3312"/>
            <w:vAlign w:val="center"/>
            <w:tcMar>
              <w:top w:w="75" w:type="dxa"/>
              <w:bottom w:w="75" w:type="dxa"/>
              <w:left w:w="90" w:type="dxa"/>
              <w:right w:w="90" w:type="dxa"/>
            </w:tcMar>
          </w:tcPr>
          <w:p>
            <w:pPr>
              <w:spacing w:before="0" w:after="40" w:line="250" w:lineRule="auto"/>
            </w:pPr>
            <w:r>
              <w:rPr>
                <w:sz w:val="20"/>
              </w:rPr>
            </w:r>
            <w:r>
              <w:rPr>
                <w:sz w:val="20"/>
              </w:rPr>
              <w:t>A draft and source list now exist. Reviewer identity, final factual checks and website implementation remain unverified.</w:t>
            </w:r>
          </w:p>
        </w:tc>
        <w:tc>
          <w:tcPr>
            <w:tcW w:type="dxa" w:w="3528"/>
            <w:vAlign w:val="center"/>
            <w:tcMar>
              <w:top w:w="75" w:type="dxa"/>
              <w:bottom w:w="75" w:type="dxa"/>
              <w:left w:w="90" w:type="dxa"/>
              <w:right w:w="90" w:type="dxa"/>
            </w:tcMar>
          </w:tcPr>
          <w:p>
            <w:pPr>
              <w:spacing w:before="0" w:after="40" w:line="250" w:lineRule="auto"/>
            </w:pPr>
            <w:r>
              <w:rPr>
                <w:sz w:val="20"/>
              </w:rPr>
            </w:r>
            <w:r>
              <w:rPr>
                <w:sz w:val="20"/>
              </w:rPr>
              <w:t>Arnav returns revised content and its source map. The client names the reviewer; Technical SEO tests implementation. Human approval remains required (I13/I14).</w:t>
            </w:r>
          </w:p>
        </w:tc>
        <w:tc>
          <w:tcPr>
            <w:tcW w:type="dxa" w:w="1238"/>
            <w:vAlign w:val="center"/>
            <w:tcMar>
              <w:top w:w="75" w:type="dxa"/>
              <w:bottom w:w="75" w:type="dxa"/>
              <w:left w:w="90" w:type="dxa"/>
              <w:right w:w="90" w:type="dxa"/>
            </w:tcMar>
          </w:tcPr>
          <w:p>
            <w:pPr>
              <w:spacing w:before="0" w:after="40" w:line="250" w:lineRule="auto"/>
            </w:pPr>
            <w:r>
              <w:rPr>
                <w:sz w:val="20"/>
              </w:rPr>
            </w:r>
            <w:r>
              <w:rPr>
                <w:sz w:val="20"/>
              </w:rPr>
              <w:t>Refined; gate OPEN</w:t>
            </w:r>
          </w:p>
        </w:tc>
      </w:tr>
    </w:tbl>
    <w:p>
      <w:pPr>
        <w:pStyle w:val="Heading1"/>
        <w:keepNext/>
        <w:keepLines/>
        <w:pageBreakBefore w:val="0"/>
      </w:pPr>
      <w:r>
        <w:rPr>
          <w:color w:val="000000"/>
        </w:rPr>
        <w:t>4 Authority Manager AI Agent Improvements and Validation</w:t>
      </w:r>
    </w:p>
    <w:p>
      <w:pPr>
        <w:pStyle w:val="Heading2"/>
        <w:keepNext/>
        <w:keepLines/>
      </w:pPr>
      <w:r>
        <w:rPr>
          <w:color w:val="000000"/>
        </w:rPr>
        <w:t>4.1 Weaknesses identified in the HP-001 review</w:t>
      </w:r>
    </w:p>
    <w:p>
      <w:pPr>
        <w:keepLines/>
      </w:pPr>
      <w:r>
        <w:t xml:space="preserve">The HP-001 Agent Review records five observed weaknesses. </w:t>
      </w:r>
      <w:r>
        <w:rPr>
          <w:b/>
        </w:rPr>
        <w:t>O1:</w:t>
      </w:r>
      <w:r>
        <w:t xml:space="preserve"> findings were difficult to locate as complete records. </w:t>
      </w:r>
      <w:r>
        <w:rPr>
          <w:b/>
        </w:rPr>
        <w:t>O2:</w:t>
      </w:r>
      <w:r>
        <w:t xml:space="preserve"> planning requirements could appear to verify business operations. </w:t>
      </w:r>
      <w:r>
        <w:rPr>
          <w:b/>
        </w:rPr>
        <w:t>O3:</w:t>
      </w:r>
      <w:r>
        <w:t xml:space="preserve"> actions were repeated. </w:t>
      </w:r>
      <w:r>
        <w:rPr>
          <w:b/>
        </w:rPr>
        <w:t>O4:</w:t>
      </w:r>
      <w:r>
        <w:t xml:space="preserve"> priorities were not clearly labelled provisional. </w:t>
      </w:r>
      <w:r>
        <w:rPr>
          <w:b/>
        </w:rPr>
        <w:t>O5:</w:t>
      </w:r>
      <w:r>
        <w:t xml:space="preserve"> readiness and accountability details were incomplete, possibly because inputs were missing. The separate </w:t>
      </w:r>
      <w:r>
        <w:rPr>
          <w:b/>
        </w:rPr>
        <w:t>D1–D9</w:t>
      </w:r>
      <w:r>
        <w:t xml:space="preserve"> records identify possible gaps in instructions or working controls; they are not all proven Agent failures.</w:t>
      </w:r>
    </w:p>
    <w:p>
      <w:pPr>
        <w:pStyle w:val="Heading2"/>
        <w:keepNext/>
        <w:keepLines/>
      </w:pPr>
      <w:r>
        <w:rPr>
          <w:color w:val="000000"/>
        </w:rPr>
        <w:t>4.2 Improvements made</w:t>
      </w:r>
    </w:p>
    <w:p>
      <w:pPr>
        <w:keepLines/>
      </w:pPr>
      <w:r>
        <w:t>The original instruction was “Your role is to be the Authority Manager AI Agent in ViriVr’s Digital Marketing Team.” The project owner replaced it with expanded Project Instructions. These separate review stages, require consistent finding IDs and evidence labels, and define source checks, responsibilities, specialist review and human decisions. The implementation date and instruction version are unrecorded. No separate record confirms which configuration was in use.</w:t>
      </w:r>
    </w:p>
    <w:p>
      <w:pPr>
        <w:keepLines/>
      </w:pPr>
      <w:r>
        <w:t>The table distinguishes instructions that were added from behaviour demonstrated in the available work. A written requirement alone does not prove that the Agent can apply it consistently.</w:t>
      </w:r>
    </w:p>
    <w:p>
      <w:pPr>
        <w:pStyle w:val="Heading2"/>
        <w:keepNext/>
        <w:keepLines/>
      </w:pPr>
      <w:r>
        <w:rPr>
          <w:color w:val="000000"/>
        </w:rPr>
        <w:t>4.3 What the HP-002 and HP-003 work demonstrates</w:t>
      </w:r>
    </w:p>
    <w:p>
      <w:pPr>
        <w:keepLines/>
      </w:pPr>
      <w:r>
        <w:t>The controlled HP-002 test assessed hypothetical claims about coverage, the booking checker, insurance, age suitability and a universal customer experience. It produced HP2-T01–HP2-T05. Insurance and age were separated because they need different evidence. The HP-002 Authority Evidence Report contains twelve actual assessment findings. These records show how the Agent assessed claims; they do not verify Viri VR’s 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93"/>
        <w:gridCol w:w="2189"/>
        <w:gridCol w:w="3859"/>
        <w:gridCol w:w="1440"/>
        <w:gridCol w:w="1901"/>
      </w:tblGrid>
      <w:tr>
        <w:trPr>
          <w:tblHeader/>
        </w:trPr>
        <w:tc>
          <w:tcPr>
            <w:tcW w:type="dxa" w:w="893"/>
            <w:shd w:fill="243B53"/>
            <w:vAlign w:val="center"/>
            <w:tcMar>
              <w:top w:w="75" w:type="dxa"/>
              <w:bottom w:w="75" w:type="dxa"/>
              <w:left w:w="90" w:type="dxa"/>
              <w:right w:w="90" w:type="dxa"/>
            </w:tcMar>
          </w:tcPr>
          <w:p>
            <w:pPr>
              <w:keepNext/>
              <w:spacing w:before="0" w:after="40" w:line="250" w:lineRule="auto"/>
            </w:pPr>
            <w:r>
              <w:rPr>
                <w:b/>
                <w:color w:val="FFFFFF"/>
                <w:sz w:val="20"/>
              </w:rPr>
            </w:r>
            <w:r>
              <w:rPr>
                <w:b/>
                <w:color w:val="FFFFFF"/>
                <w:sz w:val="20"/>
              </w:rPr>
              <w:t>ID</w:t>
            </w:r>
          </w:p>
        </w:tc>
        <w:tc>
          <w:tcPr>
            <w:tcW w:type="dxa" w:w="2189"/>
            <w:shd w:fill="243B53"/>
            <w:vAlign w:val="center"/>
            <w:tcMar>
              <w:top w:w="75" w:type="dxa"/>
              <w:bottom w:w="75" w:type="dxa"/>
              <w:left w:w="90" w:type="dxa"/>
              <w:right w:w="90" w:type="dxa"/>
            </w:tcMar>
          </w:tcPr>
          <w:p>
            <w:pPr>
              <w:keepNext/>
              <w:spacing w:before="0" w:after="40" w:line="250" w:lineRule="auto"/>
            </w:pPr>
            <w:r>
              <w:rPr>
                <w:b/>
                <w:color w:val="FFFFFF"/>
                <w:sz w:val="20"/>
              </w:rPr>
            </w:r>
            <w:r>
              <w:rPr>
                <w:b/>
                <w:color w:val="FFFFFF"/>
                <w:sz w:val="20"/>
              </w:rPr>
              <w:t>Instruction improvement</w:t>
            </w:r>
          </w:p>
        </w:tc>
        <w:tc>
          <w:tcPr>
            <w:tcW w:type="dxa" w:w="3859"/>
            <w:shd w:fill="243B53"/>
            <w:vAlign w:val="center"/>
            <w:tcMar>
              <w:top w:w="75" w:type="dxa"/>
              <w:bottom w:w="75" w:type="dxa"/>
              <w:left w:w="90" w:type="dxa"/>
              <w:right w:w="90" w:type="dxa"/>
            </w:tcMar>
          </w:tcPr>
          <w:p>
            <w:pPr>
              <w:keepNext/>
              <w:spacing w:before="0" w:after="40" w:line="250" w:lineRule="auto"/>
            </w:pPr>
            <w:r>
              <w:rPr>
                <w:b/>
                <w:color w:val="FFFFFF"/>
                <w:sz w:val="20"/>
              </w:rPr>
            </w:r>
            <w:r>
              <w:rPr>
                <w:b/>
                <w:color w:val="FFFFFF"/>
                <w:sz w:val="20"/>
              </w:rPr>
              <w:t>Evidence and observed result</w:t>
            </w:r>
          </w:p>
        </w:tc>
        <w:tc>
          <w:tcPr>
            <w:tcW w:type="dxa" w:w="1440"/>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Validation</w:t>
            </w:r>
          </w:p>
        </w:tc>
        <w:tc>
          <w:tcPr>
            <w:tcW w:type="dxa" w:w="1901"/>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Remaining action</w:t>
            </w:r>
          </w:p>
        </w:tc>
      </w:tr>
      <w:tr>
        <w:trPr>
          <w:cantSplit/>
        </w:trPr>
        <w:tc>
          <w:tcPr>
            <w:tcW w:type="dxa" w:w="893"/>
            <w:vAlign w:val="center"/>
            <w:tcMar>
              <w:top w:w="75" w:type="dxa"/>
              <w:bottom w:w="75" w:type="dxa"/>
              <w:left w:w="90" w:type="dxa"/>
              <w:right w:w="90" w:type="dxa"/>
            </w:tcMar>
          </w:tcPr>
          <w:p>
            <w:pPr>
              <w:keepNext/>
              <w:spacing w:before="0" w:after="40" w:line="250" w:lineRule="auto"/>
            </w:pPr>
            <w:r>
              <w:rPr>
                <w:rFonts w:ascii="Calibri" w:hAnsi="Calibri"/>
                <w:sz w:val="20"/>
              </w:rPr>
              <w:t>D1</w:t>
            </w:r>
          </w:p>
        </w:tc>
        <w:tc>
          <w:tcPr>
            <w:tcW w:type="dxa" w:w="2189"/>
            <w:vAlign w:val="center"/>
            <w:tcMar>
              <w:top w:w="75" w:type="dxa"/>
              <w:bottom w:w="75" w:type="dxa"/>
              <w:left w:w="90" w:type="dxa"/>
              <w:right w:w="90" w:type="dxa"/>
            </w:tcMar>
          </w:tcPr>
          <w:p>
            <w:pPr>
              <w:keepNext/>
              <w:spacing w:before="0" w:after="40" w:line="250" w:lineRule="auto"/>
            </w:pPr>
            <w:r>
              <w:rPr>
                <w:sz w:val="20"/>
              </w:rPr>
            </w:r>
            <w:r>
              <w:rPr>
                <w:sz w:val="20"/>
              </w:rPr>
              <w:t>Separate reviews before content development, of completed content, of specialist work and of Agent changes.</w:t>
            </w:r>
          </w:p>
        </w:tc>
        <w:tc>
          <w:tcPr>
            <w:tcW w:type="dxa" w:w="3859"/>
            <w:vAlign w:val="center"/>
            <w:tcMar>
              <w:top w:w="75" w:type="dxa"/>
              <w:bottom w:w="75" w:type="dxa"/>
              <w:left w:w="90" w:type="dxa"/>
              <w:right w:w="90" w:type="dxa"/>
            </w:tcMar>
          </w:tcPr>
          <w:p>
            <w:pPr>
              <w:keepNext/>
              <w:spacing w:before="0" w:after="40" w:line="250" w:lineRule="auto"/>
            </w:pPr>
            <w:r>
              <w:rPr>
                <w:sz w:val="20"/>
              </w:rPr>
            </w:r>
            <w:r>
              <w:rPr>
                <w:sz w:val="20"/>
              </w:rPr>
              <w:t>The controlled test and HP-002 Authority Evidence Report used pre-development reviews. The later draft review and HP-003 refinements stayed within their respective stages.</w:t>
            </w:r>
          </w:p>
        </w:tc>
        <w:tc>
          <w:tcPr>
            <w:tcW w:type="dxa" w:w="1440"/>
            <w:vAlign w:val="center"/>
            <w:tcMar>
              <w:top w:w="75" w:type="dxa"/>
              <w:bottom w:w="75" w:type="dxa"/>
              <w:left w:w="90" w:type="dxa"/>
              <w:right w:w="90" w:type="dxa"/>
            </w:tcMar>
          </w:tcPr>
          <w:p>
            <w:pPr>
              <w:keepNext/>
              <w:spacing w:before="0" w:after="40" w:line="250" w:lineRule="auto"/>
            </w:pPr>
            <w:r>
              <w:rPr>
                <w:rFonts w:ascii="Calibri" w:hAnsi="Calibri"/>
                <w:sz w:val="20"/>
              </w:rPr>
              <w:t>Demonstrated</w:t>
            </w:r>
          </w:p>
        </w:tc>
        <w:tc>
          <w:tcPr>
            <w:tcW w:type="dxa" w:w="1901"/>
            <w:vAlign w:val="center"/>
            <w:tcMar>
              <w:top w:w="75" w:type="dxa"/>
              <w:bottom w:w="75" w:type="dxa"/>
              <w:left w:w="90" w:type="dxa"/>
              <w:right w:w="90" w:type="dxa"/>
            </w:tcMar>
          </w:tcPr>
          <w:p>
            <w:pPr>
              <w:keepNext/>
              <w:spacing w:before="0" w:after="40" w:line="250" w:lineRule="auto"/>
            </w:pPr>
            <w:r>
              <w:rPr>
                <w:sz w:val="20"/>
              </w:rPr>
            </w:r>
            <w:r>
              <w:rPr>
                <w:sz w:val="20"/>
              </w:rPr>
              <w:t>Review the working webpage when supplied.</w:t>
            </w:r>
          </w:p>
        </w:tc>
      </w:tr>
      <w:tr>
        <w:trPr>
          <w:cantSplit/>
        </w:trPr>
        <w:tc>
          <w:tcPr>
            <w:tcW w:type="dxa" w:w="893"/>
            <w:shd w:fill="F2F5F8"/>
            <w:vAlign w:val="center"/>
            <w:tcMar>
              <w:top w:w="75" w:type="dxa"/>
              <w:bottom w:w="75" w:type="dxa"/>
              <w:left w:w="90" w:type="dxa"/>
              <w:right w:w="90" w:type="dxa"/>
            </w:tcMar>
          </w:tcPr>
          <w:p>
            <w:pPr>
              <w:keepNext/>
              <w:spacing w:before="0" w:after="40" w:line="250" w:lineRule="auto"/>
            </w:pPr>
            <w:r>
              <w:rPr>
                <w:rFonts w:ascii="Calibri" w:hAnsi="Calibri"/>
                <w:sz w:val="20"/>
              </w:rPr>
              <w:t>O1 / D2</w:t>
            </w:r>
          </w:p>
        </w:tc>
        <w:tc>
          <w:tcPr>
            <w:tcW w:type="dxa" w:w="2189"/>
            <w:shd w:fill="F2F5F8"/>
            <w:vAlign w:val="center"/>
            <w:tcMar>
              <w:top w:w="75" w:type="dxa"/>
              <w:bottom w:w="75" w:type="dxa"/>
              <w:left w:w="90" w:type="dxa"/>
              <w:right w:w="90" w:type="dxa"/>
            </w:tcMar>
          </w:tcPr>
          <w:p>
            <w:pPr>
              <w:keepNext/>
              <w:spacing w:before="0" w:after="40" w:line="250" w:lineRule="auto"/>
            </w:pPr>
            <w:r>
              <w:rPr>
                <w:sz w:val="20"/>
              </w:rPr>
            </w:r>
            <w:r>
              <w:rPr>
                <w:sz w:val="20"/>
              </w:rPr>
              <w:t>Keep consistent finding IDs, sources, statuses, actions and owners.</w:t>
            </w:r>
          </w:p>
        </w:tc>
        <w:tc>
          <w:tcPr>
            <w:tcW w:type="dxa" w:w="3859"/>
            <w:shd w:fill="F2F5F8"/>
            <w:vAlign w:val="center"/>
            <w:tcMar>
              <w:top w:w="75" w:type="dxa"/>
              <w:bottom w:w="75" w:type="dxa"/>
              <w:left w:w="90" w:type="dxa"/>
              <w:right w:w="90" w:type="dxa"/>
            </w:tcMar>
          </w:tcPr>
          <w:p>
            <w:pPr>
              <w:keepNext/>
              <w:spacing w:before="0" w:after="40" w:line="250" w:lineRule="auto"/>
            </w:pPr>
            <w:r>
              <w:rPr>
                <w:sz w:val="20"/>
              </w:rPr>
            </w:r>
            <w:r>
              <w:rPr>
                <w:sz w:val="20"/>
              </w:rPr>
              <w:t>Five test records and twelve HP-002 findings have identifiable references. Sections 2.2 and 3.6 preserve existing finding and handoff links.</w:t>
            </w:r>
          </w:p>
        </w:tc>
        <w:tc>
          <w:tcPr>
            <w:tcW w:type="dxa" w:w="1440"/>
            <w:shd w:fill="F2F5F8"/>
            <w:vAlign w:val="center"/>
            <w:tcMar>
              <w:top w:w="75" w:type="dxa"/>
              <w:bottom w:w="75" w:type="dxa"/>
              <w:left w:w="90" w:type="dxa"/>
              <w:right w:w="90" w:type="dxa"/>
            </w:tcMar>
          </w:tcPr>
          <w:p>
            <w:pPr>
              <w:keepNext/>
              <w:spacing w:before="0" w:after="40" w:line="250" w:lineRule="auto"/>
            </w:pPr>
            <w:r>
              <w:rPr>
                <w:rFonts w:ascii="Calibri" w:hAnsi="Calibri"/>
                <w:sz w:val="20"/>
              </w:rPr>
              <w:t>Demonstrated</w:t>
            </w:r>
          </w:p>
        </w:tc>
        <w:tc>
          <w:tcPr>
            <w:tcW w:type="dxa" w:w="1901"/>
            <w:shd w:fill="F2F5F8"/>
            <w:vAlign w:val="center"/>
            <w:tcMar>
              <w:top w:w="75" w:type="dxa"/>
              <w:bottom w:w="75" w:type="dxa"/>
              <w:left w:w="90" w:type="dxa"/>
              <w:right w:w="90" w:type="dxa"/>
            </w:tcMar>
          </w:tcPr>
          <w:p>
            <w:pPr>
              <w:keepNext/>
              <w:spacing w:before="0" w:after="40" w:line="250" w:lineRule="auto"/>
            </w:pPr>
            <w:r>
              <w:rPr>
                <w:sz w:val="20"/>
              </w:rPr>
            </w:r>
            <w:r>
              <w:rPr>
                <w:sz w:val="20"/>
              </w:rPr>
              <w:t>Complete sentence-level source mapping for the HP-003 Content Package.</w:t>
            </w:r>
          </w:p>
        </w:tc>
      </w:tr>
      <w:tr>
        <w:trPr>
          <w:cantSplit/>
        </w:trPr>
        <w:tc>
          <w:tcPr>
            <w:tcW w:type="dxa" w:w="893"/>
            <w:vAlign w:val="center"/>
            <w:tcMar>
              <w:top w:w="75" w:type="dxa"/>
              <w:bottom w:w="75" w:type="dxa"/>
              <w:left w:w="90" w:type="dxa"/>
              <w:right w:w="90" w:type="dxa"/>
            </w:tcMar>
          </w:tcPr>
          <w:p>
            <w:pPr>
              <w:spacing w:before="0" w:after="40" w:line="250" w:lineRule="auto"/>
            </w:pPr>
            <w:r>
              <w:rPr>
                <w:rFonts w:ascii="Calibri" w:hAnsi="Calibri"/>
                <w:sz w:val="20"/>
              </w:rPr>
              <w:t>O2 / D3</w:t>
            </w:r>
          </w:p>
        </w:tc>
        <w:tc>
          <w:tcPr>
            <w:tcW w:type="dxa" w:w="2189"/>
            <w:vAlign w:val="center"/>
            <w:tcMar>
              <w:top w:w="75" w:type="dxa"/>
              <w:bottom w:w="75" w:type="dxa"/>
              <w:left w:w="90" w:type="dxa"/>
              <w:right w:w="90" w:type="dxa"/>
            </w:tcMar>
          </w:tcPr>
          <w:p>
            <w:pPr>
              <w:spacing w:before="0" w:after="40" w:line="250" w:lineRule="auto"/>
            </w:pPr>
            <w:r>
              <w:rPr>
                <w:sz w:val="20"/>
              </w:rPr>
            </w:r>
            <w:r>
              <w:rPr>
                <w:sz w:val="20"/>
              </w:rPr>
              <w:t>Separate planning requirements from verified operations and label evidence clearly.</w:t>
            </w:r>
          </w:p>
        </w:tc>
        <w:tc>
          <w:tcPr>
            <w:tcW w:type="dxa" w:w="3859"/>
            <w:vAlign w:val="center"/>
            <w:tcMar>
              <w:top w:w="75" w:type="dxa"/>
              <w:bottom w:w="75" w:type="dxa"/>
              <w:left w:w="90" w:type="dxa"/>
              <w:right w:w="90" w:type="dxa"/>
            </w:tcMar>
          </w:tcPr>
          <w:p>
            <w:pPr>
              <w:spacing w:before="0" w:after="40" w:line="250" w:lineRule="auto"/>
            </w:pPr>
            <w:r>
              <w:rPr>
                <w:sz w:val="20"/>
              </w:rPr>
            </w:r>
            <w:r>
              <w:rPr>
                <w:sz w:val="20"/>
              </w:rPr>
              <w:t>HP2-F02–HP2-F10 keep operating claims held. The venue contradiction remains open. HP-003 limits service details and identifies unsupported qualitative claims.</w:t>
            </w:r>
          </w:p>
        </w:tc>
        <w:tc>
          <w:tcPr>
            <w:tcW w:type="dxa" w:w="1440"/>
            <w:vAlign w:val="center"/>
            <w:tcMar>
              <w:top w:w="75" w:type="dxa"/>
              <w:bottom w:w="75" w:type="dxa"/>
              <w:left w:w="90" w:type="dxa"/>
              <w:right w:w="90" w:type="dxa"/>
            </w:tcMar>
          </w:tcPr>
          <w:p>
            <w:pPr>
              <w:spacing w:before="0" w:after="40" w:line="250" w:lineRule="auto"/>
            </w:pPr>
            <w:r>
              <w:rPr>
                <w:rFonts w:ascii="Calibri" w:hAnsi="Calibri"/>
                <w:sz w:val="20"/>
              </w:rPr>
              <w:t>Demonstrated</w:t>
            </w:r>
          </w:p>
        </w:tc>
        <w:tc>
          <w:tcPr>
            <w:tcW w:type="dxa" w:w="1901"/>
            <w:vAlign w:val="center"/>
            <w:tcMar>
              <w:top w:w="75" w:type="dxa"/>
              <w:bottom w:w="75" w:type="dxa"/>
              <w:left w:w="90" w:type="dxa"/>
              <w:right w:w="90" w:type="dxa"/>
            </w:tcMar>
          </w:tcPr>
          <w:p>
            <w:pPr>
              <w:spacing w:before="0" w:after="40" w:line="250" w:lineRule="auto"/>
            </w:pPr>
            <w:r>
              <w:rPr>
                <w:sz w:val="20"/>
              </w:rPr>
            </w:r>
            <w:r>
              <w:rPr>
                <w:sz w:val="20"/>
              </w:rPr>
              <w:t>Obtain evidence supporting each claim before publication.</w:t>
            </w:r>
          </w:p>
        </w:tc>
      </w:tr>
      <w:tr>
        <w:trPr>
          <w:cantSplit/>
        </w:trPr>
        <w:tc>
          <w:tcPr>
            <w:tcW w:type="dxa" w:w="893"/>
            <w:shd w:fill="F2F5F8"/>
            <w:vAlign w:val="center"/>
            <w:tcMar>
              <w:top w:w="75" w:type="dxa"/>
              <w:bottom w:w="75" w:type="dxa"/>
              <w:left w:w="90" w:type="dxa"/>
              <w:right w:w="90" w:type="dxa"/>
            </w:tcMar>
          </w:tcPr>
          <w:p>
            <w:pPr>
              <w:spacing w:before="0" w:after="40" w:line="250" w:lineRule="auto"/>
            </w:pPr>
            <w:r>
              <w:rPr>
                <w:rFonts w:ascii="Calibri" w:hAnsi="Calibri"/>
                <w:sz w:val="20"/>
              </w:rPr>
              <w:t>O3</w:t>
            </w:r>
          </w:p>
        </w:tc>
        <w:tc>
          <w:tcPr>
            <w:tcW w:type="dxa" w:w="2189"/>
            <w:shd w:fill="F2F5F8"/>
            <w:vAlign w:val="center"/>
            <w:tcMar>
              <w:top w:w="75" w:type="dxa"/>
              <w:bottom w:w="75" w:type="dxa"/>
              <w:left w:w="90" w:type="dxa"/>
              <w:right w:w="90" w:type="dxa"/>
            </w:tcMar>
          </w:tcPr>
          <w:p>
            <w:pPr>
              <w:spacing w:before="0" w:after="40" w:line="250" w:lineRule="auto"/>
            </w:pPr>
            <w:r>
              <w:rPr>
                <w:sz w:val="20"/>
              </w:rPr>
            </w:r>
            <w:r>
              <w:rPr>
                <w:sz w:val="20"/>
              </w:rPr>
              <w:t>Keep the full analysis in one place and refer to its finding ID elsewhere.</w:t>
            </w:r>
          </w:p>
        </w:tc>
        <w:tc>
          <w:tcPr>
            <w:tcW w:type="dxa" w:w="3859"/>
            <w:shd w:fill="F2F5F8"/>
            <w:vAlign w:val="center"/>
            <w:tcMar>
              <w:top w:w="75" w:type="dxa"/>
              <w:bottom w:w="75" w:type="dxa"/>
              <w:left w:w="90" w:type="dxa"/>
              <w:right w:w="90" w:type="dxa"/>
            </w:tcMar>
          </w:tcPr>
          <w:p>
            <w:pPr>
              <w:spacing w:before="0" w:after="40" w:line="250" w:lineRule="auto"/>
            </w:pPr>
            <w:r>
              <w:rPr>
                <w:sz w:val="20"/>
              </w:rPr>
            </w:r>
            <w:r>
              <w:rPr>
                <w:sz w:val="20"/>
              </w:rPr>
              <w:t>HP-002 findings are cross-referenced and HP-003 IDs are reused. Repeated analysis has been condensed. No reduction in rework or improvement in performance has been measured.</w:t>
            </w:r>
          </w:p>
        </w:tc>
        <w:tc>
          <w:tcPr>
            <w:tcW w:type="dxa" w:w="1440"/>
            <w:shd w:fill="F2F5F8"/>
            <w:vAlign w:val="center"/>
            <w:tcMar>
              <w:top w:w="75" w:type="dxa"/>
              <w:bottom w:w="75" w:type="dxa"/>
              <w:left w:w="90" w:type="dxa"/>
              <w:right w:w="90" w:type="dxa"/>
            </w:tcMar>
          </w:tcPr>
          <w:p>
            <w:pPr>
              <w:spacing w:before="0" w:after="40" w:line="250" w:lineRule="auto"/>
            </w:pPr>
            <w:r>
              <w:rPr>
                <w:rFonts w:ascii="Calibri" w:hAnsi="Calibri"/>
                <w:sz w:val="20"/>
              </w:rPr>
              <w:t>Partially Validated</w:t>
            </w:r>
          </w:p>
        </w:tc>
        <w:tc>
          <w:tcPr>
            <w:tcW w:type="dxa" w:w="1901"/>
            <w:shd w:fill="F2F5F8"/>
            <w:vAlign w:val="center"/>
            <w:tcMar>
              <w:top w:w="75" w:type="dxa"/>
              <w:bottom w:w="75" w:type="dxa"/>
              <w:left w:w="90" w:type="dxa"/>
              <w:right w:w="90" w:type="dxa"/>
            </w:tcMar>
          </w:tcPr>
          <w:p>
            <w:pPr>
              <w:spacing w:before="0" w:after="40" w:line="250" w:lineRule="auto"/>
            </w:pPr>
            <w:r>
              <w:rPr>
                <w:sz w:val="20"/>
              </w:rPr>
            </w:r>
            <w:r>
              <w:rPr>
                <w:sz w:val="20"/>
              </w:rPr>
              <w:t>Check later revisions for duplicated actions.</w:t>
            </w:r>
          </w:p>
        </w:tc>
      </w:tr>
      <w:tr>
        <w:trPr>
          <w:cantSplit/>
        </w:trPr>
        <w:tc>
          <w:tcPr>
            <w:tcW w:type="dxa" w:w="893"/>
            <w:vAlign w:val="center"/>
            <w:tcMar>
              <w:top w:w="75" w:type="dxa"/>
              <w:bottom w:w="75" w:type="dxa"/>
              <w:left w:w="90" w:type="dxa"/>
              <w:right w:w="90" w:type="dxa"/>
            </w:tcMar>
          </w:tcPr>
          <w:p>
            <w:pPr>
              <w:spacing w:before="0" w:after="40" w:line="250" w:lineRule="auto"/>
            </w:pPr>
            <w:r>
              <w:rPr>
                <w:rFonts w:ascii="Calibri" w:hAnsi="Calibri"/>
                <w:sz w:val="20"/>
              </w:rPr>
              <w:t>O4 / D4</w:t>
            </w:r>
          </w:p>
        </w:tc>
        <w:tc>
          <w:tcPr>
            <w:tcW w:type="dxa" w:w="2189"/>
            <w:vAlign w:val="center"/>
            <w:tcMar>
              <w:top w:w="75" w:type="dxa"/>
              <w:bottom w:w="75" w:type="dxa"/>
              <w:left w:w="90" w:type="dxa"/>
              <w:right w:w="90" w:type="dxa"/>
            </w:tcMar>
          </w:tcPr>
          <w:p>
            <w:pPr>
              <w:spacing w:before="0" w:after="40" w:line="250" w:lineRule="auto"/>
            </w:pPr>
            <w:r>
              <w:rPr>
                <w:sz w:val="20"/>
              </w:rPr>
            </w:r>
            <w:r>
              <w:rPr>
                <w:sz w:val="20"/>
              </w:rPr>
              <w:t>Keep priorities provisional and reserve approval decisions for authorised people.</w:t>
            </w:r>
          </w:p>
        </w:tc>
        <w:tc>
          <w:tcPr>
            <w:tcW w:type="dxa" w:w="3859"/>
            <w:vAlign w:val="center"/>
            <w:tcMar>
              <w:top w:w="75" w:type="dxa"/>
              <w:bottom w:w="75" w:type="dxa"/>
              <w:left w:w="90" w:type="dxa"/>
              <w:right w:w="90" w:type="dxa"/>
            </w:tcMar>
          </w:tcPr>
          <w:p>
            <w:pPr>
              <w:spacing w:before="0" w:after="40" w:line="250" w:lineRule="auto"/>
            </w:pPr>
            <w:r>
              <w:rPr>
                <w:sz w:val="20"/>
              </w:rPr>
            </w:r>
            <w:r>
              <w:rPr>
                <w:sz w:val="20"/>
              </w:rPr>
              <w:t>Test and report labels use provisional priorities and preserve human approval. Actual approval decisions were not tested.</w:t>
            </w:r>
          </w:p>
        </w:tc>
        <w:tc>
          <w:tcPr>
            <w:tcW w:type="dxa" w:w="1440"/>
            <w:vAlign w:val="center"/>
            <w:tcMar>
              <w:top w:w="75" w:type="dxa"/>
              <w:bottom w:w="75" w:type="dxa"/>
              <w:left w:w="90" w:type="dxa"/>
              <w:right w:w="90" w:type="dxa"/>
            </w:tcMar>
          </w:tcPr>
          <w:p>
            <w:pPr>
              <w:spacing w:before="0" w:after="40" w:line="250" w:lineRule="auto"/>
            </w:pPr>
            <w:r>
              <w:rPr>
                <w:rFonts w:ascii="Calibri" w:hAnsi="Calibri"/>
                <w:sz w:val="20"/>
              </w:rPr>
              <w:t>Partially Validated</w:t>
            </w:r>
          </w:p>
        </w:tc>
        <w:tc>
          <w:tcPr>
            <w:tcW w:type="dxa" w:w="1901"/>
            <w:vAlign w:val="center"/>
            <w:tcMar>
              <w:top w:w="75" w:type="dxa"/>
              <w:bottom w:w="75" w:type="dxa"/>
              <w:left w:w="90" w:type="dxa"/>
              <w:right w:w="90" w:type="dxa"/>
            </w:tcMar>
          </w:tcPr>
          <w:p>
            <w:pPr>
              <w:spacing w:before="0" w:after="40" w:line="250" w:lineRule="auto"/>
            </w:pPr>
            <w:r>
              <w:rPr>
                <w:sz w:val="20"/>
              </w:rPr>
            </w:r>
            <w:r>
              <w:rPr>
                <w:sz w:val="20"/>
              </w:rPr>
              <w:t>Human owners confirm formal risk thresholds and decision rights.</w:t>
            </w:r>
          </w:p>
        </w:tc>
      </w:tr>
      <w:tr>
        <w:trPr>
          <w:cantSplit/>
        </w:trPr>
        <w:tc>
          <w:tcPr>
            <w:tcW w:type="dxa" w:w="893"/>
            <w:shd w:fill="F2F5F8"/>
            <w:vAlign w:val="center"/>
            <w:tcMar>
              <w:top w:w="75" w:type="dxa"/>
              <w:bottom w:w="75" w:type="dxa"/>
              <w:left w:w="90" w:type="dxa"/>
              <w:right w:w="90" w:type="dxa"/>
            </w:tcMar>
          </w:tcPr>
          <w:p>
            <w:pPr>
              <w:spacing w:before="0" w:after="40" w:line="250" w:lineRule="auto"/>
            </w:pPr>
            <w:r>
              <w:rPr>
                <w:rFonts w:ascii="Calibri" w:hAnsi="Calibri"/>
                <w:sz w:val="20"/>
              </w:rPr>
              <w:t>O5</w:t>
            </w:r>
          </w:p>
        </w:tc>
        <w:tc>
          <w:tcPr>
            <w:tcW w:type="dxa" w:w="2189"/>
            <w:shd w:fill="F2F5F8"/>
            <w:vAlign w:val="center"/>
            <w:tcMar>
              <w:top w:w="75" w:type="dxa"/>
              <w:bottom w:w="75" w:type="dxa"/>
              <w:left w:w="90" w:type="dxa"/>
              <w:right w:w="90" w:type="dxa"/>
            </w:tcMar>
          </w:tcPr>
          <w:p>
            <w:pPr>
              <w:spacing w:before="0" w:after="40" w:line="250" w:lineRule="auto"/>
            </w:pPr>
            <w:r>
              <w:rPr>
                <w:sz w:val="20"/>
              </w:rPr>
            </w:r>
            <w:r>
              <w:rPr>
                <w:sz w:val="20"/>
              </w:rPr>
              <w:t>Record missing inputs, responsibilities and conditions for progress.</w:t>
            </w:r>
          </w:p>
        </w:tc>
        <w:tc>
          <w:tcPr>
            <w:tcW w:type="dxa" w:w="3859"/>
            <w:shd w:fill="F2F5F8"/>
            <w:vAlign w:val="center"/>
            <w:tcMar>
              <w:top w:w="75" w:type="dxa"/>
              <w:bottom w:w="75" w:type="dxa"/>
              <w:left w:w="90" w:type="dxa"/>
              <w:right w:w="90" w:type="dxa"/>
            </w:tcMar>
          </w:tcPr>
          <w:p>
            <w:pPr>
              <w:spacing w:before="0" w:after="40" w:line="250" w:lineRule="auto"/>
            </w:pPr>
            <w:r>
              <w:rPr>
                <w:sz w:val="20"/>
              </w:rPr>
            </w:r>
            <w:r>
              <w:rPr>
                <w:sz w:val="20"/>
              </w:rPr>
              <w:t>The test identified missing information. Later reviews state owners, actions and conditions without inventing the absent details.</w:t>
            </w:r>
          </w:p>
        </w:tc>
        <w:tc>
          <w:tcPr>
            <w:tcW w:type="dxa" w:w="1440"/>
            <w:shd w:fill="F2F5F8"/>
            <w:vAlign w:val="center"/>
            <w:tcMar>
              <w:top w:w="75" w:type="dxa"/>
              <w:bottom w:w="75" w:type="dxa"/>
              <w:left w:w="90" w:type="dxa"/>
              <w:right w:w="90" w:type="dxa"/>
            </w:tcMar>
          </w:tcPr>
          <w:p>
            <w:pPr>
              <w:spacing w:before="0" w:after="40" w:line="250" w:lineRule="auto"/>
            </w:pPr>
            <w:r>
              <w:rPr>
                <w:rFonts w:ascii="Calibri" w:hAnsi="Calibri"/>
                <w:sz w:val="20"/>
              </w:rPr>
              <w:t>Demonstrated</w:t>
            </w:r>
          </w:p>
        </w:tc>
        <w:tc>
          <w:tcPr>
            <w:tcW w:type="dxa" w:w="1901"/>
            <w:shd w:fill="F2F5F8"/>
            <w:vAlign w:val="center"/>
            <w:tcMar>
              <w:top w:w="75" w:type="dxa"/>
              <w:bottom w:w="75" w:type="dxa"/>
              <w:left w:w="90" w:type="dxa"/>
              <w:right w:w="90" w:type="dxa"/>
            </w:tcMar>
          </w:tcPr>
          <w:p>
            <w:pPr>
              <w:spacing w:before="0" w:after="40" w:line="250" w:lineRule="auto"/>
            </w:pPr>
            <w:r>
              <w:rPr>
                <w:sz w:val="20"/>
              </w:rPr>
            </w:r>
            <w:r>
              <w:rPr>
                <w:sz w:val="20"/>
              </w:rPr>
              <w:t>Complete missing information when authorised inputs arrive.</w:t>
            </w:r>
          </w:p>
        </w:tc>
      </w:tr>
      <w:tr>
        <w:trPr>
          <w:cantSplit/>
        </w:trPr>
        <w:tc>
          <w:tcPr>
            <w:tcW w:type="dxa" w:w="893"/>
            <w:vAlign w:val="center"/>
            <w:tcMar>
              <w:top w:w="75" w:type="dxa"/>
              <w:bottom w:w="75" w:type="dxa"/>
              <w:left w:w="90" w:type="dxa"/>
              <w:right w:w="90" w:type="dxa"/>
            </w:tcMar>
          </w:tcPr>
          <w:p>
            <w:pPr>
              <w:spacing w:before="0" w:after="40" w:line="250" w:lineRule="auto"/>
            </w:pPr>
            <w:r>
              <w:rPr>
                <w:rFonts w:ascii="Calibri" w:hAnsi="Calibri"/>
                <w:sz w:val="20"/>
              </w:rPr>
              <w:t>D8</w:t>
            </w:r>
          </w:p>
        </w:tc>
        <w:tc>
          <w:tcPr>
            <w:tcW w:type="dxa" w:w="2189"/>
            <w:vAlign w:val="center"/>
            <w:tcMar>
              <w:top w:w="75" w:type="dxa"/>
              <w:bottom w:w="75" w:type="dxa"/>
              <w:left w:w="90" w:type="dxa"/>
              <w:right w:w="90" w:type="dxa"/>
            </w:tcMar>
          </w:tcPr>
          <w:p>
            <w:pPr>
              <w:spacing w:before="0" w:after="40" w:line="250" w:lineRule="auto"/>
            </w:pPr>
            <w:r>
              <w:rPr>
                <w:sz w:val="20"/>
              </w:rPr>
            </w:r>
            <w:r>
              <w:rPr>
                <w:sz w:val="20"/>
              </w:rPr>
              <w:t>Check whether sources are current and ask owners to reconfirm dated or conflicting records.</w:t>
            </w:r>
          </w:p>
        </w:tc>
        <w:tc>
          <w:tcPr>
            <w:tcW w:type="dxa" w:w="3859"/>
            <w:vAlign w:val="center"/>
            <w:tcMar>
              <w:top w:w="75" w:type="dxa"/>
              <w:bottom w:w="75" w:type="dxa"/>
              <w:left w:w="90" w:type="dxa"/>
              <w:right w:w="90" w:type="dxa"/>
            </w:tcMar>
          </w:tcPr>
          <w:p>
            <w:pPr>
              <w:spacing w:before="0" w:after="40" w:line="250" w:lineRule="auto"/>
            </w:pPr>
            <w:r>
              <w:rPr>
                <w:sz w:val="20"/>
              </w:rPr>
            </w:r>
            <w:r>
              <w:rPr>
                <w:sz w:val="20"/>
              </w:rPr>
              <w:t>Reviews request current maps, terms, dates and limits. Completed owner reconfirmation has not been demonstrated.</w:t>
            </w:r>
          </w:p>
        </w:tc>
        <w:tc>
          <w:tcPr>
            <w:tcW w:type="dxa" w:w="1440"/>
            <w:vAlign w:val="center"/>
            <w:tcMar>
              <w:top w:w="75" w:type="dxa"/>
              <w:bottom w:w="75" w:type="dxa"/>
              <w:left w:w="90" w:type="dxa"/>
              <w:right w:w="90" w:type="dxa"/>
            </w:tcMar>
          </w:tcPr>
          <w:p>
            <w:pPr>
              <w:spacing w:before="0" w:after="40" w:line="250" w:lineRule="auto"/>
            </w:pPr>
            <w:r>
              <w:rPr>
                <w:rFonts w:ascii="Calibri" w:hAnsi="Calibri"/>
                <w:sz w:val="20"/>
              </w:rPr>
              <w:t>Partially Validated</w:t>
            </w:r>
          </w:p>
        </w:tc>
        <w:tc>
          <w:tcPr>
            <w:tcW w:type="dxa" w:w="1901"/>
            <w:vAlign w:val="center"/>
            <w:tcMar>
              <w:top w:w="75" w:type="dxa"/>
              <w:bottom w:w="75" w:type="dxa"/>
              <w:left w:w="90" w:type="dxa"/>
              <w:right w:w="90" w:type="dxa"/>
            </w:tcMar>
          </w:tcPr>
          <w:p>
            <w:pPr>
              <w:spacing w:before="0" w:after="40" w:line="250" w:lineRule="auto"/>
            </w:pPr>
            <w:r>
              <w:rPr>
                <w:sz w:val="20"/>
              </w:rPr>
            </w:r>
            <w:r>
              <w:rPr>
                <w:sz w:val="20"/>
              </w:rPr>
              <w:t>Test the process with an actual dated business record.</w:t>
            </w:r>
          </w:p>
        </w:tc>
      </w:tr>
      <w:tr>
        <w:trPr>
          <w:cantSplit/>
        </w:trPr>
        <w:tc>
          <w:tcPr>
            <w:tcW w:type="dxa" w:w="893"/>
            <w:shd w:fill="F2F5F8"/>
            <w:vAlign w:val="center"/>
            <w:tcMar>
              <w:top w:w="75" w:type="dxa"/>
              <w:bottom w:w="75" w:type="dxa"/>
              <w:left w:w="90" w:type="dxa"/>
              <w:right w:w="90" w:type="dxa"/>
            </w:tcMar>
          </w:tcPr>
          <w:p>
            <w:pPr>
              <w:spacing w:before="0" w:after="40" w:line="250" w:lineRule="auto"/>
            </w:pPr>
            <w:r>
              <w:rPr>
                <w:rFonts w:ascii="Calibri" w:hAnsi="Calibri"/>
                <w:sz w:val="20"/>
              </w:rPr>
              <w:t>D5</w:t>
            </w:r>
          </w:p>
        </w:tc>
        <w:tc>
          <w:tcPr>
            <w:tcW w:type="dxa" w:w="2189"/>
            <w:shd w:fill="F2F5F8"/>
            <w:vAlign w:val="center"/>
            <w:tcMar>
              <w:top w:w="75" w:type="dxa"/>
              <w:bottom w:w="75" w:type="dxa"/>
              <w:left w:w="90" w:type="dxa"/>
              <w:right w:w="90" w:type="dxa"/>
            </w:tcMar>
          </w:tcPr>
          <w:p>
            <w:pPr>
              <w:spacing w:before="0" w:after="40" w:line="250" w:lineRule="auto"/>
            </w:pPr>
            <w:r>
              <w:rPr>
                <w:sz w:val="20"/>
              </w:rPr>
            </w:r>
            <w:r>
              <w:rPr>
                <w:sz w:val="20"/>
              </w:rPr>
              <w:t>Review each specialist deliverable before combining it with other work.</w:t>
            </w:r>
          </w:p>
        </w:tc>
        <w:tc>
          <w:tcPr>
            <w:tcW w:type="dxa" w:w="3859"/>
            <w:shd w:fill="F2F5F8"/>
            <w:vAlign w:val="center"/>
            <w:tcMar>
              <w:top w:w="75" w:type="dxa"/>
              <w:bottom w:w="75" w:type="dxa"/>
              <w:left w:w="90" w:type="dxa"/>
              <w:right w:w="90" w:type="dxa"/>
            </w:tcMar>
          </w:tcPr>
          <w:p>
            <w:pPr>
              <w:spacing w:before="0" w:after="40" w:line="250" w:lineRule="auto"/>
            </w:pPr>
            <w:r>
              <w:rPr>
                <w:sz w:val="20"/>
              </w:rPr>
            </w:r>
            <w:r>
              <w:rPr>
                <w:sz w:val="20"/>
              </w:rPr>
              <w:t>Review responsibilities are assigned. No test of reviewing actual Digital PR, Backlink Auditor or Brand Authority Builder deliverables was supplied.</w:t>
            </w:r>
          </w:p>
        </w:tc>
        <w:tc>
          <w:tcPr>
            <w:tcW w:type="dxa" w:w="1440"/>
            <w:shd w:fill="F2F5F8"/>
            <w:vAlign w:val="center"/>
            <w:tcMar>
              <w:top w:w="75" w:type="dxa"/>
              <w:bottom w:w="75" w:type="dxa"/>
              <w:left w:w="90" w:type="dxa"/>
              <w:right w:w="90" w:type="dxa"/>
            </w:tcMar>
          </w:tcPr>
          <w:p>
            <w:pPr>
              <w:spacing w:before="0" w:after="40" w:line="250" w:lineRule="auto"/>
            </w:pPr>
            <w:r>
              <w:rPr>
                <w:rFonts w:ascii="Calibri" w:hAnsi="Calibri"/>
                <w:sz w:val="20"/>
              </w:rPr>
              <w:t>Untested</w:t>
            </w:r>
          </w:p>
        </w:tc>
        <w:tc>
          <w:tcPr>
            <w:tcW w:type="dxa" w:w="1901"/>
            <w:shd w:fill="F2F5F8"/>
            <w:vAlign w:val="center"/>
            <w:tcMar>
              <w:top w:w="75" w:type="dxa"/>
              <w:bottom w:w="75" w:type="dxa"/>
              <w:left w:w="90" w:type="dxa"/>
              <w:right w:w="90" w:type="dxa"/>
            </w:tcMar>
          </w:tcPr>
          <w:p>
            <w:pPr>
              <w:spacing w:before="0" w:after="40" w:line="250" w:lineRule="auto"/>
            </w:pPr>
            <w:r>
              <w:rPr>
                <w:sz w:val="20"/>
              </w:rPr>
            </w:r>
            <w:r>
              <w:rPr>
                <w:sz w:val="20"/>
              </w:rPr>
              <w:t>Test checks of scope, inputs, requirements, evidence and rework on real deliverables.</w:t>
            </w:r>
          </w:p>
        </w:tc>
      </w:tr>
      <w:tr>
        <w:trPr>
          <w:cantSplit/>
        </w:trPr>
        <w:tc>
          <w:tcPr>
            <w:tcW w:type="dxa" w:w="893"/>
            <w:vAlign w:val="center"/>
            <w:tcMar>
              <w:top w:w="75" w:type="dxa"/>
              <w:bottom w:w="75" w:type="dxa"/>
              <w:left w:w="90" w:type="dxa"/>
              <w:right w:w="90" w:type="dxa"/>
            </w:tcMar>
          </w:tcPr>
          <w:p>
            <w:pPr>
              <w:keepNext/>
              <w:spacing w:before="0" w:after="40" w:line="250" w:lineRule="auto"/>
            </w:pPr>
            <w:r>
              <w:rPr>
                <w:rFonts w:ascii="Calibri" w:hAnsi="Calibri"/>
                <w:sz w:val="20"/>
              </w:rPr>
              <w:t>D6</w:t>
            </w:r>
          </w:p>
        </w:tc>
        <w:tc>
          <w:tcPr>
            <w:tcW w:type="dxa" w:w="2189"/>
            <w:vAlign w:val="center"/>
            <w:tcMar>
              <w:top w:w="75" w:type="dxa"/>
              <w:bottom w:w="75" w:type="dxa"/>
              <w:left w:w="90" w:type="dxa"/>
              <w:right w:w="90" w:type="dxa"/>
            </w:tcMar>
          </w:tcPr>
          <w:p>
            <w:pPr>
              <w:keepNext/>
              <w:spacing w:before="0" w:after="40" w:line="250" w:lineRule="auto"/>
            </w:pPr>
            <w:r>
              <w:rPr>
                <w:sz w:val="20"/>
              </w:rPr>
            </w:r>
            <w:r>
              <w:rPr>
                <w:sz w:val="20"/>
              </w:rPr>
              <w:t>Use approved key performance indicators (KPIs), starting measures, targets, periods, owners and results.</w:t>
            </w:r>
          </w:p>
        </w:tc>
        <w:tc>
          <w:tcPr>
            <w:tcW w:type="dxa" w:w="3859"/>
            <w:vAlign w:val="center"/>
            <w:tcMar>
              <w:top w:w="75" w:type="dxa"/>
              <w:bottom w:w="75" w:type="dxa"/>
              <w:left w:w="90" w:type="dxa"/>
              <w:right w:w="90" w:type="dxa"/>
            </w:tcMar>
          </w:tcPr>
          <w:p>
            <w:pPr>
              <w:keepNext/>
              <w:spacing w:before="0" w:after="40" w:line="250" w:lineRule="auto"/>
            </w:pPr>
            <w:r>
              <w:rPr>
                <w:sz w:val="20"/>
              </w:rPr>
            </w:r>
            <w:r>
              <w:rPr>
                <w:sz w:val="20"/>
              </w:rPr>
              <w:t>Measurement specifications exist. Approved specialist baselines, targets and actual results are absent. No performance gain is claimed.</w:t>
            </w:r>
          </w:p>
        </w:tc>
        <w:tc>
          <w:tcPr>
            <w:tcW w:type="dxa" w:w="1440"/>
            <w:vAlign w:val="center"/>
            <w:tcMar>
              <w:top w:w="75" w:type="dxa"/>
              <w:bottom w:w="75" w:type="dxa"/>
              <w:left w:w="90" w:type="dxa"/>
              <w:right w:w="90" w:type="dxa"/>
            </w:tcMar>
          </w:tcPr>
          <w:p>
            <w:pPr>
              <w:keepNext/>
              <w:spacing w:before="0" w:after="40" w:line="250" w:lineRule="auto"/>
            </w:pPr>
            <w:r>
              <w:rPr>
                <w:rFonts w:ascii="Calibri" w:hAnsi="Calibri"/>
                <w:sz w:val="20"/>
              </w:rPr>
              <w:t>Untested</w:t>
            </w:r>
          </w:p>
        </w:tc>
        <w:tc>
          <w:tcPr>
            <w:tcW w:type="dxa" w:w="1901"/>
            <w:vAlign w:val="center"/>
            <w:tcMar>
              <w:top w:w="75" w:type="dxa"/>
              <w:bottom w:w="75" w:type="dxa"/>
              <w:left w:w="90" w:type="dxa"/>
              <w:right w:w="90" w:type="dxa"/>
            </w:tcMar>
          </w:tcPr>
          <w:p>
            <w:pPr>
              <w:keepNext/>
              <w:spacing w:before="0" w:after="40" w:line="250" w:lineRule="auto"/>
            </w:pPr>
            <w:r>
              <w:rPr>
                <w:sz w:val="20"/>
              </w:rPr>
            </w:r>
            <w:r>
              <w:rPr>
                <w:sz w:val="20"/>
              </w:rPr>
              <w:t>Obtain the approved measurement plan and actual results.</w:t>
            </w:r>
          </w:p>
        </w:tc>
      </w:tr>
      <w:tr>
        <w:trPr>
          <w:cantSplit/>
        </w:trPr>
        <w:tc>
          <w:tcPr>
            <w:tcW w:type="dxa" w:w="893"/>
            <w:shd w:fill="F2F5F8"/>
            <w:vAlign w:val="center"/>
            <w:tcMar>
              <w:top w:w="75" w:type="dxa"/>
              <w:bottom w:w="75" w:type="dxa"/>
              <w:left w:w="90" w:type="dxa"/>
              <w:right w:w="90" w:type="dxa"/>
            </w:tcMar>
          </w:tcPr>
          <w:p>
            <w:pPr>
              <w:keepNext/>
              <w:spacing w:before="0" w:after="40" w:line="250" w:lineRule="auto"/>
            </w:pPr>
            <w:r>
              <w:rPr>
                <w:rFonts w:ascii="Calibri" w:hAnsi="Calibri"/>
                <w:sz w:val="20"/>
              </w:rPr>
              <w:t>D7</w:t>
            </w:r>
          </w:p>
        </w:tc>
        <w:tc>
          <w:tcPr>
            <w:tcW w:type="dxa" w:w="2189"/>
            <w:shd w:fill="F2F5F8"/>
            <w:vAlign w:val="center"/>
            <w:tcMar>
              <w:top w:w="75" w:type="dxa"/>
              <w:bottom w:w="75" w:type="dxa"/>
              <w:left w:w="90" w:type="dxa"/>
              <w:right w:w="90" w:type="dxa"/>
            </w:tcMar>
          </w:tcPr>
          <w:p>
            <w:pPr>
              <w:keepNext/>
              <w:spacing w:before="0" w:after="40" w:line="250" w:lineRule="auto"/>
            </w:pPr>
            <w:r>
              <w:rPr>
                <w:sz w:val="20"/>
              </w:rPr>
            </w:r>
            <w:r>
              <w:rPr>
                <w:sz w:val="20"/>
              </w:rPr>
              <w:t>Record the approved Agent and knowledge-pack versions, including the reference material used.</w:t>
            </w:r>
          </w:p>
        </w:tc>
        <w:tc>
          <w:tcPr>
            <w:tcW w:type="dxa" w:w="3859"/>
            <w:shd w:fill="F2F5F8"/>
            <w:vAlign w:val="center"/>
            <w:tcMar>
              <w:top w:w="75" w:type="dxa"/>
              <w:bottom w:w="75" w:type="dxa"/>
              <w:left w:w="90" w:type="dxa"/>
              <w:right w:w="90" w:type="dxa"/>
            </w:tcMar>
          </w:tcPr>
          <w:p>
            <w:pPr>
              <w:keepNext/>
              <w:spacing w:before="0" w:after="40" w:line="250" w:lineRule="auto"/>
            </w:pPr>
            <w:r>
              <w:rPr>
                <w:sz w:val="20"/>
              </w:rPr>
            </w:r>
            <w:r>
              <w:rPr>
                <w:sz w:val="20"/>
              </w:rPr>
              <w:t>Source-document versions are recorded. The approved Agent and reference-pack versions, and a register of them, were not supplied.</w:t>
            </w:r>
          </w:p>
        </w:tc>
        <w:tc>
          <w:tcPr>
            <w:tcW w:type="dxa" w:w="1440"/>
            <w:shd w:fill="F2F5F8"/>
            <w:vAlign w:val="center"/>
            <w:tcMar>
              <w:top w:w="75" w:type="dxa"/>
              <w:bottom w:w="75" w:type="dxa"/>
              <w:left w:w="90" w:type="dxa"/>
              <w:right w:w="90" w:type="dxa"/>
            </w:tcMar>
          </w:tcPr>
          <w:p>
            <w:pPr>
              <w:keepNext/>
              <w:spacing w:before="0" w:after="40" w:line="250" w:lineRule="auto"/>
            </w:pPr>
            <w:r>
              <w:rPr>
                <w:rFonts w:ascii="Calibri" w:hAnsi="Calibri"/>
                <w:sz w:val="20"/>
              </w:rPr>
              <w:t>Untested</w:t>
            </w:r>
          </w:p>
        </w:tc>
        <w:tc>
          <w:tcPr>
            <w:tcW w:type="dxa" w:w="1901"/>
            <w:shd w:fill="F2F5F8"/>
            <w:vAlign w:val="center"/>
            <w:tcMar>
              <w:top w:w="75" w:type="dxa"/>
              <w:bottom w:w="75" w:type="dxa"/>
              <w:left w:w="90" w:type="dxa"/>
              <w:right w:w="90" w:type="dxa"/>
            </w:tcMar>
          </w:tcPr>
          <w:p>
            <w:pPr>
              <w:keepNext/>
              <w:spacing w:before="0" w:after="40" w:line="250" w:lineRule="auto"/>
            </w:pPr>
            <w:r>
              <w:rPr>
                <w:sz w:val="20"/>
              </w:rPr>
            </w:r>
            <w:r>
              <w:rPr>
                <w:sz w:val="20"/>
              </w:rPr>
              <w:t>Supply configuration records and test version selection.</w:t>
            </w:r>
          </w:p>
        </w:tc>
      </w:tr>
      <w:tr>
        <w:trPr>
          <w:cantSplit/>
        </w:trPr>
        <w:tc>
          <w:tcPr>
            <w:tcW w:type="dxa" w:w="893"/>
            <w:vAlign w:val="center"/>
            <w:tcMar>
              <w:top w:w="75" w:type="dxa"/>
              <w:bottom w:w="75" w:type="dxa"/>
              <w:left w:w="90" w:type="dxa"/>
              <w:right w:w="90" w:type="dxa"/>
            </w:tcMar>
          </w:tcPr>
          <w:p>
            <w:pPr>
              <w:spacing w:before="0" w:after="40" w:line="250" w:lineRule="auto"/>
            </w:pPr>
            <w:r>
              <w:rPr>
                <w:rFonts w:ascii="Calibri" w:hAnsi="Calibri"/>
                <w:sz w:val="20"/>
              </w:rPr>
              <w:t>D9</w:t>
            </w:r>
          </w:p>
        </w:tc>
        <w:tc>
          <w:tcPr>
            <w:tcW w:type="dxa" w:w="2189"/>
            <w:vAlign w:val="center"/>
            <w:tcMar>
              <w:top w:w="75" w:type="dxa"/>
              <w:bottom w:w="75" w:type="dxa"/>
              <w:left w:w="90" w:type="dxa"/>
              <w:right w:w="90" w:type="dxa"/>
            </w:tcMar>
          </w:tcPr>
          <w:p>
            <w:pPr>
              <w:spacing w:before="0" w:after="40" w:line="250" w:lineRule="auto"/>
            </w:pPr>
            <w:r>
              <w:rPr>
                <w:sz w:val="20"/>
              </w:rPr>
            </w:r>
            <w:r>
              <w:rPr>
                <w:sz w:val="20"/>
              </w:rPr>
              <w:t>Link instruction changes to weaknesses, versions, tests, retests and checks for recurrence.</w:t>
            </w:r>
          </w:p>
        </w:tc>
        <w:tc>
          <w:tcPr>
            <w:tcW w:type="dxa" w:w="3859"/>
            <w:vAlign w:val="center"/>
            <w:tcMar>
              <w:top w:w="75" w:type="dxa"/>
              <w:bottom w:w="75" w:type="dxa"/>
              <w:left w:w="90" w:type="dxa"/>
              <w:right w:w="90" w:type="dxa"/>
            </w:tcMar>
          </w:tcPr>
          <w:p>
            <w:pPr>
              <w:spacing w:before="0" w:after="40" w:line="250" w:lineRule="auto"/>
            </w:pPr>
            <w:r>
              <w:rPr>
                <w:sz w:val="20"/>
              </w:rPr>
            </w:r>
            <w:r>
              <w:rPr>
                <w:sz w:val="20"/>
              </w:rPr>
              <w:t>Section 8 of the HP-001 Agent Review records changes and initial validation. HP-002 and HP-003 show later use. Release records, controlled retesting and lasting resolution remain unverified.</w:t>
            </w:r>
          </w:p>
        </w:tc>
        <w:tc>
          <w:tcPr>
            <w:tcW w:type="dxa" w:w="1440"/>
            <w:vAlign w:val="center"/>
            <w:tcMar>
              <w:top w:w="75" w:type="dxa"/>
              <w:bottom w:w="75" w:type="dxa"/>
              <w:left w:w="90" w:type="dxa"/>
              <w:right w:w="90" w:type="dxa"/>
            </w:tcMar>
          </w:tcPr>
          <w:p>
            <w:pPr>
              <w:spacing w:before="0" w:after="40" w:line="250" w:lineRule="auto"/>
            </w:pPr>
            <w:r>
              <w:rPr>
                <w:rFonts w:ascii="Calibri" w:hAnsi="Calibri"/>
                <w:sz w:val="20"/>
              </w:rPr>
              <w:t>Partially Validated</w:t>
            </w:r>
          </w:p>
        </w:tc>
        <w:tc>
          <w:tcPr>
            <w:tcW w:type="dxa" w:w="1901"/>
            <w:vAlign w:val="center"/>
            <w:tcMar>
              <w:top w:w="75" w:type="dxa"/>
              <w:bottom w:w="75" w:type="dxa"/>
              <w:left w:w="90" w:type="dxa"/>
              <w:right w:w="90" w:type="dxa"/>
            </w:tcMar>
          </w:tcPr>
          <w:p>
            <w:pPr>
              <w:spacing w:before="0" w:after="40" w:line="250" w:lineRule="auto"/>
            </w:pPr>
            <w:r>
              <w:rPr>
                <w:sz w:val="20"/>
              </w:rPr>
            </w:r>
            <w:r>
              <w:rPr>
                <w:sz w:val="20"/>
              </w:rPr>
              <w:t>Record approved versions, retests and checks for recurring weaknesses.</w:t>
            </w:r>
          </w:p>
        </w:tc>
      </w:tr>
    </w:tbl>
    <w:p>
      <w:pPr>
        <w:spacing w:after="40"/>
      </w:pPr>
      <w:r/>
    </w:p>
    <w:p>
      <w:pPr>
        <w:pStyle w:val="Heading2"/>
        <w:keepNext/>
        <w:keepLines/>
      </w:pPr>
      <w:r>
        <w:rPr>
          <w:color w:val="000000"/>
        </w:rPr>
        <w:t>4.4 Testing still required</w:t>
      </w:r>
    </w:p>
    <w:p>
      <w:pPr>
        <w:keepLines/>
      </w:pPr>
      <w:r>
        <w:t>Specialist review, performance measurement and checks on the Agent configuration remain untested. Checks that sources remain current, actions are not duplicated and Agent weaknesses stay resolved are only partly validated. Section 4.3 identifies the remaining tests. No numerical performance improvement, comprehensive deployment test or independent approval authority is established.</w:t>
      </w:r>
    </w:p>
    <w:p>
      <w:pPr>
        <w:pStyle w:val="Heading1"/>
        <w:keepNext/>
        <w:keepLines/>
        <w:pageBreakBefore w:val="0"/>
      </w:pPr>
      <w:r>
        <w:rPr>
          <w:color w:val="000000"/>
        </w:rPr>
        <w:t>5 Content Manager Handoff</w:t>
      </w:r>
    </w:p>
    <w:p>
      <w:pPr>
        <w:keepLines/>
      </w:pPr>
      <w:r>
        <w:t xml:space="preserve">Arnav should use the tables below to revise the two Content Packages and request the decisions he cannot make himself. Priorities are provisional. </w:t>
      </w:r>
      <w:r>
        <w:rPr>
          <w:b/>
        </w:rPr>
        <w:t>Can Proceed</w:t>
      </w:r>
      <w:r>
        <w:t xml:space="preserve"> permits the specified draft work. </w:t>
      </w:r>
      <w:r>
        <w:rPr>
          <w:b/>
        </w:rPr>
        <w:t>Revise</w:t>
      </w:r>
      <w:r>
        <w:t xml:space="preserve"> requires a content correction. </w:t>
      </w:r>
      <w:r>
        <w:rPr>
          <w:b/>
        </w:rPr>
        <w:t>On Hold</w:t>
      </w:r>
      <w:r>
        <w:t xml:space="preserve"> prevents use of the affected claim, feature or decision until its conditions are met. None of these statuses authorises publication.</w:t>
      </w:r>
    </w:p>
    <w:p>
      <w:pPr>
        <w:pStyle w:val="Heading2"/>
        <w:keepNext/>
        <w:keepLines/>
      </w:pPr>
      <w:r>
        <w:rPr>
          <w:color w:val="000000"/>
        </w:rPr>
        <w:t>5.1 HP-002 recommendations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5"/>
        <w:gridCol w:w="4219"/>
        <w:gridCol w:w="3067"/>
        <w:gridCol w:w="1310"/>
      </w:tblGrid>
      <w:tr>
        <w:trPr>
          <w:tblHeader/>
        </w:trPr>
        <w:tc>
          <w:tcPr>
            <w:tcW w:type="dxa" w:w="1685"/>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Existing findings</w:t>
            </w:r>
          </w:p>
        </w:tc>
        <w:tc>
          <w:tcPr>
            <w:tcW w:type="dxa" w:w="4219"/>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Action for Arnav</w:t>
            </w:r>
          </w:p>
        </w:tc>
        <w:tc>
          <w:tcPr>
            <w:tcW w:type="dxa" w:w="3067"/>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Evidence or decision owner</w:t>
            </w:r>
          </w:p>
        </w:tc>
        <w:tc>
          <w:tcPr>
            <w:tcW w:type="dxa" w:w="1310"/>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Status</w:t>
            </w:r>
          </w:p>
        </w:tc>
      </w:tr>
      <w:tr>
        <w:trPr>
          <w:cantSplit/>
        </w:trPr>
        <w:tc>
          <w:tcPr>
            <w:tcW w:type="dxa" w:w="1685"/>
            <w:vAlign w:val="center"/>
            <w:tcMar>
              <w:top w:w="75" w:type="dxa"/>
              <w:bottom w:w="75" w:type="dxa"/>
              <w:left w:w="90" w:type="dxa"/>
              <w:right w:w="90" w:type="dxa"/>
            </w:tcMar>
          </w:tcPr>
          <w:p>
            <w:pPr>
              <w:keepNext/>
              <w:spacing w:before="0" w:after="40" w:line="250" w:lineRule="auto"/>
            </w:pPr>
            <w:r>
              <w:rPr>
                <w:rFonts w:ascii="Calibri" w:hAnsi="Calibri"/>
                <w:sz w:val="20"/>
              </w:rPr>
              <w:t>First: HP2-F10</w:t>
            </w:r>
          </w:p>
        </w:tc>
        <w:tc>
          <w:tcPr>
            <w:tcW w:type="dxa" w:w="4219"/>
            <w:vAlign w:val="center"/>
            <w:tcMar>
              <w:top w:w="75" w:type="dxa"/>
              <w:bottom w:w="75" w:type="dxa"/>
              <w:left w:w="90" w:type="dxa"/>
              <w:right w:w="90" w:type="dxa"/>
            </w:tcMar>
          </w:tcPr>
          <w:p>
            <w:pPr>
              <w:keepNext/>
              <w:spacing w:before="0" w:after="40" w:line="250" w:lineRule="auto"/>
            </w:pPr>
            <w:r>
              <w:rPr>
                <w:sz w:val="20"/>
              </w:rPr>
            </w:r>
            <w:r>
              <w:rPr>
                <w:sz w:val="20"/>
              </w:rPr>
              <w:t>Replace or hold the “Yes” venue-delivery answer and “let us source a private venue” link. Resolve the Appendix D contradiction. Both promises remain ON HOLD pending confirmation.</w:t>
            </w:r>
          </w:p>
        </w:tc>
        <w:tc>
          <w:tcPr>
            <w:tcW w:type="dxa" w:w="3067"/>
            <w:vAlign w:val="center"/>
            <w:tcMar>
              <w:top w:w="75" w:type="dxa"/>
              <w:bottom w:w="75" w:type="dxa"/>
              <w:left w:w="90" w:type="dxa"/>
              <w:right w:w="90" w:type="dxa"/>
            </w:tcMar>
          </w:tcPr>
          <w:p>
            <w:pPr>
              <w:keepNext/>
              <w:spacing w:before="0" w:after="40" w:line="250" w:lineRule="auto"/>
            </w:pPr>
            <w:r>
              <w:rPr>
                <w:sz w:val="20"/>
              </w:rPr>
            </w:r>
            <w:r>
              <w:rPr>
                <w:sz w:val="20"/>
              </w:rPr>
              <w:t>Ajith and the owner responsible for private-venue options confirm services, responsibilities and wording.</w:t>
            </w:r>
          </w:p>
        </w:tc>
        <w:tc>
          <w:tcPr>
            <w:tcW w:type="dxa" w:w="1310"/>
            <w:vAlign w:val="center"/>
            <w:tcMar>
              <w:top w:w="75" w:type="dxa"/>
              <w:bottom w:w="75" w:type="dxa"/>
              <w:left w:w="90" w:type="dxa"/>
              <w:right w:w="90" w:type="dxa"/>
            </w:tcMar>
          </w:tcPr>
          <w:p>
            <w:pPr>
              <w:keepNext/>
              <w:spacing w:before="0" w:after="40" w:line="250" w:lineRule="auto"/>
            </w:pPr>
            <w:r>
              <w:rPr>
                <w:rFonts w:ascii="Calibri" w:hAnsi="Calibri"/>
                <w:sz w:val="20"/>
              </w:rPr>
              <w:t>Revise</w:t>
            </w:r>
          </w:p>
        </w:tc>
      </w:tr>
      <w:tr>
        <w:trPr>
          <w:cantSplit/>
        </w:trPr>
        <w:tc>
          <w:tcPr>
            <w:tcW w:type="dxa" w:w="1685"/>
            <w:shd w:fill="F2F5F8"/>
            <w:vAlign w:val="center"/>
            <w:tcMar>
              <w:top w:w="75" w:type="dxa"/>
              <w:bottom w:w="75" w:type="dxa"/>
              <w:left w:w="90" w:type="dxa"/>
              <w:right w:w="90" w:type="dxa"/>
            </w:tcMar>
          </w:tcPr>
          <w:p>
            <w:pPr>
              <w:keepNext/>
              <w:spacing w:before="0" w:after="40" w:line="250" w:lineRule="auto"/>
            </w:pPr>
            <w:r>
              <w:rPr>
                <w:rFonts w:ascii="Calibri" w:hAnsi="Calibri"/>
                <w:sz w:val="20"/>
              </w:rPr>
              <w:t>HP2-F04/F09</w:t>
            </w:r>
          </w:p>
        </w:tc>
        <w:tc>
          <w:tcPr>
            <w:tcW w:type="dxa" w:w="4219"/>
            <w:shd w:fill="F2F5F8"/>
            <w:vAlign w:val="center"/>
            <w:tcMar>
              <w:top w:w="75" w:type="dxa"/>
              <w:bottom w:w="75" w:type="dxa"/>
              <w:left w:w="90" w:type="dxa"/>
              <w:right w:w="90" w:type="dxa"/>
            </w:tcMar>
          </w:tcPr>
          <w:p>
            <w:pPr>
              <w:keepNext/>
              <w:spacing w:before="0" w:after="40" w:line="250" w:lineRule="auto"/>
            </w:pPr>
            <w:r>
              <w:rPr>
                <w:sz w:val="20"/>
              </w:rPr>
            </w:r>
            <w:r>
              <w:rPr>
                <w:sz w:val="20"/>
              </w:rPr>
              <w:t>Keep the distinction between enquiry acknowledgement and booking. Hold live data collection and automatic results until operating rules and the full data journey are approved and tested.</w:t>
            </w:r>
          </w:p>
        </w:tc>
        <w:tc>
          <w:tcPr>
            <w:tcW w:type="dxa" w:w="3067"/>
            <w:shd w:fill="F2F5F8"/>
            <w:vAlign w:val="center"/>
            <w:tcMar>
              <w:top w:w="75" w:type="dxa"/>
              <w:bottom w:w="75" w:type="dxa"/>
              <w:left w:w="90" w:type="dxa"/>
              <w:right w:w="90" w:type="dxa"/>
            </w:tcMar>
          </w:tcPr>
          <w:p>
            <w:pPr>
              <w:keepNext/>
              <w:spacing w:before="0" w:after="40" w:line="250" w:lineRule="auto"/>
            </w:pPr>
            <w:r>
              <w:rPr>
                <w:sz w:val="20"/>
              </w:rPr>
            </w:r>
            <w:r>
              <w:rPr>
                <w:sz w:val="20"/>
              </w:rPr>
              <w:t>Operations, product and privacy owners approve the rules, data handling and tests.</w:t>
            </w:r>
          </w:p>
        </w:tc>
        <w:tc>
          <w:tcPr>
            <w:tcW w:type="dxa" w:w="1310"/>
            <w:shd w:fill="F2F5F8"/>
            <w:vAlign w:val="center"/>
            <w:tcMar>
              <w:top w:w="75" w:type="dxa"/>
              <w:bottom w:w="75" w:type="dxa"/>
              <w:left w:w="90" w:type="dxa"/>
              <w:right w:w="90" w:type="dxa"/>
            </w:tcMar>
          </w:tcPr>
          <w:p>
            <w:pPr>
              <w:keepNext/>
              <w:spacing w:before="0" w:after="40" w:line="250" w:lineRule="auto"/>
            </w:pPr>
            <w:r>
              <w:rPr>
                <w:rFonts w:ascii="Calibri" w:hAnsi="Calibri"/>
                <w:sz w:val="20"/>
              </w:rPr>
              <w:t>On Hold</w:t>
            </w:r>
          </w:p>
        </w:tc>
      </w:tr>
      <w:tr>
        <w:trPr>
          <w:cantSplit/>
        </w:trPr>
        <w:tc>
          <w:tcPr>
            <w:tcW w:type="dxa" w:w="1685"/>
            <w:vAlign w:val="center"/>
            <w:tcMar>
              <w:top w:w="75" w:type="dxa"/>
              <w:bottom w:w="75" w:type="dxa"/>
              <w:left w:w="90" w:type="dxa"/>
              <w:right w:w="90" w:type="dxa"/>
            </w:tcMar>
          </w:tcPr>
          <w:p>
            <w:pPr>
              <w:spacing w:before="0" w:after="40" w:line="250" w:lineRule="auto"/>
            </w:pPr>
            <w:r>
              <w:rPr>
                <w:rFonts w:ascii="Calibri" w:hAnsi="Calibri"/>
                <w:sz w:val="20"/>
              </w:rPr>
              <w:t>HP2-F02/F03/F05-F08</w:t>
            </w:r>
          </w:p>
        </w:tc>
        <w:tc>
          <w:tcPr>
            <w:tcW w:type="dxa" w:w="4219"/>
            <w:vAlign w:val="center"/>
            <w:tcMar>
              <w:top w:w="75" w:type="dxa"/>
              <w:bottom w:w="75" w:type="dxa"/>
              <w:left w:w="90" w:type="dxa"/>
              <w:right w:w="90" w:type="dxa"/>
            </w:tcMar>
          </w:tcPr>
          <w:p>
            <w:pPr>
              <w:spacing w:before="0" w:after="40" w:line="250" w:lineRule="auto"/>
            </w:pPr>
            <w:r>
              <w:rPr>
                <w:sz w:val="20"/>
              </w:rPr>
            </w:r>
            <w:r>
              <w:rPr>
                <w:sz w:val="20"/>
              </w:rPr>
              <w:t>Keep unverified service claims held. Request the current offer, service map, commercial terms, operating and safety documents, and proof with publication permission.</w:t>
            </w:r>
          </w:p>
        </w:tc>
        <w:tc>
          <w:tcPr>
            <w:tcW w:type="dxa" w:w="3067"/>
            <w:vAlign w:val="center"/>
            <w:tcMar>
              <w:top w:w="75" w:type="dxa"/>
              <w:bottom w:w="75" w:type="dxa"/>
              <w:left w:w="90" w:type="dxa"/>
              <w:right w:w="90" w:type="dxa"/>
            </w:tcMar>
          </w:tcPr>
          <w:p>
            <w:pPr>
              <w:spacing w:before="0" w:after="40" w:line="250" w:lineRule="auto"/>
            </w:pPr>
            <w:r>
              <w:rPr>
                <w:sz w:val="20"/>
              </w:rPr>
            </w:r>
            <w:r>
              <w:rPr>
                <w:sz w:val="20"/>
              </w:rPr>
              <w:t>Ajith and delegated operations, pricing, safety, insurance and consent owners.</w:t>
            </w:r>
          </w:p>
        </w:tc>
        <w:tc>
          <w:tcPr>
            <w:tcW w:type="dxa" w:w="1310"/>
            <w:vAlign w:val="center"/>
            <w:tcMar>
              <w:top w:w="75" w:type="dxa"/>
              <w:bottom w:w="75" w:type="dxa"/>
              <w:left w:w="90" w:type="dxa"/>
              <w:right w:w="90" w:type="dxa"/>
            </w:tcMar>
          </w:tcPr>
          <w:p>
            <w:pPr>
              <w:spacing w:before="0" w:after="40" w:line="250" w:lineRule="auto"/>
            </w:pPr>
            <w:r>
              <w:rPr>
                <w:rFonts w:ascii="Calibri" w:hAnsi="Calibri"/>
                <w:sz w:val="20"/>
              </w:rPr>
              <w:t>On Hold</w:t>
            </w:r>
          </w:p>
        </w:tc>
      </w:tr>
      <w:tr>
        <w:trPr>
          <w:cantSplit/>
        </w:trPr>
        <w:tc>
          <w:tcPr>
            <w:tcW w:type="dxa" w:w="1685"/>
            <w:shd w:fill="F2F5F8"/>
            <w:vAlign w:val="center"/>
            <w:tcMar>
              <w:top w:w="75" w:type="dxa"/>
              <w:bottom w:w="75" w:type="dxa"/>
              <w:left w:w="90" w:type="dxa"/>
              <w:right w:w="90" w:type="dxa"/>
            </w:tcMar>
          </w:tcPr>
          <w:p>
            <w:pPr>
              <w:keepNext/>
              <w:spacing w:before="0" w:after="40" w:line="250" w:lineRule="auto"/>
            </w:pPr>
            <w:r>
              <w:rPr>
                <w:rFonts w:ascii="Calibri" w:hAnsi="Calibri"/>
                <w:sz w:val="20"/>
              </w:rPr>
              <w:t>HP2-F11</w:t>
            </w:r>
          </w:p>
        </w:tc>
        <w:tc>
          <w:tcPr>
            <w:tcW w:type="dxa" w:w="4219"/>
            <w:shd w:fill="F2F5F8"/>
            <w:vAlign w:val="center"/>
            <w:tcMar>
              <w:top w:w="75" w:type="dxa"/>
              <w:bottom w:w="75" w:type="dxa"/>
              <w:left w:w="90" w:type="dxa"/>
              <w:right w:w="90" w:type="dxa"/>
            </w:tcMar>
          </w:tcPr>
          <w:p>
            <w:pPr>
              <w:keepNext/>
              <w:spacing w:before="0" w:after="40" w:line="250" w:lineRule="auto"/>
            </w:pPr>
            <w:r>
              <w:rPr>
                <w:sz w:val="20"/>
              </w:rPr>
            </w:r>
            <w:r>
              <w:rPr>
                <w:sz w:val="20"/>
              </w:rPr>
              <w:t>Resolve the secondary-phrase difference without removing the Architecture workbook’s primary phrase. Align measures for enquiry-action clicks, submitted enquiries, qualification and bookings.</w:t>
            </w:r>
          </w:p>
        </w:tc>
        <w:tc>
          <w:tcPr>
            <w:tcW w:type="dxa" w:w="3067"/>
            <w:shd w:fill="F2F5F8"/>
            <w:vAlign w:val="center"/>
            <w:tcMar>
              <w:top w:w="75" w:type="dxa"/>
              <w:bottom w:w="75" w:type="dxa"/>
              <w:left w:w="90" w:type="dxa"/>
              <w:right w:w="90" w:type="dxa"/>
            </w:tcMar>
          </w:tcPr>
          <w:p>
            <w:pPr>
              <w:keepNext/>
              <w:spacing w:before="0" w:after="40" w:line="250" w:lineRule="auto"/>
            </w:pPr>
            <w:r>
              <w:rPr>
                <w:sz w:val="20"/>
              </w:rPr>
            </w:r>
            <w:r>
              <w:rPr>
                <w:sz w:val="20"/>
              </w:rPr>
              <w:t>Strategy, Search, Analytics and AI Visibility.</w:t>
            </w:r>
          </w:p>
        </w:tc>
        <w:tc>
          <w:tcPr>
            <w:tcW w:type="dxa" w:w="1310"/>
            <w:shd w:fill="F2F5F8"/>
            <w:vAlign w:val="center"/>
            <w:tcMar>
              <w:top w:w="75" w:type="dxa"/>
              <w:bottom w:w="75" w:type="dxa"/>
              <w:left w:w="90" w:type="dxa"/>
              <w:right w:w="90" w:type="dxa"/>
            </w:tcMar>
          </w:tcPr>
          <w:p>
            <w:pPr>
              <w:keepNext/>
              <w:spacing w:before="0" w:after="40" w:line="250" w:lineRule="auto"/>
            </w:pPr>
            <w:r>
              <w:rPr>
                <w:rFonts w:ascii="Calibri" w:hAnsi="Calibri"/>
                <w:sz w:val="20"/>
              </w:rPr>
              <w:t>Revise</w:t>
            </w:r>
          </w:p>
        </w:tc>
      </w:tr>
      <w:tr>
        <w:trPr>
          <w:cantSplit/>
        </w:trPr>
        <w:tc>
          <w:tcPr>
            <w:tcW w:type="dxa" w:w="1685"/>
            <w:vAlign w:val="center"/>
            <w:tcMar>
              <w:top w:w="75" w:type="dxa"/>
              <w:bottom w:w="75" w:type="dxa"/>
              <w:left w:w="90" w:type="dxa"/>
              <w:right w:w="90" w:type="dxa"/>
            </w:tcMar>
          </w:tcPr>
          <w:p>
            <w:pPr>
              <w:keepNext/>
              <w:spacing w:before="0" w:after="40" w:line="250" w:lineRule="auto"/>
            </w:pPr>
            <w:r>
              <w:rPr>
                <w:rFonts w:ascii="Calibri" w:hAnsi="Calibri"/>
                <w:sz w:val="20"/>
              </w:rPr>
              <w:t>HP2-F12</w:t>
            </w:r>
          </w:p>
        </w:tc>
        <w:tc>
          <w:tcPr>
            <w:tcW w:type="dxa" w:w="4219"/>
            <w:vAlign w:val="center"/>
            <w:tcMar>
              <w:top w:w="75" w:type="dxa"/>
              <w:bottom w:w="75" w:type="dxa"/>
              <w:left w:w="90" w:type="dxa"/>
              <w:right w:w="90" w:type="dxa"/>
            </w:tcMar>
          </w:tcPr>
          <w:p>
            <w:pPr>
              <w:keepNext/>
              <w:spacing w:before="0" w:after="40" w:line="250" w:lineRule="auto"/>
            </w:pPr>
            <w:r>
              <w:rPr>
                <w:sz w:val="20"/>
              </w:rPr>
            </w:r>
            <w:r>
              <w:rPr>
                <w:sz w:val="20"/>
              </w:rPr>
              <w:t>Provide approved page copy for structured-data review. Keep reported business-profile differences unconfirmed until checked.</w:t>
            </w:r>
          </w:p>
        </w:tc>
        <w:tc>
          <w:tcPr>
            <w:tcW w:type="dxa" w:w="3067"/>
            <w:vAlign w:val="center"/>
            <w:tcMar>
              <w:top w:w="75" w:type="dxa"/>
              <w:bottom w:w="75" w:type="dxa"/>
              <w:left w:w="90" w:type="dxa"/>
              <w:right w:w="90" w:type="dxa"/>
            </w:tcMar>
          </w:tcPr>
          <w:p>
            <w:pPr>
              <w:keepNext/>
              <w:spacing w:before="0" w:after="40" w:line="250" w:lineRule="auto"/>
            </w:pPr>
            <w:r>
              <w:rPr>
                <w:sz w:val="20"/>
              </w:rPr>
            </w:r>
            <w:r>
              <w:rPr>
                <w:sz w:val="20"/>
              </w:rPr>
              <w:t>Technical SEO; Brand Authority Builder and business-profile owner.</w:t>
            </w:r>
          </w:p>
        </w:tc>
        <w:tc>
          <w:tcPr>
            <w:tcW w:type="dxa" w:w="1310"/>
            <w:vAlign w:val="center"/>
            <w:tcMar>
              <w:top w:w="75" w:type="dxa"/>
              <w:bottom w:w="75" w:type="dxa"/>
              <w:left w:w="90" w:type="dxa"/>
              <w:right w:w="90" w:type="dxa"/>
            </w:tcMar>
          </w:tcPr>
          <w:p>
            <w:pPr>
              <w:keepNext/>
              <w:spacing w:before="0" w:after="40" w:line="250" w:lineRule="auto"/>
            </w:pPr>
            <w:r>
              <w:rPr>
                <w:rFonts w:ascii="Calibri" w:hAnsi="Calibri"/>
                <w:sz w:val="20"/>
              </w:rPr>
              <w:t>On Hold</w:t>
            </w:r>
          </w:p>
        </w:tc>
      </w:tr>
      <w:tr>
        <w:trPr>
          <w:cantSplit/>
        </w:trPr>
        <w:tc>
          <w:tcPr>
            <w:tcW w:type="dxa" w:w="1685"/>
            <w:shd w:fill="F2F5F8"/>
            <w:vAlign w:val="center"/>
            <w:tcMar>
              <w:top w:w="75" w:type="dxa"/>
              <w:bottom w:w="75" w:type="dxa"/>
              <w:left w:w="90" w:type="dxa"/>
              <w:right w:w="90" w:type="dxa"/>
            </w:tcMar>
          </w:tcPr>
          <w:p>
            <w:pPr>
              <w:spacing w:before="0" w:after="40" w:line="250" w:lineRule="auto"/>
            </w:pPr>
            <w:r>
              <w:rPr>
                <w:rFonts w:ascii="Calibri" w:hAnsi="Calibri"/>
                <w:sz w:val="20"/>
              </w:rPr>
              <w:t>HP2-F01/F06</w:t>
            </w:r>
          </w:p>
        </w:tc>
        <w:tc>
          <w:tcPr>
            <w:tcW w:type="dxa" w:w="4219"/>
            <w:shd w:fill="F2F5F8"/>
            <w:vAlign w:val="center"/>
            <w:tcMar>
              <w:top w:w="75" w:type="dxa"/>
              <w:bottom w:w="75" w:type="dxa"/>
              <w:left w:w="90" w:type="dxa"/>
              <w:right w:w="90" w:type="dxa"/>
            </w:tcMar>
          </w:tcPr>
          <w:p>
            <w:pPr>
              <w:spacing w:before="0" w:after="40" w:line="250" w:lineRule="auto"/>
            </w:pPr>
            <w:r>
              <w:rPr>
                <w:sz w:val="20"/>
              </w:rPr>
            </w:r>
            <w:r>
              <w:rPr>
                <w:sz w:val="20"/>
              </w:rPr>
              <w:t>Continue the local page structure, conditional property questions and reserved sections. Do not fill evidence gaps with assumed facts.</w:t>
            </w:r>
          </w:p>
        </w:tc>
        <w:tc>
          <w:tcPr>
            <w:tcW w:type="dxa" w:w="3067"/>
            <w:shd w:fill="F2F5F8"/>
            <w:vAlign w:val="center"/>
            <w:tcMar>
              <w:top w:w="75" w:type="dxa"/>
              <w:bottom w:w="75" w:type="dxa"/>
              <w:left w:w="90" w:type="dxa"/>
              <w:right w:w="90" w:type="dxa"/>
            </w:tcMar>
          </w:tcPr>
          <w:p>
            <w:pPr>
              <w:spacing w:before="0" w:after="40" w:line="250" w:lineRule="auto"/>
            </w:pPr>
            <w:r>
              <w:rPr>
                <w:sz w:val="20"/>
              </w:rPr>
            </w:r>
            <w:r>
              <w:rPr>
                <w:sz w:val="20"/>
              </w:rPr>
              <w:t>Arnav coordinates evidence collection and review.</w:t>
            </w:r>
          </w:p>
        </w:tc>
        <w:tc>
          <w:tcPr>
            <w:tcW w:type="dxa" w:w="1310"/>
            <w:shd w:fill="F2F5F8"/>
            <w:vAlign w:val="center"/>
            <w:tcMar>
              <w:top w:w="75" w:type="dxa"/>
              <w:bottom w:w="75" w:type="dxa"/>
              <w:left w:w="90" w:type="dxa"/>
              <w:right w:w="90" w:type="dxa"/>
            </w:tcMar>
          </w:tcPr>
          <w:p>
            <w:pPr>
              <w:spacing w:before="0" w:after="40" w:line="250" w:lineRule="auto"/>
            </w:pPr>
            <w:r>
              <w:rPr>
                <w:rFonts w:ascii="Calibri" w:hAnsi="Calibri"/>
                <w:sz w:val="20"/>
              </w:rPr>
              <w:t>Can Proceed</w:t>
            </w:r>
          </w:p>
        </w:tc>
      </w:tr>
    </w:tbl>
    <w:p>
      <w:pPr>
        <w:spacing w:after="40"/>
      </w:pPr>
      <w:r/>
    </w:p>
    <w:p>
      <w:pPr>
        <w:pStyle w:val="Heading2"/>
        <w:keepNext/>
        <w:keepLines/>
      </w:pPr>
      <w:r>
        <w:rPr>
          <w:color w:val="000000"/>
        </w:rPr>
        <w:t>5.2 HP-003 recommendations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046"/>
        <w:gridCol w:w="2909"/>
        <w:gridCol w:w="1310"/>
      </w:tblGrid>
      <w:tr>
        <w:trPr>
          <w:tblHeader/>
        </w:trPr>
        <w:tc>
          <w:tcPr>
            <w:tcW w:type="dxa" w:w="2016"/>
            <w:shd w:fill="243B53"/>
            <w:vAlign w:val="center"/>
            <w:tcMar>
              <w:top w:w="75" w:type="dxa"/>
              <w:bottom w:w="75" w:type="dxa"/>
              <w:left w:w="90" w:type="dxa"/>
              <w:right w:w="90" w:type="dxa"/>
            </w:tcMar>
          </w:tcPr>
          <w:p>
            <w:pPr>
              <w:keepNext/>
              <w:spacing w:before="0" w:after="40" w:line="250" w:lineRule="auto"/>
            </w:pPr>
            <w:r>
              <w:rPr>
                <w:b/>
                <w:color w:val="FFFFFF"/>
                <w:sz w:val="20"/>
              </w:rPr>
            </w:r>
            <w:r>
              <w:rPr>
                <w:b/>
                <w:color w:val="FFFFFF"/>
                <w:sz w:val="20"/>
              </w:rPr>
              <w:t>Finding / claim / handoff</w:t>
            </w:r>
          </w:p>
        </w:tc>
        <w:tc>
          <w:tcPr>
            <w:tcW w:type="dxa" w:w="4046"/>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Content action for Arnav</w:t>
            </w:r>
          </w:p>
        </w:tc>
        <w:tc>
          <w:tcPr>
            <w:tcW w:type="dxa" w:w="2909"/>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Required proof or decision owner</w:t>
            </w:r>
          </w:p>
        </w:tc>
        <w:tc>
          <w:tcPr>
            <w:tcW w:type="dxa" w:w="1310"/>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Status</w:t>
            </w:r>
          </w:p>
        </w:tc>
      </w:tr>
      <w:tr>
        <w:trPr>
          <w:cantSplit/>
        </w:trPr>
        <w:tc>
          <w:tcPr>
            <w:tcW w:type="dxa" w:w="2016"/>
            <w:vAlign w:val="center"/>
            <w:tcMar>
              <w:top w:w="75" w:type="dxa"/>
              <w:bottom w:w="75" w:type="dxa"/>
              <w:left w:w="90" w:type="dxa"/>
              <w:right w:w="90" w:type="dxa"/>
            </w:tcMar>
          </w:tcPr>
          <w:p>
            <w:pPr>
              <w:keepNext/>
              <w:spacing w:before="0" w:after="40" w:line="250" w:lineRule="auto"/>
            </w:pPr>
            <w:r>
              <w:rPr>
                <w:rFonts w:ascii="Calibri" w:hAnsi="Calibri"/>
                <w:sz w:val="20"/>
              </w:rPr>
              <w:t>First: F06 / C05 / I05</w:t>
            </w:r>
          </w:p>
        </w:tc>
        <w:tc>
          <w:tcPr>
            <w:tcW w:type="dxa" w:w="4046"/>
            <w:vAlign w:val="center"/>
            <w:tcMar>
              <w:top w:w="75" w:type="dxa"/>
              <w:bottom w:w="75" w:type="dxa"/>
              <w:left w:w="90" w:type="dxa"/>
              <w:right w:w="90" w:type="dxa"/>
            </w:tcMar>
          </w:tcPr>
          <w:p>
            <w:pPr>
              <w:keepNext/>
              <w:spacing w:before="0" w:after="40" w:line="250" w:lineRule="auto"/>
            </w:pPr>
            <w:r>
              <w:rPr>
                <w:sz w:val="20"/>
              </w:rPr>
            </w:r>
            <w:r>
              <w:rPr>
                <w:sz w:val="20"/>
              </w:rPr>
              <w:t>Revise “can keep the activity budget low” into a planning consideration, or support the cost benefit in the stated circumstances.</w:t>
            </w:r>
          </w:p>
        </w:tc>
        <w:tc>
          <w:tcPr>
            <w:tcW w:type="dxa" w:w="2909"/>
            <w:vAlign w:val="center"/>
            <w:tcMar>
              <w:top w:w="75" w:type="dxa"/>
              <w:bottom w:w="75" w:type="dxa"/>
              <w:left w:w="90" w:type="dxa"/>
              <w:right w:w="90" w:type="dxa"/>
            </w:tcMar>
          </w:tcPr>
          <w:p>
            <w:pPr>
              <w:keepNext/>
              <w:spacing w:before="0" w:after="40" w:line="250" w:lineRule="auto"/>
            </w:pPr>
            <w:r>
              <w:rPr>
                <w:sz w:val="20"/>
              </w:rPr>
            </w:r>
            <w:r>
              <w:rPr>
                <w:sz w:val="20"/>
              </w:rPr>
              <w:t>Strategy and finance support any retained comparison; Ajith approves VR prices.</w:t>
            </w:r>
          </w:p>
        </w:tc>
        <w:tc>
          <w:tcPr>
            <w:tcW w:type="dxa" w:w="1310"/>
            <w:vAlign w:val="center"/>
            <w:tcMar>
              <w:top w:w="75" w:type="dxa"/>
              <w:bottom w:w="75" w:type="dxa"/>
              <w:left w:w="90" w:type="dxa"/>
              <w:right w:w="90" w:type="dxa"/>
            </w:tcMar>
          </w:tcPr>
          <w:p>
            <w:pPr>
              <w:keepNext/>
              <w:spacing w:before="0" w:after="40" w:line="250" w:lineRule="auto"/>
            </w:pPr>
            <w:r>
              <w:rPr>
                <w:rFonts w:ascii="Calibri" w:hAnsi="Calibri"/>
                <w:sz w:val="20"/>
              </w:rPr>
              <w:t>Revise</w:t>
            </w:r>
          </w:p>
        </w:tc>
      </w:tr>
      <w:tr>
        <w:trPr>
          <w:cantSplit/>
        </w:trPr>
        <w:tc>
          <w:tcPr>
            <w:tcW w:type="dxa" w:w="2016"/>
            <w:shd w:fill="F2F5F8"/>
            <w:vAlign w:val="center"/>
            <w:tcMar>
              <w:top w:w="75" w:type="dxa"/>
              <w:bottom w:w="75" w:type="dxa"/>
              <w:left w:w="90" w:type="dxa"/>
              <w:right w:w="90" w:type="dxa"/>
            </w:tcMar>
          </w:tcPr>
          <w:p>
            <w:pPr>
              <w:keepNext/>
              <w:spacing w:before="0" w:after="40" w:line="250" w:lineRule="auto"/>
            </w:pPr>
            <w:r>
              <w:rPr>
                <w:rFonts w:ascii="Calibri" w:hAnsi="Calibri"/>
                <w:sz w:val="20"/>
              </w:rPr>
              <w:t>First: F08 / C08 / I06</w:t>
            </w:r>
          </w:p>
        </w:tc>
        <w:tc>
          <w:tcPr>
            <w:tcW w:type="dxa" w:w="4046"/>
            <w:shd w:fill="F2F5F8"/>
            <w:vAlign w:val="center"/>
            <w:tcMar>
              <w:top w:w="75" w:type="dxa"/>
              <w:bottom w:w="75" w:type="dxa"/>
              <w:left w:w="90" w:type="dxa"/>
              <w:right w:w="90" w:type="dxa"/>
            </w:tcMar>
          </w:tcPr>
          <w:p>
            <w:pPr>
              <w:keepNext/>
              <w:spacing w:before="0" w:after="40" w:line="250" w:lineRule="auto"/>
            </w:pPr>
            <w:r>
              <w:rPr>
                <w:sz w:val="20"/>
              </w:rPr>
            </w:r>
            <w:r>
              <w:rPr>
                <w:sz w:val="20"/>
              </w:rPr>
              <w:t>Revise “can lose momentum”, or supply evidence for that mystery-activity outcome and its conditions.</w:t>
            </w:r>
          </w:p>
        </w:tc>
        <w:tc>
          <w:tcPr>
            <w:tcW w:type="dxa" w:w="2909"/>
            <w:shd w:fill="F2F5F8"/>
            <w:vAlign w:val="center"/>
            <w:tcMar>
              <w:top w:w="75" w:type="dxa"/>
              <w:bottom w:w="75" w:type="dxa"/>
              <w:left w:w="90" w:type="dxa"/>
              <w:right w:w="90" w:type="dxa"/>
            </w:tcMar>
          </w:tcPr>
          <w:p>
            <w:pPr>
              <w:keepNext/>
              <w:spacing w:before="0" w:after="40" w:line="250" w:lineRule="auto"/>
            </w:pPr>
            <w:r>
              <w:rPr>
                <w:sz w:val="20"/>
              </w:rPr>
            </w:r>
            <w:r>
              <w:rPr>
                <w:sz w:val="20"/>
              </w:rPr>
              <w:t>A planner or source owner supports the exact statement and its limits.</w:t>
            </w:r>
          </w:p>
        </w:tc>
        <w:tc>
          <w:tcPr>
            <w:tcW w:type="dxa" w:w="1310"/>
            <w:shd w:fill="F2F5F8"/>
            <w:vAlign w:val="center"/>
            <w:tcMar>
              <w:top w:w="75" w:type="dxa"/>
              <w:bottom w:w="75" w:type="dxa"/>
              <w:left w:w="90" w:type="dxa"/>
              <w:right w:w="90" w:type="dxa"/>
            </w:tcMar>
          </w:tcPr>
          <w:p>
            <w:pPr>
              <w:keepNext/>
              <w:spacing w:before="0" w:after="40" w:line="250" w:lineRule="auto"/>
            </w:pPr>
            <w:r>
              <w:rPr>
                <w:rFonts w:ascii="Calibri" w:hAnsi="Calibri"/>
                <w:sz w:val="20"/>
              </w:rPr>
              <w:t>Revise</w:t>
            </w:r>
          </w:p>
        </w:tc>
      </w:tr>
      <w:tr>
        <w:trPr>
          <w:cantSplit/>
        </w:trPr>
        <w:tc>
          <w:tcPr>
            <w:tcW w:type="dxa" w:w="2016"/>
            <w:vAlign w:val="center"/>
            <w:tcMar>
              <w:top w:w="75" w:type="dxa"/>
              <w:bottom w:w="75" w:type="dxa"/>
              <w:left w:w="90" w:type="dxa"/>
              <w:right w:w="90" w:type="dxa"/>
            </w:tcMar>
          </w:tcPr>
          <w:p>
            <w:pPr>
              <w:spacing w:before="0" w:after="40" w:line="250" w:lineRule="auto"/>
            </w:pPr>
            <w:r>
              <w:rPr>
                <w:rFonts w:ascii="Calibri" w:hAnsi="Calibri"/>
                <w:sz w:val="20"/>
              </w:rPr>
              <w:t>First: F07 / C06 / I06</w:t>
            </w:r>
          </w:p>
        </w:tc>
        <w:tc>
          <w:tcPr>
            <w:tcW w:type="dxa" w:w="4046"/>
            <w:vAlign w:val="center"/>
            <w:tcMar>
              <w:top w:w="75" w:type="dxa"/>
              <w:bottom w:w="75" w:type="dxa"/>
              <w:left w:w="90" w:type="dxa"/>
              <w:right w:w="90" w:type="dxa"/>
            </w:tcMar>
          </w:tcPr>
          <w:p>
            <w:pPr>
              <w:spacing w:before="0" w:after="40" w:line="250" w:lineRule="auto"/>
            </w:pPr>
            <w:r>
              <w:rPr>
                <w:sz w:val="20"/>
              </w:rPr>
            </w:r>
            <w:r>
              <w:rPr>
                <w:sz w:val="20"/>
              </w:rPr>
              <w:t>Present “easier to organise” as planning advice, or support the claimed reduction in effort.</w:t>
            </w:r>
          </w:p>
        </w:tc>
        <w:tc>
          <w:tcPr>
            <w:tcW w:type="dxa" w:w="2909"/>
            <w:vAlign w:val="center"/>
            <w:tcMar>
              <w:top w:w="75" w:type="dxa"/>
              <w:bottom w:w="75" w:type="dxa"/>
              <w:left w:w="90" w:type="dxa"/>
              <w:right w:w="90" w:type="dxa"/>
            </w:tcMar>
          </w:tcPr>
          <w:p>
            <w:pPr>
              <w:spacing w:before="0" w:after="40" w:line="250" w:lineRule="auto"/>
            </w:pPr>
            <w:r>
              <w:rPr>
                <w:sz w:val="20"/>
              </w:rPr>
            </w:r>
            <w:r>
              <w:rPr>
                <w:sz w:val="20"/>
              </w:rPr>
              <w:t>A planner supplies relevant reasoning or observations.</w:t>
            </w:r>
          </w:p>
        </w:tc>
        <w:tc>
          <w:tcPr>
            <w:tcW w:type="dxa" w:w="1310"/>
            <w:vAlign w:val="center"/>
            <w:tcMar>
              <w:top w:w="75" w:type="dxa"/>
              <w:bottom w:w="75" w:type="dxa"/>
              <w:left w:w="90" w:type="dxa"/>
              <w:right w:w="90" w:type="dxa"/>
            </w:tcMar>
          </w:tcPr>
          <w:p>
            <w:pPr>
              <w:spacing w:before="0" w:after="40" w:line="250" w:lineRule="auto"/>
            </w:pPr>
            <w:r>
              <w:rPr>
                <w:rFonts w:ascii="Calibri" w:hAnsi="Calibri"/>
                <w:sz w:val="20"/>
              </w:rPr>
              <w:t>Revise</w:t>
            </w:r>
          </w:p>
        </w:tc>
      </w:tr>
      <w:tr>
        <w:trPr>
          <w:cantSplit/>
        </w:trPr>
        <w:tc>
          <w:tcPr>
            <w:tcW w:type="dxa" w:w="2016"/>
            <w:shd w:fill="F2F5F8"/>
            <w:vAlign w:val="center"/>
            <w:tcMar>
              <w:top w:w="75" w:type="dxa"/>
              <w:bottom w:w="75" w:type="dxa"/>
              <w:left w:w="90" w:type="dxa"/>
              <w:right w:w="90" w:type="dxa"/>
            </w:tcMar>
          </w:tcPr>
          <w:p>
            <w:pPr>
              <w:spacing w:before="0" w:after="40" w:line="250" w:lineRule="auto"/>
            </w:pPr>
            <w:r>
              <w:rPr>
                <w:rFonts w:ascii="Calibri" w:hAnsi="Calibri"/>
                <w:sz w:val="20"/>
              </w:rPr>
              <w:t>Next: F02 / C02/C10 / I01</w:t>
            </w:r>
          </w:p>
        </w:tc>
        <w:tc>
          <w:tcPr>
            <w:tcW w:type="dxa" w:w="4046"/>
            <w:shd w:fill="F2F5F8"/>
            <w:vAlign w:val="center"/>
            <w:tcMar>
              <w:top w:w="75" w:type="dxa"/>
              <w:bottom w:w="75" w:type="dxa"/>
              <w:left w:w="90" w:type="dxa"/>
              <w:right w:w="90" w:type="dxa"/>
            </w:tcMar>
          </w:tcPr>
          <w:p>
            <w:pPr>
              <w:spacing w:before="0" w:after="40" w:line="250" w:lineRule="auto"/>
            </w:pPr>
            <w:r>
              <w:rPr>
                <w:sz w:val="20"/>
              </w:rPr>
            </w:r>
            <w:r>
              <w:rPr>
                <w:sz w:val="20"/>
              </w:rPr>
              <w:t>Keep the method unscored. Record its version and request review of definitions and uncertainty. Do not add a scoring requirement.</w:t>
            </w:r>
          </w:p>
        </w:tc>
        <w:tc>
          <w:tcPr>
            <w:tcW w:type="dxa" w:w="2909"/>
            <w:shd w:fill="F2F5F8"/>
            <w:vAlign w:val="center"/>
            <w:tcMar>
              <w:top w:w="75" w:type="dxa"/>
              <w:bottom w:w="75" w:type="dxa"/>
              <w:left w:w="90" w:type="dxa"/>
              <w:right w:w="90" w:type="dxa"/>
            </w:tcMar>
          </w:tcPr>
          <w:p>
            <w:pPr>
              <w:spacing w:before="0" w:after="40" w:line="250" w:lineRule="auto"/>
            </w:pPr>
            <w:r>
              <w:rPr>
                <w:sz w:val="20"/>
              </w:rPr>
            </w:r>
            <w:r>
              <w:rPr>
                <w:sz w:val="20"/>
              </w:rPr>
              <w:t>Strategy Manager and a planner review and decide on the method.</w:t>
            </w:r>
          </w:p>
        </w:tc>
        <w:tc>
          <w:tcPr>
            <w:tcW w:type="dxa" w:w="1310"/>
            <w:shd w:fill="F2F5F8"/>
            <w:vAlign w:val="center"/>
            <w:tcMar>
              <w:top w:w="75" w:type="dxa"/>
              <w:bottom w:w="75" w:type="dxa"/>
              <w:left w:w="90" w:type="dxa"/>
              <w:right w:w="90" w:type="dxa"/>
            </w:tcMar>
          </w:tcPr>
          <w:p>
            <w:pPr>
              <w:spacing w:before="0" w:after="40" w:line="250" w:lineRule="auto"/>
            </w:pPr>
            <w:r>
              <w:rPr>
                <w:rFonts w:ascii="Calibri" w:hAnsi="Calibri"/>
                <w:sz w:val="20"/>
              </w:rPr>
              <w:t>Revise</w:t>
            </w:r>
          </w:p>
        </w:tc>
      </w:tr>
      <w:tr>
        <w:trPr>
          <w:cantSplit/>
        </w:trPr>
        <w:tc>
          <w:tcPr>
            <w:tcW w:type="dxa" w:w="2016"/>
            <w:vAlign w:val="center"/>
            <w:tcMar>
              <w:top w:w="75" w:type="dxa"/>
              <w:bottom w:w="75" w:type="dxa"/>
              <w:left w:w="90" w:type="dxa"/>
              <w:right w:w="90" w:type="dxa"/>
            </w:tcMar>
          </w:tcPr>
          <w:p>
            <w:pPr>
              <w:spacing w:before="0" w:after="40" w:line="250" w:lineRule="auto"/>
            </w:pPr>
            <w:r>
              <w:rPr>
                <w:rFonts w:ascii="Calibri" w:hAnsi="Calibri"/>
                <w:sz w:val="20"/>
              </w:rPr>
              <w:t>Next: F03 / C10 / I02</w:t>
            </w:r>
          </w:p>
        </w:tc>
        <w:tc>
          <w:tcPr>
            <w:tcW w:type="dxa" w:w="4046"/>
            <w:vAlign w:val="center"/>
            <w:tcMar>
              <w:top w:w="75" w:type="dxa"/>
              <w:bottom w:w="75" w:type="dxa"/>
              <w:left w:w="90" w:type="dxa"/>
              <w:right w:w="90" w:type="dxa"/>
            </w:tcMar>
          </w:tcPr>
          <w:p>
            <w:pPr>
              <w:spacing w:before="0" w:after="40" w:line="250" w:lineRule="auto"/>
            </w:pPr>
            <w:r>
              <w:rPr>
                <w:sz w:val="20"/>
              </w:rPr>
            </w:r>
            <w:r>
              <w:rPr>
                <w:sz w:val="20"/>
              </w:rPr>
              <w:t>Link each material six-format statement to its source passage, URL or version, date and limits. Supply exact PlayStation references.</w:t>
            </w:r>
          </w:p>
        </w:tc>
        <w:tc>
          <w:tcPr>
            <w:tcW w:type="dxa" w:w="2909"/>
            <w:vAlign w:val="center"/>
            <w:tcMar>
              <w:top w:w="75" w:type="dxa"/>
              <w:bottom w:w="75" w:type="dxa"/>
              <w:left w:w="90" w:type="dxa"/>
              <w:right w:w="90" w:type="dxa"/>
            </w:tcMar>
          </w:tcPr>
          <w:p>
            <w:pPr>
              <w:spacing w:before="0" w:after="40" w:line="250" w:lineRule="auto"/>
            </w:pPr>
            <w:r>
              <w:rPr>
                <w:sz w:val="20"/>
              </w:rPr>
            </w:r>
            <w:r>
              <w:rPr>
                <w:sz w:val="20"/>
              </w:rPr>
              <w:t>Arnav completes mapping; the relevant source owner and planner review support and applicability.</w:t>
            </w:r>
          </w:p>
        </w:tc>
        <w:tc>
          <w:tcPr>
            <w:tcW w:type="dxa" w:w="1310"/>
            <w:vAlign w:val="center"/>
            <w:tcMar>
              <w:top w:w="75" w:type="dxa"/>
              <w:bottom w:w="75" w:type="dxa"/>
              <w:left w:w="90" w:type="dxa"/>
              <w:right w:w="90" w:type="dxa"/>
            </w:tcMar>
          </w:tcPr>
          <w:p>
            <w:pPr>
              <w:spacing w:before="0" w:after="40" w:line="250" w:lineRule="auto"/>
            </w:pPr>
            <w:r>
              <w:rPr>
                <w:rFonts w:ascii="Calibri" w:hAnsi="Calibri"/>
                <w:sz w:val="20"/>
              </w:rPr>
              <w:t>Revise</w:t>
            </w:r>
          </w:p>
        </w:tc>
      </w:tr>
      <w:tr>
        <w:trPr>
          <w:cantSplit/>
        </w:trPr>
        <w:tc>
          <w:tcPr>
            <w:tcW w:type="dxa" w:w="2016"/>
            <w:shd w:fill="F2F5F8"/>
            <w:vAlign w:val="center"/>
            <w:tcMar>
              <w:top w:w="75" w:type="dxa"/>
              <w:bottom w:w="75" w:type="dxa"/>
              <w:left w:w="90" w:type="dxa"/>
              <w:right w:w="90" w:type="dxa"/>
            </w:tcMar>
          </w:tcPr>
          <w:p>
            <w:pPr>
              <w:spacing w:before="0" w:after="40" w:line="250" w:lineRule="auto"/>
            </w:pPr>
            <w:r>
              <w:rPr>
                <w:rFonts w:ascii="Calibri" w:hAnsi="Calibri"/>
                <w:sz w:val="20"/>
              </w:rPr>
              <w:t>F01/F07/F11 / C01/C07/C11</w:t>
            </w:r>
          </w:p>
        </w:tc>
        <w:tc>
          <w:tcPr>
            <w:tcW w:type="dxa" w:w="4046"/>
            <w:shd w:fill="F2F5F8"/>
            <w:vAlign w:val="center"/>
            <w:tcMar>
              <w:top w:w="75" w:type="dxa"/>
              <w:bottom w:w="75" w:type="dxa"/>
              <w:left w:w="90" w:type="dxa"/>
              <w:right w:w="90" w:type="dxa"/>
            </w:tcMar>
          </w:tcPr>
          <w:p>
            <w:pPr>
              <w:spacing w:before="0" w:after="40" w:line="250" w:lineRule="auto"/>
            </w:pPr>
            <w:r>
              <w:rPr>
                <w:sz w:val="20"/>
              </w:rPr>
            </w:r>
            <w:r>
              <w:rPr>
                <w:sz w:val="20"/>
              </w:rPr>
              <w:t>Keep the pages’ separate roles, the blank run sheet without timings and general descriptions of the formats.</w:t>
            </w:r>
          </w:p>
        </w:tc>
        <w:tc>
          <w:tcPr>
            <w:tcW w:type="dxa" w:w="2909"/>
            <w:shd w:fill="F2F5F8"/>
            <w:vAlign w:val="center"/>
            <w:tcMar>
              <w:top w:w="75" w:type="dxa"/>
              <w:bottom w:w="75" w:type="dxa"/>
              <w:left w:w="90" w:type="dxa"/>
              <w:right w:w="90" w:type="dxa"/>
            </w:tcMar>
          </w:tcPr>
          <w:p>
            <w:pPr>
              <w:spacing w:before="0" w:after="40" w:line="250" w:lineRule="auto"/>
            </w:pPr>
            <w:r>
              <w:rPr>
                <w:sz w:val="20"/>
              </w:rPr>
            </w:r>
            <w:r>
              <w:rPr>
                <w:sz w:val="20"/>
              </w:rPr>
              <w:t>Any new factual claim requires its existing supporting evidence.</w:t>
            </w:r>
          </w:p>
        </w:tc>
        <w:tc>
          <w:tcPr>
            <w:tcW w:type="dxa" w:w="1310"/>
            <w:shd w:fill="F2F5F8"/>
            <w:vAlign w:val="center"/>
            <w:tcMar>
              <w:top w:w="75" w:type="dxa"/>
              <w:bottom w:w="75" w:type="dxa"/>
              <w:left w:w="90" w:type="dxa"/>
              <w:right w:w="90" w:type="dxa"/>
            </w:tcMar>
          </w:tcPr>
          <w:p>
            <w:pPr>
              <w:spacing w:before="0" w:after="40" w:line="250" w:lineRule="auto"/>
            </w:pPr>
            <w:r>
              <w:rPr>
                <w:rFonts w:ascii="Calibri" w:hAnsi="Calibri"/>
                <w:sz w:val="20"/>
              </w:rPr>
              <w:t>Can Proceed</w:t>
            </w:r>
          </w:p>
        </w:tc>
      </w:tr>
      <w:tr>
        <w:trPr>
          <w:cantSplit/>
        </w:trPr>
        <w:tc>
          <w:tcPr>
            <w:tcW w:type="dxa" w:w="2016"/>
            <w:vAlign w:val="center"/>
            <w:tcMar>
              <w:top w:w="75" w:type="dxa"/>
              <w:bottom w:w="75" w:type="dxa"/>
              <w:left w:w="90" w:type="dxa"/>
              <w:right w:w="90" w:type="dxa"/>
            </w:tcMar>
          </w:tcPr>
          <w:p>
            <w:pPr>
              <w:spacing w:before="0" w:after="40" w:line="250" w:lineRule="auto"/>
            </w:pPr>
            <w:r>
              <w:rPr>
                <w:rFonts w:ascii="Calibri" w:hAnsi="Calibri"/>
                <w:sz w:val="20"/>
              </w:rPr>
              <w:t>F04/F05/F09/F11 / C03/C04/C09/C11 / I03/I04/I07/I09</w:t>
            </w:r>
          </w:p>
        </w:tc>
        <w:tc>
          <w:tcPr>
            <w:tcW w:type="dxa" w:w="4046"/>
            <w:vAlign w:val="center"/>
            <w:tcMar>
              <w:top w:w="75" w:type="dxa"/>
              <w:bottom w:w="75" w:type="dxa"/>
              <w:left w:w="90" w:type="dxa"/>
              <w:right w:w="90" w:type="dxa"/>
            </w:tcMar>
          </w:tcPr>
          <w:p>
            <w:pPr>
              <w:spacing w:before="0" w:after="40" w:line="250" w:lineRule="auto"/>
            </w:pPr>
            <w:r>
              <w:rPr>
                <w:sz w:val="20"/>
              </w:rPr>
            </w:r>
            <w:r>
              <w:rPr>
                <w:sz w:val="20"/>
              </w:rPr>
              <w:t>Keep unverified limits, suitability, safety, accessibility and Viri VR service details held. Do not assume Melbourne service facts apply here.</w:t>
            </w:r>
          </w:p>
        </w:tc>
        <w:tc>
          <w:tcPr>
            <w:tcW w:type="dxa" w:w="2909"/>
            <w:vAlign w:val="center"/>
            <w:tcMar>
              <w:top w:w="75" w:type="dxa"/>
              <w:bottom w:w="75" w:type="dxa"/>
              <w:left w:w="90" w:type="dxa"/>
              <w:right w:w="90" w:type="dxa"/>
            </w:tcMar>
          </w:tcPr>
          <w:p>
            <w:pPr>
              <w:spacing w:before="0" w:after="40" w:line="250" w:lineRule="auto"/>
            </w:pPr>
            <w:r>
              <w:rPr>
                <w:sz w:val="20"/>
              </w:rPr>
            </w:r>
            <w:r>
              <w:rPr>
                <w:sz w:val="20"/>
              </w:rPr>
              <w:t>Activity-specific guidance or tests; current owner records and authorised wording.</w:t>
            </w:r>
          </w:p>
        </w:tc>
        <w:tc>
          <w:tcPr>
            <w:tcW w:type="dxa" w:w="1310"/>
            <w:vAlign w:val="center"/>
            <w:tcMar>
              <w:top w:w="75" w:type="dxa"/>
              <w:bottom w:w="75" w:type="dxa"/>
              <w:left w:w="90" w:type="dxa"/>
              <w:right w:w="90" w:type="dxa"/>
            </w:tcMar>
          </w:tcPr>
          <w:p>
            <w:pPr>
              <w:spacing w:before="0" w:after="40" w:line="250" w:lineRule="auto"/>
            </w:pPr>
            <w:r>
              <w:rPr>
                <w:rFonts w:ascii="Calibri" w:hAnsi="Calibri"/>
                <w:sz w:val="20"/>
              </w:rPr>
              <w:t>On Hold</w:t>
            </w:r>
          </w:p>
        </w:tc>
      </w:tr>
      <w:tr>
        <w:trPr>
          <w:cantSplit/>
        </w:trPr>
        <w:tc>
          <w:tcPr>
            <w:tcW w:type="dxa" w:w="2016"/>
            <w:shd w:fill="F2F5F8"/>
            <w:vAlign w:val="center"/>
            <w:tcMar>
              <w:top w:w="75" w:type="dxa"/>
              <w:bottom w:w="75" w:type="dxa"/>
              <w:left w:w="90" w:type="dxa"/>
              <w:right w:w="90" w:type="dxa"/>
            </w:tcMar>
          </w:tcPr>
          <w:p>
            <w:pPr>
              <w:spacing w:before="0" w:after="40" w:line="250" w:lineRule="auto"/>
            </w:pPr>
            <w:r>
              <w:rPr>
                <w:rFonts w:ascii="Calibri" w:hAnsi="Calibri"/>
                <w:sz w:val="20"/>
              </w:rPr>
              <w:t>F10 / C07/C12 / I08</w:t>
            </w:r>
          </w:p>
        </w:tc>
        <w:tc>
          <w:tcPr>
            <w:tcW w:type="dxa" w:w="4046"/>
            <w:shd w:fill="F2F5F8"/>
            <w:vAlign w:val="center"/>
            <w:tcMar>
              <w:top w:w="75" w:type="dxa"/>
              <w:bottom w:w="75" w:type="dxa"/>
              <w:left w:w="90" w:type="dxa"/>
              <w:right w:w="90" w:type="dxa"/>
            </w:tcMar>
          </w:tcPr>
          <w:p>
            <w:pPr>
              <w:spacing w:before="0" w:after="40" w:line="250" w:lineRule="auto"/>
            </w:pPr>
            <w:r>
              <w:rPr>
                <w:sz w:val="20"/>
              </w:rPr>
            </w:r>
            <w:r>
              <w:rPr>
                <w:sz w:val="20"/>
              </w:rPr>
              <w:t>Keep the real-example section empty. Record what each proposed photo, testimonial or event record can support.</w:t>
            </w:r>
          </w:p>
        </w:tc>
        <w:tc>
          <w:tcPr>
            <w:tcW w:type="dxa" w:w="2909"/>
            <w:shd w:fill="F2F5F8"/>
            <w:vAlign w:val="center"/>
            <w:tcMar>
              <w:top w:w="75" w:type="dxa"/>
              <w:bottom w:w="75" w:type="dxa"/>
              <w:left w:w="90" w:type="dxa"/>
              <w:right w:w="90" w:type="dxa"/>
            </w:tcMar>
          </w:tcPr>
          <w:p>
            <w:pPr>
              <w:spacing w:before="0" w:after="40" w:line="250" w:lineRule="auto"/>
            </w:pPr>
            <w:r>
              <w:rPr>
                <w:sz w:val="20"/>
              </w:rPr>
            </w:r>
            <w:r>
              <w:rPr>
                <w:sz w:val="20"/>
              </w:rPr>
              <w:t>Ajith and evidence and consent owners provide original records, rights and publication permission.</w:t>
            </w:r>
          </w:p>
        </w:tc>
        <w:tc>
          <w:tcPr>
            <w:tcW w:type="dxa" w:w="1310"/>
            <w:shd w:fill="F2F5F8"/>
            <w:vAlign w:val="center"/>
            <w:tcMar>
              <w:top w:w="75" w:type="dxa"/>
              <w:bottom w:w="75" w:type="dxa"/>
              <w:left w:w="90" w:type="dxa"/>
              <w:right w:w="90" w:type="dxa"/>
            </w:tcMar>
          </w:tcPr>
          <w:p>
            <w:pPr>
              <w:spacing w:before="0" w:after="40" w:line="250" w:lineRule="auto"/>
            </w:pPr>
            <w:r>
              <w:rPr>
                <w:rFonts w:ascii="Calibri" w:hAnsi="Calibri"/>
                <w:sz w:val="20"/>
              </w:rPr>
              <w:t>On Hold</w:t>
            </w:r>
          </w:p>
        </w:tc>
      </w:tr>
      <w:tr>
        <w:trPr>
          <w:cantSplit/>
        </w:trPr>
        <w:tc>
          <w:tcPr>
            <w:tcW w:type="dxa" w:w="2016"/>
            <w:vAlign w:val="center"/>
            <w:tcMar>
              <w:top w:w="75" w:type="dxa"/>
              <w:bottom w:w="75" w:type="dxa"/>
              <w:left w:w="90" w:type="dxa"/>
              <w:right w:w="90" w:type="dxa"/>
            </w:tcMar>
          </w:tcPr>
          <w:p>
            <w:pPr>
              <w:keepNext/>
              <w:spacing w:before="0" w:after="40" w:line="250" w:lineRule="auto"/>
            </w:pPr>
            <w:r>
              <w:rPr>
                <w:rFonts w:ascii="Calibri" w:hAnsi="Calibri"/>
                <w:sz w:val="20"/>
              </w:rPr>
              <w:t>F15 / I14</w:t>
            </w:r>
          </w:p>
        </w:tc>
        <w:tc>
          <w:tcPr>
            <w:tcW w:type="dxa" w:w="4046"/>
            <w:vAlign w:val="center"/>
            <w:tcMar>
              <w:top w:w="75" w:type="dxa"/>
              <w:bottom w:w="75" w:type="dxa"/>
              <w:left w:w="90" w:type="dxa"/>
              <w:right w:w="90" w:type="dxa"/>
            </w:tcMar>
          </w:tcPr>
          <w:p>
            <w:pPr>
              <w:keepNext/>
              <w:spacing w:before="0" w:after="40" w:line="250" w:lineRule="auto"/>
            </w:pPr>
            <w:r>
              <w:rPr>
                <w:sz w:val="20"/>
              </w:rPr>
            </w:r>
            <w:r>
              <w:rPr>
                <w:sz w:val="20"/>
              </w:rPr>
              <w:t>Keep the public reviewer name and placeholder off the page. Request and record the client’s decision. Change the revision date only after actual revisions.</w:t>
            </w:r>
          </w:p>
        </w:tc>
        <w:tc>
          <w:tcPr>
            <w:tcW w:type="dxa" w:w="2909"/>
            <w:vAlign w:val="center"/>
            <w:tcMar>
              <w:top w:w="75" w:type="dxa"/>
              <w:bottom w:w="75" w:type="dxa"/>
              <w:left w:w="90" w:type="dxa"/>
              <w:right w:w="90" w:type="dxa"/>
            </w:tcMar>
          </w:tcPr>
          <w:p>
            <w:pPr>
              <w:keepNext/>
              <w:spacing w:before="0" w:after="40" w:line="250" w:lineRule="auto"/>
            </w:pPr>
            <w:r>
              <w:rPr>
                <w:sz w:val="20"/>
              </w:rPr>
            </w:r>
            <w:r>
              <w:rPr>
                <w:sz w:val="20"/>
              </w:rPr>
              <w:t>The client authorises the reviewer’s identity and public use; credentials need evidence.</w:t>
            </w:r>
          </w:p>
        </w:tc>
        <w:tc>
          <w:tcPr>
            <w:tcW w:type="dxa" w:w="1310"/>
            <w:vAlign w:val="center"/>
            <w:tcMar>
              <w:top w:w="75" w:type="dxa"/>
              <w:bottom w:w="75" w:type="dxa"/>
              <w:left w:w="90" w:type="dxa"/>
              <w:right w:w="90" w:type="dxa"/>
            </w:tcMar>
          </w:tcPr>
          <w:p>
            <w:pPr>
              <w:keepNext/>
              <w:spacing w:before="0" w:after="40" w:line="250" w:lineRule="auto"/>
            </w:pPr>
            <w:r>
              <w:rPr>
                <w:rFonts w:ascii="Calibri" w:hAnsi="Calibri"/>
                <w:sz w:val="20"/>
              </w:rPr>
              <w:t>On Hold</w:t>
            </w:r>
          </w:p>
        </w:tc>
      </w:tr>
      <w:tr>
        <w:trPr>
          <w:cantSplit/>
        </w:trPr>
        <w:tc>
          <w:tcPr>
            <w:tcW w:type="dxa" w:w="2016"/>
            <w:shd w:fill="F2F5F8"/>
            <w:vAlign w:val="center"/>
            <w:tcMar>
              <w:top w:w="75" w:type="dxa"/>
              <w:bottom w:w="75" w:type="dxa"/>
              <w:left w:w="90" w:type="dxa"/>
              <w:right w:w="90" w:type="dxa"/>
            </w:tcMar>
          </w:tcPr>
          <w:p>
            <w:pPr>
              <w:keepNext/>
              <w:spacing w:before="0" w:after="40" w:line="250" w:lineRule="auto"/>
            </w:pPr>
            <w:r>
              <w:rPr>
                <w:rFonts w:ascii="Calibri" w:hAnsi="Calibri"/>
                <w:sz w:val="20"/>
              </w:rPr>
              <w:t>F13 / C14 / I10</w:t>
            </w:r>
          </w:p>
        </w:tc>
        <w:tc>
          <w:tcPr>
            <w:tcW w:type="dxa" w:w="4046"/>
            <w:shd w:fill="F2F5F8"/>
            <w:vAlign w:val="center"/>
            <w:tcMar>
              <w:top w:w="75" w:type="dxa"/>
              <w:bottom w:w="75" w:type="dxa"/>
              <w:left w:w="90" w:type="dxa"/>
              <w:right w:w="90" w:type="dxa"/>
            </w:tcMar>
          </w:tcPr>
          <w:p>
            <w:pPr>
              <w:keepNext/>
              <w:spacing w:before="0" w:after="40" w:line="250" w:lineRule="auto"/>
            </w:pPr>
            <w:r>
              <w:rPr>
                <w:sz w:val="20"/>
              </w:rPr>
            </w:r>
            <w:r>
              <w:rPr>
                <w:sz w:val="20"/>
              </w:rPr>
              <w:t>Resolve /house-party-ideas versus /house-party/ideas/ before choosing the canonical address (preferred page URL) or setting redirects. Keep old-content and extra-link decisions held.</w:t>
            </w:r>
          </w:p>
        </w:tc>
        <w:tc>
          <w:tcPr>
            <w:tcW w:type="dxa" w:w="2909"/>
            <w:shd w:fill="F2F5F8"/>
            <w:vAlign w:val="center"/>
            <w:tcMar>
              <w:top w:w="75" w:type="dxa"/>
              <w:bottom w:w="75" w:type="dxa"/>
              <w:left w:w="90" w:type="dxa"/>
              <w:right w:w="90" w:type="dxa"/>
            </w:tcMar>
          </w:tcPr>
          <w:p>
            <w:pPr>
              <w:keepNext/>
              <w:spacing w:before="0" w:after="40" w:line="250" w:lineRule="auto"/>
            </w:pPr>
            <w:r>
              <w:rPr>
                <w:sz w:val="20"/>
              </w:rPr>
            </w:r>
            <w:r>
              <w:rPr>
                <w:sz w:val="20"/>
              </w:rPr>
              <w:t>Strategy, Search, the client where required and Technical SEO confirm and test the decision.</w:t>
            </w:r>
          </w:p>
        </w:tc>
        <w:tc>
          <w:tcPr>
            <w:tcW w:type="dxa" w:w="1310"/>
            <w:shd w:fill="F2F5F8"/>
            <w:vAlign w:val="center"/>
            <w:tcMar>
              <w:top w:w="75" w:type="dxa"/>
              <w:bottom w:w="75" w:type="dxa"/>
              <w:left w:w="90" w:type="dxa"/>
              <w:right w:w="90" w:type="dxa"/>
            </w:tcMar>
          </w:tcPr>
          <w:p>
            <w:pPr>
              <w:keepNext/>
              <w:spacing w:before="0" w:after="40" w:line="250" w:lineRule="auto"/>
            </w:pPr>
            <w:r>
              <w:rPr>
                <w:rFonts w:ascii="Calibri" w:hAnsi="Calibri"/>
                <w:sz w:val="20"/>
              </w:rPr>
              <w:t>On Hold</w:t>
            </w:r>
          </w:p>
        </w:tc>
      </w:tr>
      <w:tr>
        <w:trPr>
          <w:cantSplit/>
        </w:trPr>
        <w:tc>
          <w:tcPr>
            <w:tcW w:type="dxa" w:w="2016"/>
            <w:vAlign w:val="center"/>
            <w:tcMar>
              <w:top w:w="75" w:type="dxa"/>
              <w:bottom w:w="75" w:type="dxa"/>
              <w:left w:w="90" w:type="dxa"/>
              <w:right w:w="90" w:type="dxa"/>
            </w:tcMar>
          </w:tcPr>
          <w:p>
            <w:pPr>
              <w:spacing w:before="0" w:after="40" w:line="250" w:lineRule="auto"/>
            </w:pPr>
            <w:r>
              <w:rPr>
                <w:rFonts w:ascii="Calibri" w:hAnsi="Calibri"/>
                <w:sz w:val="20"/>
              </w:rPr>
              <w:t>F12/F15 / C13 / I11/I13/I14</w:t>
            </w:r>
          </w:p>
        </w:tc>
        <w:tc>
          <w:tcPr>
            <w:tcW w:type="dxa" w:w="4046"/>
            <w:vAlign w:val="center"/>
            <w:tcMar>
              <w:top w:w="75" w:type="dxa"/>
              <w:bottom w:w="75" w:type="dxa"/>
              <w:left w:w="90" w:type="dxa"/>
              <w:right w:w="90" w:type="dxa"/>
            </w:tcMar>
          </w:tcPr>
          <w:p>
            <w:pPr>
              <w:spacing w:before="0" w:after="40" w:line="250" w:lineRule="auto"/>
            </w:pPr>
            <w:r>
              <w:rPr>
                <w:sz w:val="20"/>
              </w:rPr>
            </w:r>
            <w:r>
              <w:rPr>
                <w:sz w:val="20"/>
              </w:rPr>
              <w:t>Return revised content, the method version, source map and open decisions for review. Withhold claims about performance or results.</w:t>
            </w:r>
          </w:p>
        </w:tc>
        <w:tc>
          <w:tcPr>
            <w:tcW w:type="dxa" w:w="2909"/>
            <w:vAlign w:val="center"/>
            <w:tcMar>
              <w:top w:w="75" w:type="dxa"/>
              <w:bottom w:w="75" w:type="dxa"/>
              <w:left w:w="90" w:type="dxa"/>
              <w:right w:w="90" w:type="dxa"/>
            </w:tcMar>
          </w:tcPr>
          <w:p>
            <w:pPr>
              <w:spacing w:before="0" w:after="40" w:line="250" w:lineRule="auto"/>
            </w:pPr>
            <w:r>
              <w:rPr>
                <w:sz w:val="20"/>
              </w:rPr>
            </w:r>
            <w:r>
              <w:rPr>
                <w:sz w:val="20"/>
              </w:rPr>
              <w:t>Analytics and AI Visibility provide definitions and observations; Technical SEO tests implementation; authorised humans approve publication.</w:t>
            </w:r>
          </w:p>
        </w:tc>
        <w:tc>
          <w:tcPr>
            <w:tcW w:type="dxa" w:w="1310"/>
            <w:vAlign w:val="center"/>
            <w:tcMar>
              <w:top w:w="75" w:type="dxa"/>
              <w:bottom w:w="75" w:type="dxa"/>
              <w:left w:w="90" w:type="dxa"/>
              <w:right w:w="90" w:type="dxa"/>
            </w:tcMar>
          </w:tcPr>
          <w:p>
            <w:pPr>
              <w:spacing w:before="0" w:after="40" w:line="250" w:lineRule="auto"/>
            </w:pPr>
            <w:r>
              <w:rPr>
                <w:rFonts w:ascii="Calibri" w:hAnsi="Calibri"/>
                <w:sz w:val="20"/>
              </w:rPr>
              <w:t>Revise</w:t>
            </w:r>
          </w:p>
        </w:tc>
      </w:tr>
    </w:tbl>
    <w:p>
      <w:pPr>
        <w:spacing w:after="40"/>
      </w:pPr>
      <w:r/>
    </w:p>
    <w:p>
      <w:pPr>
        <w:keepLines/>
      </w:pPr>
      <w:r>
        <w:t>Address the three wording issues first, then complete the claim-to-source mapping and request comparison-method review. Keep the reviewer, page-address and evidence decisions visible. F14/I12 concerns possible future citations, links or media coverage; it does not block drafting.</w:t>
      </w:r>
    </w:p>
    <w:p>
      <w:pPr>
        <w:pStyle w:val="Heading2"/>
        <w:keepNext/>
        <w:keepLines/>
      </w:pPr>
      <w:r>
        <w:rPr>
          <w:color w:val="000000"/>
        </w:rPr>
        <w:t>5.3 Responsibilities and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906"/>
      </w:tblGrid>
      <w:tr>
        <w:trPr>
          <w:tblHeader/>
        </w:trPr>
        <w:tc>
          <w:tcPr>
            <w:tcW w:type="dxa" w:w="2376"/>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Role</w:t>
            </w:r>
          </w:p>
        </w:tc>
        <w:tc>
          <w:tcPr>
            <w:tcW w:type="dxa" w:w="7906"/>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Required contribution and decision boundary</w:t>
            </w:r>
          </w:p>
        </w:tc>
      </w:tr>
      <w:tr>
        <w:trPr>
          <w:cantSplit/>
        </w:trPr>
        <w:tc>
          <w:tcPr>
            <w:tcW w:type="dxa" w:w="2376"/>
            <w:vAlign w:val="center"/>
            <w:tcMar>
              <w:top w:w="75" w:type="dxa"/>
              <w:bottom w:w="75" w:type="dxa"/>
              <w:left w:w="90" w:type="dxa"/>
              <w:right w:w="90" w:type="dxa"/>
            </w:tcMar>
          </w:tcPr>
          <w:p>
            <w:pPr>
              <w:keepNext/>
              <w:spacing w:before="0" w:after="40" w:line="250" w:lineRule="auto"/>
            </w:pPr>
            <w:r>
              <w:rPr>
                <w:sz w:val="20"/>
              </w:rPr>
            </w:r>
            <w:r>
              <w:rPr>
                <w:sz w:val="20"/>
              </w:rPr>
              <w:t>Arnav Jain — Content Manager</w:t>
            </w:r>
          </w:p>
        </w:tc>
        <w:tc>
          <w:tcPr>
            <w:tcW w:type="dxa" w:w="7906"/>
            <w:vAlign w:val="center"/>
            <w:tcMar>
              <w:top w:w="75" w:type="dxa"/>
              <w:bottom w:w="75" w:type="dxa"/>
              <w:left w:w="90" w:type="dxa"/>
              <w:right w:w="90" w:type="dxa"/>
            </w:tcMar>
          </w:tcPr>
          <w:p>
            <w:pPr>
              <w:keepNext/>
              <w:spacing w:before="0" w:after="40" w:line="250" w:lineRule="auto"/>
            </w:pPr>
            <w:r>
              <w:rPr>
                <w:sz w:val="20"/>
              </w:rPr>
            </w:r>
            <w:r>
              <w:rPr>
                <w:sz w:val="20"/>
              </w:rPr>
              <w:t>Own content corrections, source mapping, evidence holds and return for review. Coordinate proof and decisions. Do not independently verify operations or approve publication.</w:t>
            </w:r>
          </w:p>
        </w:tc>
      </w:tr>
      <w:tr>
        <w:trPr>
          <w:cantSplit/>
        </w:trPr>
        <w:tc>
          <w:tcPr>
            <w:tcW w:type="dxa" w:w="2376"/>
            <w:shd w:fill="F2F5F8"/>
            <w:vAlign w:val="center"/>
            <w:tcMar>
              <w:top w:w="75" w:type="dxa"/>
              <w:bottom w:w="75" w:type="dxa"/>
              <w:left w:w="90" w:type="dxa"/>
              <w:right w:w="90" w:type="dxa"/>
            </w:tcMar>
          </w:tcPr>
          <w:p>
            <w:pPr>
              <w:keepNext/>
              <w:spacing w:before="0" w:after="40" w:line="250" w:lineRule="auto"/>
            </w:pPr>
            <w:r>
              <w:rPr>
                <w:sz w:val="20"/>
              </w:rPr>
            </w:r>
            <w:r>
              <w:rPr>
                <w:sz w:val="20"/>
              </w:rPr>
              <w:t>Ajith and delegated business owners</w:t>
            </w:r>
          </w:p>
        </w:tc>
        <w:tc>
          <w:tcPr>
            <w:tcW w:type="dxa" w:w="7906"/>
            <w:shd w:fill="F2F5F8"/>
            <w:vAlign w:val="center"/>
            <w:tcMar>
              <w:top w:w="75" w:type="dxa"/>
              <w:bottom w:w="75" w:type="dxa"/>
              <w:left w:w="90" w:type="dxa"/>
              <w:right w:w="90" w:type="dxa"/>
            </w:tcMar>
          </w:tcPr>
          <w:p>
            <w:pPr>
              <w:keepNext/>
              <w:spacing w:before="0" w:after="40" w:line="250" w:lineRule="auto"/>
            </w:pPr>
            <w:r>
              <w:rPr>
                <w:sz w:val="20"/>
              </w:rPr>
            </w:r>
            <w:r>
              <w:rPr>
                <w:sz w:val="20"/>
              </w:rPr>
              <w:t>Supply current evidence for service, coverage, commercial and operating claims, with authorised wording. Refer sensitive matters to the relevant owners.</w:t>
            </w:r>
          </w:p>
        </w:tc>
      </w:tr>
      <w:tr>
        <w:trPr>
          <w:cantSplit/>
        </w:trPr>
        <w:tc>
          <w:tcPr>
            <w:tcW w:type="dxa" w:w="2376"/>
            <w:vAlign w:val="center"/>
            <w:tcMar>
              <w:top w:w="75" w:type="dxa"/>
              <w:bottom w:w="75" w:type="dxa"/>
              <w:left w:w="90" w:type="dxa"/>
              <w:right w:w="90" w:type="dxa"/>
            </w:tcMar>
          </w:tcPr>
          <w:p>
            <w:pPr>
              <w:spacing w:before="0" w:after="40" w:line="250" w:lineRule="auto"/>
            </w:pPr>
            <w:r>
              <w:rPr>
                <w:sz w:val="20"/>
              </w:rPr>
            </w:r>
            <w:r>
              <w:rPr>
                <w:sz w:val="20"/>
              </w:rPr>
              <w:t>Strategy, Search and planner</w:t>
            </w:r>
          </w:p>
        </w:tc>
        <w:tc>
          <w:tcPr>
            <w:tcW w:type="dxa" w:w="7906"/>
            <w:vAlign w:val="center"/>
            <w:tcMar>
              <w:top w:w="75" w:type="dxa"/>
              <w:bottom w:w="75" w:type="dxa"/>
              <w:left w:w="90" w:type="dxa"/>
              <w:right w:w="90" w:type="dxa"/>
            </w:tcMar>
          </w:tcPr>
          <w:p>
            <w:pPr>
              <w:spacing w:before="0" w:after="40" w:line="250" w:lineRule="auto"/>
            </w:pPr>
            <w:r>
              <w:rPr>
                <w:sz w:val="20"/>
              </w:rPr>
            </w:r>
            <w:r>
              <w:rPr>
                <w:sz w:val="20"/>
              </w:rPr>
              <w:t>Review the comparison method and balanced descriptions. Decide phrase, target, extra-link and page-address requirements within their authority.</w:t>
            </w:r>
          </w:p>
        </w:tc>
      </w:tr>
      <w:tr>
        <w:trPr>
          <w:cantSplit/>
        </w:trPr>
        <w:tc>
          <w:tcPr>
            <w:tcW w:type="dxa" w:w="2376"/>
            <w:shd w:fill="F2F5F8"/>
            <w:vAlign w:val="center"/>
            <w:tcMar>
              <w:top w:w="75" w:type="dxa"/>
              <w:bottom w:w="75" w:type="dxa"/>
              <w:left w:w="90" w:type="dxa"/>
              <w:right w:w="90" w:type="dxa"/>
            </w:tcMar>
          </w:tcPr>
          <w:p>
            <w:pPr>
              <w:keepNext/>
              <w:spacing w:before="0" w:after="40" w:line="250" w:lineRule="auto"/>
            </w:pPr>
            <w:r>
              <w:rPr>
                <w:sz w:val="20"/>
              </w:rPr>
            </w:r>
            <w:r>
              <w:rPr>
                <w:sz w:val="20"/>
              </w:rPr>
              <w:t>Safety, insurance, legal, privacy and consent owners</w:t>
            </w:r>
          </w:p>
        </w:tc>
        <w:tc>
          <w:tcPr>
            <w:tcW w:type="dxa" w:w="7906"/>
            <w:shd w:fill="F2F5F8"/>
            <w:vAlign w:val="center"/>
            <w:tcMar>
              <w:top w:w="75" w:type="dxa"/>
              <w:bottom w:w="75" w:type="dxa"/>
              <w:left w:w="90" w:type="dxa"/>
              <w:right w:w="90" w:type="dxa"/>
            </w:tcMar>
          </w:tcPr>
          <w:p>
            <w:pPr>
              <w:keepNext/>
              <w:spacing w:before="0" w:after="40" w:line="250" w:lineRule="auto"/>
            </w:pPr>
            <w:r>
              <w:rPr>
                <w:sz w:val="20"/>
              </w:rPr>
            </w:r>
            <w:r>
              <w:rPr>
                <w:sz w:val="20"/>
              </w:rPr>
              <w:t>Approve the relevant scope, wording, rights and data handling. Naming an owner does not clear a claim.</w:t>
            </w:r>
          </w:p>
        </w:tc>
      </w:tr>
      <w:tr>
        <w:trPr>
          <w:cantSplit/>
        </w:trPr>
        <w:tc>
          <w:tcPr>
            <w:tcW w:type="dxa" w:w="2376"/>
            <w:vAlign w:val="center"/>
            <w:tcMar>
              <w:top w:w="75" w:type="dxa"/>
              <w:bottom w:w="75" w:type="dxa"/>
              <w:left w:w="90" w:type="dxa"/>
              <w:right w:w="90" w:type="dxa"/>
            </w:tcMar>
          </w:tcPr>
          <w:p>
            <w:pPr>
              <w:keepNext/>
              <w:spacing w:before="0" w:after="40" w:line="250" w:lineRule="auto"/>
            </w:pPr>
            <w:r>
              <w:rPr>
                <w:sz w:val="20"/>
              </w:rPr>
            </w:r>
            <w:r>
              <w:rPr>
                <w:sz w:val="20"/>
              </w:rPr>
              <w:t>Analytics, AI Visibility and Technical SEO</w:t>
            </w:r>
          </w:p>
        </w:tc>
        <w:tc>
          <w:tcPr>
            <w:tcW w:type="dxa" w:w="7906"/>
            <w:vAlign w:val="center"/>
            <w:tcMar>
              <w:top w:w="75" w:type="dxa"/>
              <w:bottom w:w="75" w:type="dxa"/>
              <w:left w:w="90" w:type="dxa"/>
              <w:right w:w="90" w:type="dxa"/>
            </w:tcMar>
          </w:tcPr>
          <w:p>
            <w:pPr>
              <w:keepNext/>
              <w:spacing w:before="0" w:after="40" w:line="250" w:lineRule="auto"/>
            </w:pPr>
            <w:r>
              <w:rPr>
                <w:sz w:val="20"/>
              </w:rPr>
            </w:r>
            <w:r>
              <w:rPr>
                <w:sz w:val="20"/>
              </w:rPr>
              <w:t>Define measures, test website functions and record actual observations. Check structured data, preferred addresses and redirects after facts are cleared.</w:t>
            </w:r>
          </w:p>
        </w:tc>
      </w:tr>
      <w:tr>
        <w:trPr>
          <w:cantSplit/>
        </w:trPr>
        <w:tc>
          <w:tcPr>
            <w:tcW w:type="dxa" w:w="2376"/>
            <w:shd w:fill="F2F5F8"/>
            <w:vAlign w:val="center"/>
            <w:tcMar>
              <w:top w:w="75" w:type="dxa"/>
              <w:bottom w:w="75" w:type="dxa"/>
              <w:left w:w="90" w:type="dxa"/>
              <w:right w:w="90" w:type="dxa"/>
            </w:tcMar>
          </w:tcPr>
          <w:p>
            <w:pPr>
              <w:spacing w:before="0" w:after="40" w:line="250" w:lineRule="auto"/>
            </w:pPr>
            <w:r>
              <w:rPr>
                <w:sz w:val="20"/>
              </w:rPr>
            </w:r>
            <w:r>
              <w:rPr>
                <w:sz w:val="20"/>
              </w:rPr>
              <w:t>Authority specialists and human approvers</w:t>
            </w:r>
          </w:p>
        </w:tc>
        <w:tc>
          <w:tcPr>
            <w:tcW w:type="dxa" w:w="7906"/>
            <w:shd w:fill="F2F5F8"/>
            <w:vAlign w:val="center"/>
            <w:tcMar>
              <w:top w:w="75" w:type="dxa"/>
              <w:bottom w:w="75" w:type="dxa"/>
              <w:left w:w="90" w:type="dxa"/>
              <w:right w:w="90" w:type="dxa"/>
            </w:tcMar>
          </w:tcPr>
          <w:p>
            <w:pPr>
              <w:spacing w:before="0" w:after="40" w:line="250" w:lineRule="auto"/>
            </w:pPr>
            <w:r>
              <w:rPr>
                <w:sz w:val="20"/>
              </w:rPr>
            </w:r>
            <w:r>
              <w:rPr>
                <w:sz w:val="20"/>
              </w:rPr>
              <w:t>Review evidence and specialist work. Human Authority review and publication approval remain separate. The Editor-in-Chief role is unfilled (UNHELD); Arnav routes the unresolved approval to Ajith under the established escalation process.</w:t>
            </w:r>
          </w:p>
        </w:tc>
      </w:tr>
    </w:tbl>
    <w:p>
      <w:pPr>
        <w:spacing w:after="40"/>
      </w:pPr>
      <w:r/>
    </w:p>
    <w:p>
      <w:pPr>
        <w:pStyle w:val="Heading1"/>
        <w:keepNext/>
        <w:keepLines/>
        <w:pageBreakBefore w:val="0"/>
      </w:pPr>
      <w:r>
        <w:rPr>
          <w:color w:val="000000"/>
        </w:rPr>
        <w:t>6 Final Assessment and Outstanding Actions</w:t>
      </w:r>
    </w:p>
    <w:p>
      <w:pPr>
        <w:pStyle w:val="Heading2"/>
        <w:keepNext/>
        <w:keepLines/>
      </w:pPr>
      <w:r>
        <w:rPr>
          <w:color w:val="000000"/>
        </w:rPr>
        <w:t>6.1 Assessment outcome</w:t>
      </w:r>
    </w:p>
    <w:p>
      <w:pPr>
        <w:keepLines/>
      </w:pPr>
      <w:r>
        <w:t>The available HP-002 draft has been reviewed and its existing findings reconciled. HP-003’s requirements have been refined, and the Agent’s demonstrated improvements and remaining tests are documented. Arnav has a practical handoff. Final HP-002 factual validation and confirmation of its operational trust signals remain incomplete. Human review, client decisions and publication approval are outstanding.</w:t>
      </w:r>
    </w:p>
    <w:p>
      <w:pPr>
        <w:pStyle w:val="Heading2"/>
        <w:keepNext/>
        <w:keepLines/>
      </w:pPr>
      <w:r>
        <w:rPr>
          <w:color w:val="000000"/>
        </w:rPr>
        <w:t>6.2 Remaining evidence and decisions</w:t>
      </w:r>
    </w:p>
    <w:p>
      <w:pPr>
        <w:keepLines/>
      </w:pPr>
      <w:r>
        <w:t>The summary below brings together the decisions still needed. Sections 2–4 retain the detailed evidence requirements; Section 5 identifies Arnav’s content actions. Documenting a requirement does not verify the underlying claim.</w:t>
      </w:r>
    </w:p>
    <w:p>
      <w:pPr>
        <w:spacing w:after="40"/>
      </w:p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3355"/>
        <w:gridCol w:w="3067"/>
        <w:gridCol w:w="1382"/>
      </w:tblGrid>
      <w:tr>
        <w:trPr>
          <w:tblHeader/>
          <w:cantSplit/>
        </w:trPr>
        <w:tc>
          <w:tcPr>
            <w:tcW w:type="dxa" w:w="2477"/>
            <w:shd w:fill="243B53"/>
            <w:vAlign w:val="center"/>
            <w:tcMar>
              <w:top w:w="80" w:type="dxa"/>
              <w:bottom w:w="80" w:type="dxa"/>
              <w:left w:w="90" w:type="dxa"/>
              <w:right w:w="90" w:type="dxa"/>
            </w:tcMar>
          </w:tcPr>
          <w:p>
            <w:pPr>
              <w:keepNext/>
              <w:spacing w:before="0" w:after="40" w:line="250" w:lineRule="auto"/>
            </w:pPr>
            <w:r>
              <w:rPr>
                <w:b/>
                <w:color w:val="FFFFFF"/>
                <w:sz w:val="20"/>
              </w:rPr>
            </w:r>
            <w:r>
              <w:rPr>
                <w:b/>
                <w:color w:val="FFFFFF"/>
                <w:sz w:val="20"/>
              </w:rPr>
              <w:t>Remaining issue</w:t>
            </w:r>
          </w:p>
        </w:tc>
        <w:tc>
          <w:tcPr>
            <w:tcW w:type="dxa" w:w="3355"/>
            <w:shd w:fill="243B53"/>
            <w:vAlign w:val="center"/>
            <w:tcMar>
              <w:top w:w="80" w:type="dxa"/>
              <w:bottom w:w="80" w:type="dxa"/>
              <w:left w:w="90" w:type="dxa"/>
              <w:right w:w="90" w:type="dxa"/>
            </w:tcMar>
          </w:tcPr>
          <w:p>
            <w:pPr>
              <w:keepNext/>
              <w:spacing w:before="0" w:after="40" w:line="250" w:lineRule="auto"/>
            </w:pPr>
            <w:r>
              <w:rPr>
                <w:b/>
                <w:color w:val="FFFFFF"/>
                <w:sz w:val="20"/>
              </w:rPr>
            </w:r>
            <w:r>
              <w:rPr>
                <w:b/>
                <w:color w:val="FFFFFF"/>
                <w:sz w:val="20"/>
              </w:rPr>
              <w:t>Required next step</w:t>
            </w:r>
          </w:p>
        </w:tc>
        <w:tc>
          <w:tcPr>
            <w:tcW w:type="dxa" w:w="3067"/>
            <w:shd w:fill="243B53"/>
            <w:vAlign w:val="center"/>
            <w:tcMar>
              <w:top w:w="80" w:type="dxa"/>
              <w:bottom w:w="80" w:type="dxa"/>
              <w:left w:w="90" w:type="dxa"/>
              <w:right w:w="90" w:type="dxa"/>
            </w:tcMar>
          </w:tcPr>
          <w:p>
            <w:pPr>
              <w:keepNext/>
              <w:spacing w:before="0" w:after="40" w:line="250" w:lineRule="auto"/>
            </w:pPr>
            <w:r>
              <w:rPr>
                <w:b/>
                <w:color w:val="FFFFFF"/>
                <w:sz w:val="20"/>
              </w:rPr>
            </w:r>
            <w:r>
              <w:rPr>
                <w:b/>
                <w:color w:val="FFFFFF"/>
                <w:sz w:val="20"/>
              </w:rPr>
              <w:t>Responsible roles</w:t>
            </w:r>
          </w:p>
        </w:tc>
        <w:tc>
          <w:tcPr>
            <w:tcW w:type="dxa" w:w="1382"/>
            <w:shd w:fill="243B53"/>
            <w:vAlign w:val="center"/>
            <w:tcMar>
              <w:top w:w="80" w:type="dxa"/>
              <w:bottom w:w="80" w:type="dxa"/>
              <w:left w:w="90" w:type="dxa"/>
              <w:right w:w="90" w:type="dxa"/>
            </w:tcMar>
          </w:tcPr>
          <w:p>
            <w:pPr>
              <w:keepNext/>
              <w:spacing w:before="0" w:after="40" w:line="250" w:lineRule="auto"/>
            </w:pPr>
            <w:r>
              <w:rPr>
                <w:b/>
                <w:color w:val="FFFFFF"/>
                <w:sz w:val="20"/>
              </w:rPr>
            </w:r>
            <w:r>
              <w:rPr>
                <w:b/>
                <w:color w:val="FFFFFF"/>
                <w:sz w:val="20"/>
              </w:rPr>
              <w:t>Condition</w:t>
            </w:r>
          </w:p>
        </w:tc>
      </w:tr>
      <w:tr>
        <w:trPr>
          <w:cantSplit/>
        </w:trPr>
        <w:tc>
          <w:tcPr>
            <w:tcW w:type="dxa" w:w="2477"/>
            <w:vAlign w:val="center"/>
            <w:tcMar>
              <w:top w:w="80" w:type="dxa"/>
              <w:bottom w:w="80" w:type="dxa"/>
              <w:left w:w="90" w:type="dxa"/>
              <w:right w:w="90" w:type="dxa"/>
            </w:tcMar>
          </w:tcPr>
          <w:p>
            <w:pPr>
              <w:keepNext/>
              <w:spacing w:before="0" w:after="40" w:line="250" w:lineRule="auto"/>
            </w:pPr>
            <w:r>
              <w:rPr>
                <w:sz w:val="20"/>
              </w:rPr>
            </w:r>
            <w:r>
              <w:rPr>
                <w:sz w:val="20"/>
              </w:rPr>
              <w:t>HP-002 service evidence — HP2-F02–HP2-F10</w:t>
            </w:r>
          </w:p>
        </w:tc>
        <w:tc>
          <w:tcPr>
            <w:tcW w:type="dxa" w:w="3355"/>
            <w:vAlign w:val="center"/>
            <w:tcMar>
              <w:top w:w="80" w:type="dxa"/>
              <w:bottom w:w="80" w:type="dxa"/>
              <w:left w:w="90" w:type="dxa"/>
              <w:right w:w="90" w:type="dxa"/>
            </w:tcMar>
          </w:tcPr>
          <w:p>
            <w:pPr>
              <w:keepNext/>
              <w:spacing w:before="0" w:after="40" w:line="250" w:lineRule="auto"/>
            </w:pPr>
            <w:r>
              <w:rPr>
                <w:sz w:val="20"/>
              </w:rPr>
            </w:r>
            <w:r>
              <w:rPr>
                <w:sz w:val="20"/>
              </w:rPr>
              <w:t>Supply the records listed in 2.3 and resolve the venue-delivery contradiction.</w:t>
            </w:r>
          </w:p>
        </w:tc>
        <w:tc>
          <w:tcPr>
            <w:tcW w:type="dxa" w:w="3067"/>
            <w:vAlign w:val="center"/>
            <w:tcMar>
              <w:top w:w="80" w:type="dxa"/>
              <w:bottom w:w="80" w:type="dxa"/>
              <w:left w:w="90" w:type="dxa"/>
              <w:right w:w="90" w:type="dxa"/>
            </w:tcMar>
          </w:tcPr>
          <w:p>
            <w:pPr>
              <w:keepNext/>
              <w:spacing w:before="0" w:after="40" w:line="250" w:lineRule="auto"/>
            </w:pPr>
            <w:r>
              <w:rPr>
                <w:sz w:val="20"/>
              </w:rPr>
            </w:r>
            <w:r>
              <w:rPr>
                <w:sz w:val="20"/>
              </w:rPr>
              <w:t>Ajith and relevant business, safety, insurance and consent owners.</w:t>
            </w:r>
          </w:p>
        </w:tc>
        <w:tc>
          <w:tcPr>
            <w:tcW w:type="dxa" w:w="1382"/>
            <w:vAlign w:val="center"/>
            <w:tcMar>
              <w:top w:w="80" w:type="dxa"/>
              <w:bottom w:w="80" w:type="dxa"/>
              <w:left w:w="90" w:type="dxa"/>
              <w:right w:w="90" w:type="dxa"/>
            </w:tcMar>
          </w:tcPr>
          <w:p>
            <w:pPr>
              <w:keepNext/>
              <w:spacing w:before="0" w:after="40" w:line="250" w:lineRule="auto"/>
            </w:pPr>
            <w:r>
              <w:rPr>
                <w:sz w:val="20"/>
              </w:rPr>
            </w:r>
            <w:r>
              <w:rPr>
                <w:sz w:val="20"/>
              </w:rPr>
              <w:t>Claims remain ON HOLD.</w:t>
            </w:r>
          </w:p>
        </w:tc>
      </w:tr>
      <w:tr>
        <w:trPr>
          <w:cantSplit/>
        </w:trPr>
        <w:tc>
          <w:tcPr>
            <w:tcW w:type="dxa" w:w="2477"/>
            <w:shd w:fill="F2F5F8"/>
            <w:vAlign w:val="center"/>
            <w:tcMar>
              <w:top w:w="80" w:type="dxa"/>
              <w:bottom w:w="80" w:type="dxa"/>
              <w:left w:w="90" w:type="dxa"/>
              <w:right w:w="90" w:type="dxa"/>
            </w:tcMar>
          </w:tcPr>
          <w:p>
            <w:pPr>
              <w:keepNext/>
              <w:spacing w:before="0" w:after="40" w:line="250" w:lineRule="auto"/>
            </w:pPr>
            <w:r>
              <w:rPr>
                <w:sz w:val="20"/>
              </w:rPr>
            </w:r>
            <w:r>
              <w:rPr>
                <w:sz w:val="20"/>
              </w:rPr>
              <w:t>Checker and privacy — HP2-F04/F09</w:t>
            </w:r>
          </w:p>
        </w:tc>
        <w:tc>
          <w:tcPr>
            <w:tcW w:type="dxa" w:w="3355"/>
            <w:shd w:fill="F2F5F8"/>
            <w:vAlign w:val="center"/>
            <w:tcMar>
              <w:top w:w="80" w:type="dxa"/>
              <w:bottom w:w="80" w:type="dxa"/>
              <w:left w:w="90" w:type="dxa"/>
              <w:right w:w="90" w:type="dxa"/>
            </w:tcMar>
          </w:tcPr>
          <w:p>
            <w:pPr>
              <w:keepNext/>
              <w:spacing w:before="0" w:after="40" w:line="250" w:lineRule="auto"/>
            </w:pPr>
            <w:r>
              <w:rPr>
                <w:sz w:val="20"/>
              </w:rPr>
            </w:r>
            <w:r>
              <w:rPr>
                <w:sz w:val="20"/>
              </w:rPr>
              <w:t>Approve and test operating rules and the full enquiry/data journey.</w:t>
            </w:r>
          </w:p>
        </w:tc>
        <w:tc>
          <w:tcPr>
            <w:tcW w:type="dxa" w:w="3067"/>
            <w:shd w:fill="F2F5F8"/>
            <w:vAlign w:val="center"/>
            <w:tcMar>
              <w:top w:w="80" w:type="dxa"/>
              <w:bottom w:w="80" w:type="dxa"/>
              <w:left w:w="90" w:type="dxa"/>
              <w:right w:w="90" w:type="dxa"/>
            </w:tcMar>
          </w:tcPr>
          <w:p>
            <w:pPr>
              <w:keepNext/>
              <w:spacing w:before="0" w:after="40" w:line="250" w:lineRule="auto"/>
            </w:pPr>
            <w:r>
              <w:rPr>
                <w:sz w:val="20"/>
              </w:rPr>
            </w:r>
            <w:r>
              <w:rPr>
                <w:sz w:val="20"/>
              </w:rPr>
              <w:t>Operations, product and privacy owners; Arnav coordinates.</w:t>
            </w:r>
          </w:p>
        </w:tc>
        <w:tc>
          <w:tcPr>
            <w:tcW w:type="dxa" w:w="1382"/>
            <w:shd w:fill="F2F5F8"/>
            <w:vAlign w:val="center"/>
            <w:tcMar>
              <w:top w:w="80" w:type="dxa"/>
              <w:bottom w:w="80" w:type="dxa"/>
              <w:left w:w="90" w:type="dxa"/>
              <w:right w:w="90" w:type="dxa"/>
            </w:tcMar>
          </w:tcPr>
          <w:p>
            <w:pPr>
              <w:keepNext/>
              <w:spacing w:before="0" w:after="40" w:line="250" w:lineRule="auto"/>
            </w:pPr>
            <w:r>
              <w:rPr>
                <w:sz w:val="20"/>
              </w:rPr>
            </w:r>
            <w:r>
              <w:rPr>
                <w:sz w:val="20"/>
              </w:rPr>
              <w:t>Live functions remain ON HOLD.</w:t>
            </w:r>
          </w:p>
        </w:tc>
      </w:tr>
      <w:tr>
        <w:trPr>
          <w:cantSplit/>
        </w:trPr>
        <w:tc>
          <w:tcPr>
            <w:tcW w:type="dxa" w:w="2477"/>
            <w:vAlign w:val="center"/>
            <w:tcMar>
              <w:top w:w="80" w:type="dxa"/>
              <w:bottom w:w="80" w:type="dxa"/>
              <w:left w:w="90" w:type="dxa"/>
              <w:right w:w="90" w:type="dxa"/>
            </w:tcMar>
          </w:tcPr>
          <w:p>
            <w:pPr>
              <w:spacing w:before="0" w:after="40" w:line="250" w:lineRule="auto"/>
            </w:pPr>
            <w:r>
              <w:rPr>
                <w:sz w:val="20"/>
              </w:rPr>
            </w:r>
            <w:r>
              <w:rPr>
                <w:sz w:val="20"/>
              </w:rPr>
              <w:t>HP-003 comparisons — F02/F03/F06/F07/F08</w:t>
            </w:r>
          </w:p>
        </w:tc>
        <w:tc>
          <w:tcPr>
            <w:tcW w:type="dxa" w:w="3355"/>
            <w:vAlign w:val="center"/>
            <w:tcMar>
              <w:top w:w="80" w:type="dxa"/>
              <w:bottom w:w="80" w:type="dxa"/>
              <w:left w:w="90" w:type="dxa"/>
              <w:right w:w="90" w:type="dxa"/>
            </w:tcMar>
          </w:tcPr>
          <w:p>
            <w:pPr>
              <w:spacing w:before="0" w:after="40" w:line="250" w:lineRule="auto"/>
            </w:pPr>
            <w:r>
              <w:rPr>
                <w:sz w:val="20"/>
              </w:rPr>
            </w:r>
            <w:r>
              <w:rPr>
                <w:sz w:val="20"/>
              </w:rPr>
              <w:t>Correct the three statements, complete source mapping and review the unscored method.</w:t>
            </w:r>
          </w:p>
        </w:tc>
        <w:tc>
          <w:tcPr>
            <w:tcW w:type="dxa" w:w="3067"/>
            <w:vAlign w:val="center"/>
            <w:tcMar>
              <w:top w:w="80" w:type="dxa"/>
              <w:bottom w:w="80" w:type="dxa"/>
              <w:left w:w="90" w:type="dxa"/>
              <w:right w:w="90" w:type="dxa"/>
            </w:tcMar>
          </w:tcPr>
          <w:p>
            <w:pPr>
              <w:spacing w:before="0" w:after="40" w:line="250" w:lineRule="auto"/>
            </w:pPr>
            <w:r>
              <w:rPr>
                <w:sz w:val="20"/>
              </w:rPr>
            </w:r>
            <w:r>
              <w:rPr>
                <w:sz w:val="20"/>
              </w:rPr>
              <w:t>Arnav, Strategy and a planner.</w:t>
            </w:r>
          </w:p>
        </w:tc>
        <w:tc>
          <w:tcPr>
            <w:tcW w:type="dxa" w:w="1382"/>
            <w:vAlign w:val="center"/>
            <w:tcMar>
              <w:top w:w="80" w:type="dxa"/>
              <w:bottom w:w="80" w:type="dxa"/>
              <w:left w:w="90" w:type="dxa"/>
              <w:right w:w="90" w:type="dxa"/>
            </w:tcMar>
          </w:tcPr>
          <w:p>
            <w:pPr>
              <w:spacing w:before="0" w:after="40" w:line="250" w:lineRule="auto"/>
            </w:pPr>
            <w:r>
              <w:rPr>
                <w:sz w:val="20"/>
              </w:rPr>
            </w:r>
            <w:r>
              <w:rPr>
                <w:sz w:val="20"/>
              </w:rPr>
              <w:t>Revisions and review remain OPEN.</w:t>
            </w:r>
          </w:p>
        </w:tc>
      </w:tr>
      <w:tr>
        <w:trPr>
          <w:cantSplit/>
        </w:trPr>
        <w:tc>
          <w:tcPr>
            <w:tcW w:type="dxa" w:w="2477"/>
            <w:shd w:fill="F2F5F8"/>
            <w:vAlign w:val="center"/>
            <w:tcMar>
              <w:top w:w="80" w:type="dxa"/>
              <w:bottom w:w="80" w:type="dxa"/>
              <w:left w:w="90" w:type="dxa"/>
              <w:right w:w="90" w:type="dxa"/>
            </w:tcMar>
          </w:tcPr>
          <w:p>
            <w:pPr>
              <w:spacing w:before="0" w:after="40" w:line="250" w:lineRule="auto"/>
            </w:pPr>
            <w:r>
              <w:rPr>
                <w:sz w:val="20"/>
              </w:rPr>
            </w:r>
            <w:r>
              <w:rPr>
                <w:sz w:val="20"/>
              </w:rPr>
              <w:t>HP-003 proof and reviewer — F10/F11/F15</w:t>
            </w:r>
          </w:p>
        </w:tc>
        <w:tc>
          <w:tcPr>
            <w:tcW w:type="dxa" w:w="3355"/>
            <w:shd w:fill="F2F5F8"/>
            <w:vAlign w:val="center"/>
            <w:tcMar>
              <w:top w:w="80" w:type="dxa"/>
              <w:bottom w:w="80" w:type="dxa"/>
              <w:left w:w="90" w:type="dxa"/>
              <w:right w:w="90" w:type="dxa"/>
            </w:tcMar>
          </w:tcPr>
          <w:p>
            <w:pPr>
              <w:spacing w:before="0" w:after="40" w:line="250" w:lineRule="auto"/>
            </w:pPr>
            <w:r>
              <w:rPr>
                <w:sz w:val="20"/>
              </w:rPr>
            </w:r>
            <w:r>
              <w:rPr>
                <w:sz w:val="20"/>
              </w:rPr>
              <w:t>Provide permitted event proof, verified service details and an authorised reviewer identity.</w:t>
            </w:r>
          </w:p>
        </w:tc>
        <w:tc>
          <w:tcPr>
            <w:tcW w:type="dxa" w:w="3067"/>
            <w:shd w:fill="F2F5F8"/>
            <w:vAlign w:val="center"/>
            <w:tcMar>
              <w:top w:w="80" w:type="dxa"/>
              <w:bottom w:w="80" w:type="dxa"/>
              <w:left w:w="90" w:type="dxa"/>
              <w:right w:w="90" w:type="dxa"/>
            </w:tcMar>
          </w:tcPr>
          <w:p>
            <w:pPr>
              <w:spacing w:before="0" w:after="40" w:line="250" w:lineRule="auto"/>
            </w:pPr>
            <w:r>
              <w:rPr>
                <w:sz w:val="20"/>
              </w:rPr>
            </w:r>
            <w:r>
              <w:rPr>
                <w:sz w:val="20"/>
              </w:rPr>
              <w:t>Ajith, evidence/consent owners and client.</w:t>
            </w:r>
          </w:p>
        </w:tc>
        <w:tc>
          <w:tcPr>
            <w:tcW w:type="dxa" w:w="1382"/>
            <w:shd w:fill="F2F5F8"/>
            <w:vAlign w:val="center"/>
            <w:tcMar>
              <w:top w:w="80" w:type="dxa"/>
              <w:bottom w:w="80" w:type="dxa"/>
              <w:left w:w="90" w:type="dxa"/>
              <w:right w:w="90" w:type="dxa"/>
            </w:tcMar>
          </w:tcPr>
          <w:p>
            <w:pPr>
              <w:spacing w:before="0" w:after="40" w:line="250" w:lineRule="auto"/>
            </w:pPr>
            <w:r>
              <w:rPr>
                <w:sz w:val="20"/>
              </w:rPr>
            </w:r>
            <w:r>
              <w:rPr>
                <w:sz w:val="20"/>
              </w:rPr>
              <w:t>Affected content remains ON HOLD.</w:t>
            </w:r>
          </w:p>
        </w:tc>
      </w:tr>
      <w:tr>
        <w:trPr>
          <w:cantSplit/>
        </w:trPr>
        <w:tc>
          <w:tcPr>
            <w:tcW w:type="dxa" w:w="2477"/>
            <w:vAlign w:val="center"/>
            <w:tcMar>
              <w:top w:w="80" w:type="dxa"/>
              <w:bottom w:w="80" w:type="dxa"/>
              <w:left w:w="90" w:type="dxa"/>
              <w:right w:w="90" w:type="dxa"/>
            </w:tcMar>
          </w:tcPr>
          <w:p>
            <w:pPr>
              <w:keepNext/>
              <w:spacing w:before="0" w:after="40" w:line="250" w:lineRule="auto"/>
            </w:pPr>
            <w:r>
              <w:rPr>
                <w:sz w:val="20"/>
              </w:rPr>
            </w:r>
            <w:r>
              <w:rPr>
                <w:sz w:val="20"/>
              </w:rPr>
              <w:t>HP-003 page address — F13</w:t>
            </w:r>
          </w:p>
        </w:tc>
        <w:tc>
          <w:tcPr>
            <w:tcW w:type="dxa" w:w="3355"/>
            <w:vAlign w:val="center"/>
            <w:tcMar>
              <w:top w:w="80" w:type="dxa"/>
              <w:bottom w:w="80" w:type="dxa"/>
              <w:left w:w="90" w:type="dxa"/>
              <w:right w:w="90" w:type="dxa"/>
            </w:tcMar>
          </w:tcPr>
          <w:p>
            <w:pPr>
              <w:keepNext/>
              <w:spacing w:before="0" w:after="40" w:line="250" w:lineRule="auto"/>
            </w:pPr>
            <w:r>
              <w:rPr>
                <w:sz w:val="20"/>
              </w:rPr>
            </w:r>
            <w:r>
              <w:rPr>
                <w:sz w:val="20"/>
              </w:rPr>
              <w:t>Choose the preferred URL and agree on links, old content and redirects.</w:t>
            </w:r>
          </w:p>
        </w:tc>
        <w:tc>
          <w:tcPr>
            <w:tcW w:type="dxa" w:w="3067"/>
            <w:vAlign w:val="center"/>
            <w:tcMar>
              <w:top w:w="80" w:type="dxa"/>
              <w:bottom w:w="80" w:type="dxa"/>
              <w:left w:w="90" w:type="dxa"/>
              <w:right w:w="90" w:type="dxa"/>
            </w:tcMar>
          </w:tcPr>
          <w:p>
            <w:pPr>
              <w:keepNext/>
              <w:spacing w:before="0" w:after="40" w:line="250" w:lineRule="auto"/>
            </w:pPr>
            <w:r>
              <w:rPr>
                <w:sz w:val="20"/>
              </w:rPr>
            </w:r>
            <w:r>
              <w:rPr>
                <w:sz w:val="20"/>
              </w:rPr>
              <w:t>Strategy, Search, client where required and Technical SEO.</w:t>
            </w:r>
          </w:p>
        </w:tc>
        <w:tc>
          <w:tcPr>
            <w:tcW w:type="dxa" w:w="1382"/>
            <w:vAlign w:val="center"/>
            <w:tcMar>
              <w:top w:w="80" w:type="dxa"/>
              <w:bottom w:w="80" w:type="dxa"/>
              <w:left w:w="90" w:type="dxa"/>
              <w:right w:w="90" w:type="dxa"/>
            </w:tcMar>
          </w:tcPr>
          <w:p>
            <w:pPr>
              <w:keepNext/>
              <w:spacing w:before="0" w:after="40" w:line="250" w:lineRule="auto"/>
            </w:pPr>
            <w:r>
              <w:rPr>
                <w:sz w:val="20"/>
              </w:rPr>
            </w:r>
            <w:r>
              <w:rPr>
                <w:sz w:val="20"/>
              </w:rPr>
              <w:t>Decision remains ON HOLD.</w:t>
            </w:r>
          </w:p>
        </w:tc>
      </w:tr>
      <w:tr>
        <w:trPr>
          <w:cantSplit/>
        </w:trPr>
        <w:tc>
          <w:tcPr>
            <w:tcW w:type="dxa" w:w="2477"/>
            <w:shd w:fill="F2F5F8"/>
            <w:vAlign w:val="center"/>
            <w:tcMar>
              <w:top w:w="80" w:type="dxa"/>
              <w:bottom w:w="80" w:type="dxa"/>
              <w:left w:w="90" w:type="dxa"/>
              <w:right w:w="90" w:type="dxa"/>
            </w:tcMar>
          </w:tcPr>
          <w:p>
            <w:pPr>
              <w:keepNext/>
              <w:spacing w:before="0" w:after="40" w:line="250" w:lineRule="auto"/>
            </w:pPr>
            <w:r>
              <w:rPr>
                <w:sz w:val="20"/>
              </w:rPr>
            </w:r>
            <w:r>
              <w:rPr>
                <w:sz w:val="20"/>
              </w:rPr>
              <w:t>Measurement and technical checks — HP2-F11/F12; HP-003 F12/F15</w:t>
            </w:r>
          </w:p>
        </w:tc>
        <w:tc>
          <w:tcPr>
            <w:tcW w:type="dxa" w:w="3355"/>
            <w:shd w:fill="F2F5F8"/>
            <w:vAlign w:val="center"/>
            <w:tcMar>
              <w:top w:w="80" w:type="dxa"/>
              <w:bottom w:w="80" w:type="dxa"/>
              <w:left w:w="90" w:type="dxa"/>
              <w:right w:w="90" w:type="dxa"/>
            </w:tcMar>
          </w:tcPr>
          <w:p>
            <w:pPr>
              <w:keepNext/>
              <w:spacing w:before="0" w:after="40" w:line="250" w:lineRule="auto"/>
            </w:pPr>
            <w:r>
              <w:rPr>
                <w:sz w:val="20"/>
              </w:rPr>
            </w:r>
            <w:r>
              <w:rPr>
                <w:sz w:val="20"/>
              </w:rPr>
              <w:t>Confirm measurement definitions, collect actual observations and test implementation.</w:t>
            </w:r>
          </w:p>
        </w:tc>
        <w:tc>
          <w:tcPr>
            <w:tcW w:type="dxa" w:w="3067"/>
            <w:shd w:fill="F2F5F8"/>
            <w:vAlign w:val="center"/>
            <w:tcMar>
              <w:top w:w="80" w:type="dxa"/>
              <w:bottom w:w="80" w:type="dxa"/>
              <w:left w:w="90" w:type="dxa"/>
              <w:right w:w="90" w:type="dxa"/>
            </w:tcMar>
          </w:tcPr>
          <w:p>
            <w:pPr>
              <w:keepNext/>
              <w:spacing w:before="0" w:after="40" w:line="250" w:lineRule="auto"/>
            </w:pPr>
            <w:r>
              <w:rPr>
                <w:sz w:val="20"/>
              </w:rPr>
            </w:r>
            <w:r>
              <w:rPr>
                <w:sz w:val="20"/>
              </w:rPr>
              <w:t>Analytics, AI Visibility, Technical SEO and relevant Authority specialists.</w:t>
            </w:r>
          </w:p>
        </w:tc>
        <w:tc>
          <w:tcPr>
            <w:tcW w:type="dxa" w:w="1382"/>
            <w:shd w:fill="F2F5F8"/>
            <w:vAlign w:val="center"/>
            <w:tcMar>
              <w:top w:w="80" w:type="dxa"/>
              <w:bottom w:w="80" w:type="dxa"/>
              <w:left w:w="90" w:type="dxa"/>
              <w:right w:w="90" w:type="dxa"/>
            </w:tcMar>
          </w:tcPr>
          <w:p>
            <w:pPr>
              <w:keepNext/>
              <w:spacing w:before="0" w:after="40" w:line="250" w:lineRule="auto"/>
            </w:pPr>
            <w:r>
              <w:rPr>
                <w:sz w:val="20"/>
              </w:rPr>
            </w:r>
            <w:r>
              <w:rPr>
                <w:sz w:val="20"/>
              </w:rPr>
              <w:t>Results and setup remain unverified.</w:t>
            </w:r>
          </w:p>
        </w:tc>
      </w:tr>
      <w:tr>
        <w:trPr>
          <w:cantSplit/>
        </w:trPr>
        <w:tc>
          <w:tcPr>
            <w:tcW w:type="dxa" w:w="2477"/>
            <w:vAlign w:val="center"/>
            <w:tcMar>
              <w:top w:w="80" w:type="dxa"/>
              <w:bottom w:w="80" w:type="dxa"/>
              <w:left w:w="90" w:type="dxa"/>
              <w:right w:w="90" w:type="dxa"/>
            </w:tcMar>
          </w:tcPr>
          <w:p>
            <w:pPr>
              <w:spacing w:before="0" w:after="40" w:line="250" w:lineRule="auto"/>
            </w:pPr>
            <w:r>
              <w:rPr>
                <w:sz w:val="20"/>
              </w:rPr>
            </w:r>
            <w:r>
              <w:rPr>
                <w:sz w:val="20"/>
              </w:rPr>
              <w:t>Remaining Agent tests — D5–D9</w:t>
            </w:r>
          </w:p>
        </w:tc>
        <w:tc>
          <w:tcPr>
            <w:tcW w:type="dxa" w:w="3355"/>
            <w:vAlign w:val="center"/>
            <w:tcMar>
              <w:top w:w="80" w:type="dxa"/>
              <w:bottom w:w="80" w:type="dxa"/>
              <w:left w:w="90" w:type="dxa"/>
              <w:right w:w="90" w:type="dxa"/>
            </w:tcMar>
          </w:tcPr>
          <w:p>
            <w:pPr>
              <w:spacing w:before="0" w:after="40" w:line="250" w:lineRule="auto"/>
            </w:pPr>
            <w:r>
              <w:rPr>
                <w:sz w:val="20"/>
              </w:rPr>
            </w:r>
            <w:r>
              <w:rPr>
                <w:sz w:val="20"/>
              </w:rPr>
              <w:t>Complete the specialist, measurement, version and follow-up tests in 4.3.</w:t>
            </w:r>
          </w:p>
        </w:tc>
        <w:tc>
          <w:tcPr>
            <w:tcW w:type="dxa" w:w="3067"/>
            <w:vAlign w:val="center"/>
            <w:tcMar>
              <w:top w:w="80" w:type="dxa"/>
              <w:bottom w:w="80" w:type="dxa"/>
              <w:left w:w="90" w:type="dxa"/>
              <w:right w:w="90" w:type="dxa"/>
            </w:tcMar>
          </w:tcPr>
          <w:p>
            <w:pPr>
              <w:spacing w:before="0" w:after="40" w:line="250" w:lineRule="auto"/>
            </w:pPr>
            <w:r>
              <w:rPr>
                <w:sz w:val="20"/>
              </w:rPr>
            </w:r>
            <w:r>
              <w:rPr>
                <w:sz w:val="20"/>
              </w:rPr>
              <w:t>Human Authority Manager with relevant specialists and configuration owners.</w:t>
            </w:r>
          </w:p>
        </w:tc>
        <w:tc>
          <w:tcPr>
            <w:tcW w:type="dxa" w:w="1382"/>
            <w:vAlign w:val="center"/>
            <w:tcMar>
              <w:top w:w="80" w:type="dxa"/>
              <w:bottom w:w="80" w:type="dxa"/>
              <w:left w:w="90" w:type="dxa"/>
              <w:right w:w="90" w:type="dxa"/>
            </w:tcMar>
          </w:tcPr>
          <w:p>
            <w:pPr>
              <w:spacing w:before="0" w:after="40" w:line="250" w:lineRule="auto"/>
            </w:pPr>
            <w:r>
              <w:rPr>
                <w:sz w:val="20"/>
              </w:rPr>
            </w:r>
            <w:r>
              <w:rPr>
                <w:sz w:val="20"/>
              </w:rPr>
              <w:t>Untested or partly validated, as recorded in 4.3.</w:t>
            </w:r>
          </w:p>
        </w:tc>
      </w:tr>
    </w:tbl>
    <w:p>
      <w:pPr>
        <w:keepLines/>
      </w:pPr>
      <w:r/>
      <w:r>
        <w:rPr>
          <w:b/>
        </w:rPr>
        <w:t>Publication condition.</w:t>
      </w:r>
      <w:r>
        <w:t xml:space="preserve"> Existing evidence holds remain in force. AWAITING PUBLICATION GATE — NOT APPROVED FOR RELEASE.</w:t>
      </w:r>
    </w:p>
    <w:p>
      <w:pPr>
        <w:pStyle w:val="Heading1"/>
        <w:keepNext/>
        <w:keepLines/>
        <w:pageBreakBefore w:val="0"/>
      </w:pPr>
      <w:r>
        <w:rPr>
          <w:color w:val="000000"/>
        </w:rPr>
        <w:t>7 References and Change Record</w:t>
      </w:r>
    </w:p>
    <w:p>
      <w:pPr>
        <w:pStyle w:val="Heading2"/>
        <w:keepNext/>
        <w:keepLines/>
      </w:pPr>
      <w:r>
        <w:rPr>
          <w:color w:val="000000"/>
        </w:rPr>
        <w:t>7.1 Source register</w:t>
      </w:r>
    </w:p>
    <w:p>
      <w:pPr>
        <w:keepLines/>
      </w:pPr>
      <w:r>
        <w:t>The references below give the reviewed filenames, versions and relevant locations. Where no version or effective date was stated, that limitation is retained. Earlier Authority reports provide analysis and history; they are not independent evidence of business operations.</w:t>
      </w:r>
    </w:p>
    <w:p>
      <w:pPr>
        <w:keepNext w:val="0"/>
        <w:keepLines/>
        <w:spacing w:after="140"/>
      </w:pPr>
      <w:r>
        <w:rPr>
          <w:sz w:val="20"/>
        </w:rPr>
        <w:t>Viri_VR_House_Party_Content_Authority_Architecture_v1.xlsm</w:t>
      </w:r>
      <w:r>
        <w:rPr>
          <w:sz w:val="20"/>
        </w:rPr>
        <w:t xml:space="preserve"> — v1; approved planning. Reviewed locations: Architecture and Content Briefs rows 3–4; Internal Links rows 4–7; Summary rows 2 and 20; Measurement Plan rows 7–9; Consolidation row 3. Quantitative snapshots and public observations are historical.</w:t>
      </w:r>
    </w:p>
    <w:p>
      <w:pPr>
        <w:keepNext w:val="0"/>
        <w:keepLines/>
        <w:spacing w:after="140"/>
      </w:pPr>
      <w:hyperlink r:id="rId11">
        <w:r>
          <w:rPr>
            <w:color w:val="243B53"/>
            <w:u w:val="single"/>
          </w:rPr>
          <w:t>HP-002_Pre_Development_Authority_Manager_Report v1.1(1).docx</w:t>
        </w:r>
      </w:hyperlink>
      <w:r>
        <w:rPr>
          <w:sz w:val="20"/>
        </w:rPr>
        <w:t xml:space="preserve"> — v1.1 as stated in the filename. Contains earlier HP-002 findings F01–F14, claim guidance C01–C12 and handoffs. An equivalent supplied filename omits the (1) suffix.</w:t>
      </w:r>
    </w:p>
    <w:p>
      <w:pPr>
        <w:keepNext w:val="0"/>
        <w:keepLines/>
        <w:spacing w:after="140"/>
      </w:pPr>
      <w:hyperlink r:id="rId12">
        <w:r>
          <w:rPr>
            <w:color w:val="243B53"/>
            <w:u w:val="single"/>
          </w:rPr>
          <w:t>HP-002_Authority_Evidence_Report_2026-10-15_v1.0.docx</w:t>
        </w:r>
      </w:hyperlink>
      <w:r>
        <w:rPr>
          <w:sz w:val="20"/>
        </w:rPr>
        <w:t xml:space="preserve"> — v1.0, 15 October 2026. Sections 1–4 and findings HP2-F01–HP2-F12. This is a pre-development review.</w:t>
      </w:r>
    </w:p>
    <w:p>
      <w:pPr>
        <w:keepNext w:val="0"/>
        <w:keepLines/>
        <w:spacing w:after="140"/>
      </w:pPr>
      <w:hyperlink r:id="rId13">
        <w:r>
          <w:rPr>
            <w:color w:val="243B53"/>
            <w:u w:val="single"/>
          </w:rPr>
          <w:t>HP-002_Content_Package_v1.0(2).docx</w:t>
        </w:r>
      </w:hyperlink>
      <w:r>
        <w:rPr>
          <w:sz w:val="20"/>
        </w:rPr>
        <w:t xml:space="preserve"> — Internally v1.0-draft, 16 October 2026. Parts 1–6 and Appendices A–E. Not client approved. The supplied copy named HP-002_Content_Packagev1.0.docx has identical contents.</w:t>
      </w:r>
    </w:p>
    <w:p>
      <w:pPr>
        <w:keepNext w:val="0"/>
        <w:keepLines/>
        <w:spacing w:after="140"/>
      </w:pPr>
      <w:hyperlink r:id="rId14">
        <w:r>
          <w:rPr>
            <w:color w:val="243B53"/>
            <w:u w:val="single"/>
          </w:rPr>
          <w:t>HP-002_HP-003_Evidence_Authority_Trust_Matrix_v1.1_Final.docx</w:t>
        </w:r>
      </w:hyperlink>
      <w:r>
        <w:rPr>
          <w:sz w:val="20"/>
        </w:rPr>
        <w:t xml:space="preserve"> — v1.1 Final, dated 10 October 2026. Contains HP2-C01–HP2-C12, HP2-P01, HP3-C01–HP3-C14 and HP3-P01, including the retained corrections.</w:t>
      </w:r>
    </w:p>
    <w:p>
      <w:pPr>
        <w:keepNext w:val="0"/>
        <w:keepLines/>
        <w:spacing w:after="140"/>
      </w:pPr>
      <w:hyperlink r:id="rId15">
        <w:r>
          <w:rPr>
            <w:color w:val="243B53"/>
            <w:u w:val="single"/>
          </w:rPr>
          <w:t>HP-002_Melbourne_AI_Search_Handoff_2026-09-22.docx</w:t>
        </w:r>
      </w:hyperlink>
      <w:r>
        <w:rPr>
          <w:sz w:val="20"/>
        </w:rPr>
        <w:t xml:space="preserve"> — 22 September 2026; Sections 1–8. Search planning and evidence requirements, without operational approval.</w:t>
      </w:r>
    </w:p>
    <w:p>
      <w:pPr>
        <w:keepNext w:val="0"/>
        <w:keepLines/>
        <w:spacing w:after="140"/>
      </w:pPr>
      <w:hyperlink r:id="rId16">
        <w:r>
          <w:rPr>
            <w:color w:val="243B53"/>
            <w:u w:val="single"/>
          </w:rPr>
          <w:t>HP-002_Market_Research_Pack_v1.0_2026-10-04.md</w:t>
        </w:r>
      </w:hyperlink>
      <w:r>
        <w:rPr>
          <w:sz w:val="20"/>
        </w:rPr>
        <w:t xml:space="preserve"> — v1.0, 4 October 2026. Research draft awaiting Strategy Manager review. Competitor and audience material does not verify Viri VR operations.</w:t>
      </w:r>
    </w:p>
    <w:p>
      <w:pPr>
        <w:keepNext w:val="0"/>
        <w:keepLines/>
        <w:spacing w:after="140"/>
      </w:pPr>
      <w:hyperlink r:id="rId17">
        <w:r>
          <w:rPr>
            <w:color w:val="243B53"/>
            <w:u w:val="single"/>
          </w:rPr>
          <w:t>vdvr-hp-002-corrected-keyword-aeo-prep.md</w:t>
        </w:r>
      </w:hyperlink>
      <w:r>
        <w:rPr>
          <w:sz w:val="20"/>
        </w:rPr>
        <w:t xml:space="preserve"> — No date or version stated. Preparation only. Its shortened secondary phrase differs from the Architecture workbook. No measured visibility result is supplied.</w:t>
      </w:r>
    </w:p>
    <w:p>
      <w:pPr>
        <w:keepNext w:val="0"/>
        <w:keepLines/>
        <w:spacing w:after="140"/>
      </w:pPr>
      <w:hyperlink r:id="rId18">
        <w:r>
          <w:rPr>
            <w:color w:val="243B53"/>
            <w:u w:val="single"/>
          </w:rPr>
          <w:t>Viri_VR_AI_Search_Agent_Evaluation_HP-002_Research_v1.2.md</w:t>
        </w:r>
      </w:hyperlink>
      <w:r>
        <w:rPr>
          <w:sz w:val="20"/>
        </w:rPr>
        <w:t xml:space="preserve"> — Internally v1.2, 15 October 2026; awaiting manager review. Relevant locations: Parts B–C and source list. No measured baseline is supplied. The underlying PACK v1.2 cited by this research was not independently reviewed.</w:t>
      </w:r>
    </w:p>
    <w:p>
      <w:pPr>
        <w:keepNext w:val="0"/>
        <w:keepLines/>
        <w:spacing w:after="140"/>
      </w:pPr>
      <w:hyperlink r:id="rId19">
        <w:r>
          <w:rPr>
            <w:color w:val="243B53"/>
            <w:u w:val="single"/>
          </w:rPr>
          <w:t>HP-002_HP-003_Measurement_Validation_Requirements.docx</w:t>
        </w:r>
      </w:hyperlink>
      <w:r>
        <w:rPr>
          <w:sz w:val="20"/>
        </w:rPr>
        <w:t xml:space="preserve"> — No version or effective date stated. Measurement specification only; no implementation or actual result is established.</w:t>
      </w:r>
    </w:p>
    <w:p>
      <w:pPr>
        <w:keepNext w:val="0"/>
        <w:keepLines/>
        <w:spacing w:after="140"/>
      </w:pPr>
      <w:hyperlink r:id="rId20">
        <w:r>
          <w:rPr>
            <w:color w:val="243B53"/>
            <w:u w:val="single"/>
          </w:rPr>
          <w:t>HP-003_Pre_Development_Authority_Manager_Report.docx</w:t>
        </w:r>
      </w:hyperlink>
      <w:r>
        <w:rPr>
          <w:sz w:val="20"/>
        </w:rPr>
        <w:t xml:space="preserve"> — No internal version stated. Sections 4–12 contain F01–F15, C01–C14 and I01–I14. The same reviewed report was supplied with a (2) filename suffix.</w:t>
      </w:r>
    </w:p>
    <w:p>
      <w:pPr>
        <w:keepNext w:val="0"/>
        <w:keepLines/>
        <w:spacing w:after="140"/>
      </w:pPr>
      <w:hyperlink r:id="rId21">
        <w:r>
          <w:rPr>
            <w:color w:val="243B53"/>
            <w:u w:val="single"/>
          </w:rPr>
          <w:t>HP-003_Content_Package_v1.0.docx</w:t>
        </w:r>
      </w:hyperlink>
      <w:r>
        <w:rPr>
          <w:sz w:val="20"/>
        </w:rPr>
        <w:t xml:space="preserve"> — Internally v1.0-draft, 21 October 2026; 22 pages. Parts 1–6 and Appendices A–E. Not client approved. Exact PlayStation references remain unavailable (3.5).</w:t>
      </w:r>
    </w:p>
    <w:p>
      <w:pPr>
        <w:keepNext w:val="0"/>
        <w:keepLines/>
        <w:spacing w:after="140"/>
      </w:pPr>
      <w:hyperlink r:id="rId22">
        <w:r>
          <w:rPr>
            <w:color w:val="243B53"/>
            <w:u w:val="single"/>
          </w:rPr>
          <w:t>Authority_Manager_AI_Agent_Review_HP001_2026-10-16_v1.1.docx</w:t>
        </w:r>
      </w:hyperlink>
      <w:r>
        <w:rPr>
          <w:sz w:val="20"/>
        </w:rPr>
        <w:t xml:space="preserve"> — v1.1. Original evaluation: 15 October 2026; revision: 16 October 2026. Sections 3–4 and 8 cover O1–O5, D1–D9 and the HP-002 test and assessment records.</w:t>
      </w:r>
    </w:p>
    <w:p>
      <w:pPr>
        <w:keepNext w:val="0"/>
        <w:keepLines/>
        <w:spacing w:after="140"/>
      </w:pPr>
      <w:r>
        <w:rPr>
          <w:sz w:val="20"/>
        </w:rPr>
        <w:t>Authority Manager AI Agent — Project Instructions</w:t>
      </w:r>
      <w:r>
        <w:rPr>
          <w:sz w:val="20"/>
        </w:rPr>
        <w:t xml:space="preserve"> — Current text supplied for the project. Covers evidence, finding records, workflow, responsibilities, quality review and handoff requirements. No effective date or version was recorded.</w:t>
      </w:r>
    </w:p>
    <w:p>
      <w:pPr>
        <w:keepLines/>
      </w:pPr>
      <w:r/>
      <w:r>
        <w:rPr>
          <w:b/>
        </w:rPr>
        <w:t>Public sources reviewed on 27 October 2026</w:t>
      </w:r>
      <w:r/>
    </w:p>
    <w:p>
      <w:pPr>
        <w:keepNext w:val="0"/>
        <w:keepLines/>
        <w:spacing w:after="140"/>
      </w:pPr>
      <w:hyperlink r:id="rId23">
        <w:r>
          <w:rPr>
            <w:color w:val="243B53"/>
            <w:u w:val="single"/>
          </w:rPr>
          <w:t>Coles - Your ultimate party planning checklist for all occasions</w:t>
        </w:r>
      </w:hyperlink>
      <w:r>
        <w:rPr>
          <w:sz w:val="20"/>
        </w:rPr>
        <w:t xml:space="preserve"> — Reviewed 27 October 2026. Covers food, menus, utensils, budget and clean-up. It is not a comparative trial.</w:t>
      </w:r>
    </w:p>
    <w:p>
      <w:pPr>
        <w:keepNext w:val="0"/>
        <w:keepLines/>
        <w:spacing w:after="140"/>
      </w:pPr>
      <w:hyperlink r:id="rId24">
        <w:r>
          <w:rPr>
            <w:color w:val="243B53"/>
            <w:u w:val="single"/>
          </w:rPr>
          <w:t>EPA Victoria - Reduce noise from your home</w:t>
        </w:r>
      </w:hyperlink>
      <w:r>
        <w:rPr>
          <w:sz w:val="20"/>
        </w:rPr>
        <w:t xml:space="preserve"> — Reviewed 27 October 2026, including the Music and parties section. General Victorian noise guidance; no legal threshold has been reproduced.</w:t>
      </w:r>
    </w:p>
    <w:p>
      <w:pPr>
        <w:keepNext w:val="0"/>
        <w:keepLines/>
        <w:spacing w:after="140"/>
      </w:pPr>
      <w:hyperlink r:id="rId25">
        <w:r>
          <w:rPr>
            <w:color w:val="243B53"/>
            <w:u w:val="single"/>
          </w:rPr>
          <w:t>Night of Mystery - How it Works / How to Play</w:t>
        </w:r>
      </w:hyperlink>
      <w:r>
        <w:rPr>
          <w:sz w:val="20"/>
        </w:rPr>
        <w:t xml:space="preserve"> — Reviewed 27 October 2026. Describes this provider’s roles, materials and hosting process. No support was identified for late-arrival or momentum outcomes.</w:t>
      </w:r>
    </w:p>
    <w:p>
      <w:pPr>
        <w:keepNext w:val="0"/>
        <w:keepLines/>
        <w:spacing w:after="140"/>
      </w:pPr>
      <w:hyperlink r:id="rId26">
        <w:r>
          <w:rPr>
            <w:color w:val="243B53"/>
            <w:u w:val="single"/>
          </w:rPr>
          <w:t>Viri VR - Contact Us</w:t>
        </w:r>
      </w:hyperlink>
      <w:r>
        <w:rPr>
          <w:sz w:val="20"/>
        </w:rPr>
        <w:t xml:space="preserve"> — Reviewed 27 October 2026. Published phone number: 03 9088 6232. Supports the contact detail, not service operations.</w:t>
      </w:r>
    </w:p>
    <w:p>
      <w:pPr>
        <w:pStyle w:val="Heading2"/>
        <w:keepNext/>
        <w:keepLines/>
      </w:pPr>
      <w:r>
        <w:rPr>
          <w:color w:val="000000"/>
        </w:rPr>
        <w:t>7.2 Existing HP-003 claim and handoff references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584"/>
        <w:gridCol w:w="7402"/>
      </w:tblGrid>
      <w:tr>
        <w:trPr>
          <w:tblHeader/>
        </w:trPr>
        <w:tc>
          <w:tcPr>
            <w:tcW w:type="dxa" w:w="1296"/>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Claim guidance</w:t>
            </w:r>
          </w:p>
        </w:tc>
        <w:tc>
          <w:tcPr>
            <w:tcW w:type="dxa" w:w="1584"/>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Existing finding links</w:t>
            </w:r>
          </w:p>
        </w:tc>
        <w:tc>
          <w:tcPr>
            <w:tcW w:type="dxa" w:w="7402"/>
            <w:shd w:fill="243B53"/>
            <w:vAlign w:val="center"/>
            <w:tcMar>
              <w:top w:w="75" w:type="dxa"/>
              <w:bottom w:w="75" w:type="dxa"/>
              <w:left w:w="90" w:type="dxa"/>
              <w:right w:w="90" w:type="dxa"/>
            </w:tcMar>
          </w:tcPr>
          <w:p>
            <w:pPr>
              <w:keepNext/>
              <w:spacing w:before="0" w:after="40" w:line="250" w:lineRule="auto"/>
            </w:pPr>
            <w:r>
              <w:rPr>
                <w:rFonts w:ascii="Calibri" w:hAnsi="Calibri"/>
                <w:b/>
                <w:color w:val="FFFFFF"/>
                <w:sz w:val="20"/>
              </w:rPr>
              <w:t>Existing handoff links and scope</w:t>
            </w:r>
          </w:p>
        </w:tc>
      </w:tr>
      <w:tr>
        <w:trPr>
          <w:cantSplit/>
        </w:trPr>
        <w:tc>
          <w:tcPr>
            <w:tcW w:type="dxa" w:w="1296"/>
            <w:vAlign w:val="center"/>
            <w:tcMar>
              <w:top w:w="75" w:type="dxa"/>
              <w:bottom w:w="75" w:type="dxa"/>
              <w:left w:w="90" w:type="dxa"/>
              <w:right w:w="90" w:type="dxa"/>
            </w:tcMar>
          </w:tcPr>
          <w:p>
            <w:pPr>
              <w:keepNext/>
              <w:spacing w:before="0" w:after="40" w:line="250" w:lineRule="auto"/>
            </w:pPr>
            <w:r>
              <w:rPr>
                <w:rFonts w:ascii="Calibri" w:hAnsi="Calibri"/>
                <w:sz w:val="20"/>
              </w:rPr>
              <w:t>C01</w:t>
            </w:r>
          </w:p>
        </w:tc>
        <w:tc>
          <w:tcPr>
            <w:tcW w:type="dxa" w:w="1584"/>
            <w:vAlign w:val="center"/>
            <w:tcMar>
              <w:top w:w="75" w:type="dxa"/>
              <w:bottom w:w="75" w:type="dxa"/>
              <w:left w:w="90" w:type="dxa"/>
              <w:right w:w="90" w:type="dxa"/>
            </w:tcMar>
          </w:tcPr>
          <w:p>
            <w:pPr>
              <w:keepNext/>
              <w:spacing w:before="0" w:after="40" w:line="250" w:lineRule="auto"/>
            </w:pPr>
            <w:r>
              <w:rPr>
                <w:rFonts w:ascii="Calibri" w:hAnsi="Calibri"/>
                <w:sz w:val="20"/>
              </w:rPr>
              <w:t>F01/F13</w:t>
            </w:r>
          </w:p>
        </w:tc>
        <w:tc>
          <w:tcPr>
            <w:tcW w:type="dxa" w:w="7402"/>
            <w:vAlign w:val="center"/>
            <w:tcMar>
              <w:top w:w="75" w:type="dxa"/>
              <w:bottom w:w="75" w:type="dxa"/>
              <w:left w:w="90" w:type="dxa"/>
              <w:right w:w="90" w:type="dxa"/>
            </w:tcMar>
          </w:tcPr>
          <w:p>
            <w:pPr>
              <w:keepNext/>
              <w:spacing w:before="0" w:after="40" w:line="250" w:lineRule="auto"/>
            </w:pPr>
            <w:r>
              <w:rPr>
                <w:sz w:val="20"/>
              </w:rPr>
            </w:r>
            <w:r>
              <w:rPr>
                <w:sz w:val="20"/>
              </w:rPr>
              <w:t>I10: page responsibilities, addresses and link decisions.</w:t>
            </w:r>
          </w:p>
        </w:tc>
      </w:tr>
      <w:tr>
        <w:trPr>
          <w:cantSplit/>
        </w:trPr>
        <w:tc>
          <w:tcPr>
            <w:tcW w:type="dxa" w:w="1296"/>
            <w:shd w:fill="F2F5F8"/>
            <w:vAlign w:val="center"/>
            <w:tcMar>
              <w:top w:w="75" w:type="dxa"/>
              <w:bottom w:w="75" w:type="dxa"/>
              <w:left w:w="90" w:type="dxa"/>
              <w:right w:w="90" w:type="dxa"/>
            </w:tcMar>
          </w:tcPr>
          <w:p>
            <w:pPr>
              <w:keepNext/>
              <w:spacing w:before="0" w:after="40" w:line="250" w:lineRule="auto"/>
            </w:pPr>
            <w:r>
              <w:rPr>
                <w:rFonts w:ascii="Calibri" w:hAnsi="Calibri"/>
                <w:sz w:val="20"/>
              </w:rPr>
              <w:t>C02</w:t>
            </w:r>
          </w:p>
        </w:tc>
        <w:tc>
          <w:tcPr>
            <w:tcW w:type="dxa" w:w="1584"/>
            <w:shd w:fill="F2F5F8"/>
            <w:vAlign w:val="center"/>
            <w:tcMar>
              <w:top w:w="75" w:type="dxa"/>
              <w:bottom w:w="75" w:type="dxa"/>
              <w:left w:w="90" w:type="dxa"/>
              <w:right w:w="90" w:type="dxa"/>
            </w:tcMar>
          </w:tcPr>
          <w:p>
            <w:pPr>
              <w:keepNext/>
              <w:spacing w:before="0" w:after="40" w:line="250" w:lineRule="auto"/>
            </w:pPr>
            <w:r>
              <w:rPr>
                <w:rFonts w:ascii="Calibri" w:hAnsi="Calibri"/>
                <w:sz w:val="20"/>
              </w:rPr>
              <w:t>F02/F03</w:t>
            </w:r>
          </w:p>
        </w:tc>
        <w:tc>
          <w:tcPr>
            <w:tcW w:type="dxa" w:w="7402"/>
            <w:shd w:fill="F2F5F8"/>
            <w:vAlign w:val="center"/>
            <w:tcMar>
              <w:top w:w="75" w:type="dxa"/>
              <w:bottom w:w="75" w:type="dxa"/>
              <w:left w:w="90" w:type="dxa"/>
              <w:right w:w="90" w:type="dxa"/>
            </w:tcMar>
          </w:tcPr>
          <w:p>
            <w:pPr>
              <w:keepNext/>
              <w:spacing w:before="0" w:after="40" w:line="250" w:lineRule="auto"/>
            </w:pPr>
            <w:r>
              <w:rPr>
                <w:sz w:val="20"/>
              </w:rPr>
            </w:r>
            <w:r>
              <w:rPr>
                <w:sz w:val="20"/>
              </w:rPr>
              <w:t>I01/I02: comparison method and balanced evidence before conclusions.</w:t>
            </w:r>
          </w:p>
        </w:tc>
      </w:tr>
      <w:tr>
        <w:trPr>
          <w:cantSplit/>
        </w:trPr>
        <w:tc>
          <w:tcPr>
            <w:tcW w:type="dxa" w:w="1296"/>
            <w:vAlign w:val="center"/>
            <w:tcMar>
              <w:top w:w="75" w:type="dxa"/>
              <w:bottom w:w="75" w:type="dxa"/>
              <w:left w:w="90" w:type="dxa"/>
              <w:right w:w="90" w:type="dxa"/>
            </w:tcMar>
          </w:tcPr>
          <w:p>
            <w:pPr>
              <w:spacing w:before="0" w:after="40" w:line="250" w:lineRule="auto"/>
            </w:pPr>
            <w:r>
              <w:rPr>
                <w:rFonts w:ascii="Calibri" w:hAnsi="Calibri"/>
                <w:sz w:val="20"/>
              </w:rPr>
              <w:t>C03</w:t>
            </w:r>
          </w:p>
        </w:tc>
        <w:tc>
          <w:tcPr>
            <w:tcW w:type="dxa" w:w="1584"/>
            <w:vAlign w:val="center"/>
            <w:tcMar>
              <w:top w:w="75" w:type="dxa"/>
              <w:bottom w:w="75" w:type="dxa"/>
              <w:left w:w="90" w:type="dxa"/>
              <w:right w:w="90" w:type="dxa"/>
            </w:tcMar>
          </w:tcPr>
          <w:p>
            <w:pPr>
              <w:spacing w:before="0" w:after="40" w:line="250" w:lineRule="auto"/>
            </w:pPr>
            <w:r>
              <w:rPr>
                <w:rFonts w:ascii="Calibri" w:hAnsi="Calibri"/>
                <w:sz w:val="20"/>
              </w:rPr>
              <w:t>F04/F09</w:t>
            </w:r>
          </w:p>
        </w:tc>
        <w:tc>
          <w:tcPr>
            <w:tcW w:type="dxa" w:w="7402"/>
            <w:vAlign w:val="center"/>
            <w:tcMar>
              <w:top w:w="75" w:type="dxa"/>
              <w:bottom w:w="75" w:type="dxa"/>
              <w:left w:w="90" w:type="dxa"/>
              <w:right w:w="90" w:type="dxa"/>
            </w:tcMar>
          </w:tcPr>
          <w:p>
            <w:pPr>
              <w:spacing w:before="0" w:after="40" w:line="250" w:lineRule="auto"/>
            </w:pPr>
            <w:r>
              <w:rPr>
                <w:sz w:val="20"/>
              </w:rPr>
            </w:r>
            <w:r>
              <w:rPr>
                <w:sz w:val="20"/>
              </w:rPr>
              <w:t>I03/I07: activity-specific age, supervision and safety guidance.</w:t>
            </w:r>
          </w:p>
        </w:tc>
      </w:tr>
      <w:tr>
        <w:trPr>
          <w:cantSplit/>
        </w:trPr>
        <w:tc>
          <w:tcPr>
            <w:tcW w:type="dxa" w:w="1296"/>
            <w:shd w:fill="F2F5F8"/>
            <w:vAlign w:val="center"/>
            <w:tcMar>
              <w:top w:w="75" w:type="dxa"/>
              <w:bottom w:w="75" w:type="dxa"/>
              <w:left w:w="90" w:type="dxa"/>
              <w:right w:w="90" w:type="dxa"/>
            </w:tcMar>
          </w:tcPr>
          <w:p>
            <w:pPr>
              <w:spacing w:before="0" w:after="40" w:line="250" w:lineRule="auto"/>
            </w:pPr>
            <w:r>
              <w:rPr>
                <w:rFonts w:ascii="Calibri" w:hAnsi="Calibri"/>
                <w:sz w:val="20"/>
              </w:rPr>
              <w:t>C04</w:t>
            </w:r>
          </w:p>
        </w:tc>
        <w:tc>
          <w:tcPr>
            <w:tcW w:type="dxa" w:w="1584"/>
            <w:shd w:fill="F2F5F8"/>
            <w:vAlign w:val="center"/>
            <w:tcMar>
              <w:top w:w="75" w:type="dxa"/>
              <w:bottom w:w="75" w:type="dxa"/>
              <w:left w:w="90" w:type="dxa"/>
              <w:right w:w="90" w:type="dxa"/>
            </w:tcMar>
          </w:tcPr>
          <w:p>
            <w:pPr>
              <w:spacing w:before="0" w:after="40" w:line="250" w:lineRule="auto"/>
            </w:pPr>
            <w:r>
              <w:rPr>
                <w:rFonts w:ascii="Calibri" w:hAnsi="Calibri"/>
                <w:sz w:val="20"/>
              </w:rPr>
              <w:t>F05</w:t>
            </w:r>
          </w:p>
        </w:tc>
        <w:tc>
          <w:tcPr>
            <w:tcW w:type="dxa" w:w="7402"/>
            <w:shd w:fill="F2F5F8"/>
            <w:vAlign w:val="center"/>
            <w:tcMar>
              <w:top w:w="75" w:type="dxa"/>
              <w:bottom w:w="75" w:type="dxa"/>
              <w:left w:w="90" w:type="dxa"/>
              <w:right w:w="90" w:type="dxa"/>
            </w:tcMar>
          </w:tcPr>
          <w:p>
            <w:pPr>
              <w:spacing w:before="0" w:after="40" w:line="250" w:lineRule="auto"/>
            </w:pPr>
            <w:r>
              <w:rPr>
                <w:sz w:val="20"/>
              </w:rPr>
            </w:r>
            <w:r>
              <w:rPr>
                <w:sz w:val="20"/>
              </w:rPr>
              <w:t>I04: tested space and group conditions.</w:t>
            </w:r>
          </w:p>
        </w:tc>
      </w:tr>
      <w:tr>
        <w:trPr>
          <w:cantSplit/>
        </w:trPr>
        <w:tc>
          <w:tcPr>
            <w:tcW w:type="dxa" w:w="1296"/>
            <w:vAlign w:val="center"/>
            <w:tcMar>
              <w:top w:w="75" w:type="dxa"/>
              <w:bottom w:w="75" w:type="dxa"/>
              <w:left w:w="90" w:type="dxa"/>
              <w:right w:w="90" w:type="dxa"/>
            </w:tcMar>
          </w:tcPr>
          <w:p>
            <w:pPr>
              <w:spacing w:before="0" w:after="40" w:line="250" w:lineRule="auto"/>
            </w:pPr>
            <w:r>
              <w:rPr>
                <w:rFonts w:ascii="Calibri" w:hAnsi="Calibri"/>
                <w:sz w:val="20"/>
              </w:rPr>
              <w:t>C05</w:t>
            </w:r>
          </w:p>
        </w:tc>
        <w:tc>
          <w:tcPr>
            <w:tcW w:type="dxa" w:w="1584"/>
            <w:vAlign w:val="center"/>
            <w:tcMar>
              <w:top w:w="75" w:type="dxa"/>
              <w:bottom w:w="75" w:type="dxa"/>
              <w:left w:w="90" w:type="dxa"/>
              <w:right w:w="90" w:type="dxa"/>
            </w:tcMar>
          </w:tcPr>
          <w:p>
            <w:pPr>
              <w:spacing w:before="0" w:after="40" w:line="250" w:lineRule="auto"/>
            </w:pPr>
            <w:r>
              <w:rPr>
                <w:rFonts w:ascii="Calibri" w:hAnsi="Calibri"/>
                <w:sz w:val="20"/>
              </w:rPr>
              <w:t>F06</w:t>
            </w:r>
          </w:p>
        </w:tc>
        <w:tc>
          <w:tcPr>
            <w:tcW w:type="dxa" w:w="7402"/>
            <w:vAlign w:val="center"/>
            <w:tcMar>
              <w:top w:w="75" w:type="dxa"/>
              <w:bottom w:w="75" w:type="dxa"/>
              <w:left w:w="90" w:type="dxa"/>
              <w:right w:w="90" w:type="dxa"/>
            </w:tcMar>
          </w:tcPr>
          <w:p>
            <w:pPr>
              <w:spacing w:before="0" w:after="40" w:line="250" w:lineRule="auto"/>
            </w:pPr>
            <w:r>
              <w:rPr>
                <w:sz w:val="20"/>
              </w:rPr>
            </w:r>
            <w:r>
              <w:rPr>
                <w:sz w:val="20"/>
              </w:rPr>
              <w:t>I05: evidence for cost and value.</w:t>
            </w:r>
          </w:p>
        </w:tc>
      </w:tr>
      <w:tr>
        <w:trPr>
          <w:cantSplit/>
        </w:trPr>
        <w:tc>
          <w:tcPr>
            <w:tcW w:type="dxa" w:w="1296"/>
            <w:shd w:fill="F2F5F8"/>
            <w:vAlign w:val="center"/>
            <w:tcMar>
              <w:top w:w="75" w:type="dxa"/>
              <w:bottom w:w="75" w:type="dxa"/>
              <w:left w:w="90" w:type="dxa"/>
              <w:right w:w="90" w:type="dxa"/>
            </w:tcMar>
          </w:tcPr>
          <w:p>
            <w:pPr>
              <w:spacing w:before="0" w:after="40" w:line="250" w:lineRule="auto"/>
            </w:pPr>
            <w:r>
              <w:rPr>
                <w:rFonts w:ascii="Calibri" w:hAnsi="Calibri"/>
                <w:sz w:val="20"/>
              </w:rPr>
              <w:t>C06</w:t>
            </w:r>
          </w:p>
        </w:tc>
        <w:tc>
          <w:tcPr>
            <w:tcW w:type="dxa" w:w="1584"/>
            <w:shd w:fill="F2F5F8"/>
            <w:vAlign w:val="center"/>
            <w:tcMar>
              <w:top w:w="75" w:type="dxa"/>
              <w:bottom w:w="75" w:type="dxa"/>
              <w:left w:w="90" w:type="dxa"/>
              <w:right w:w="90" w:type="dxa"/>
            </w:tcMar>
          </w:tcPr>
          <w:p>
            <w:pPr>
              <w:spacing w:before="0" w:after="40" w:line="250" w:lineRule="auto"/>
            </w:pPr>
            <w:r>
              <w:rPr>
                <w:rFonts w:ascii="Calibri" w:hAnsi="Calibri"/>
                <w:sz w:val="20"/>
              </w:rPr>
              <w:t>F07</w:t>
            </w:r>
          </w:p>
        </w:tc>
        <w:tc>
          <w:tcPr>
            <w:tcW w:type="dxa" w:w="7402"/>
            <w:shd w:fill="F2F5F8"/>
            <w:vAlign w:val="center"/>
            <w:tcMar>
              <w:top w:w="75" w:type="dxa"/>
              <w:bottom w:w="75" w:type="dxa"/>
              <w:left w:w="90" w:type="dxa"/>
              <w:right w:w="90" w:type="dxa"/>
            </w:tcMar>
          </w:tcPr>
          <w:p>
            <w:pPr>
              <w:spacing w:before="0" w:after="40" w:line="250" w:lineRule="auto"/>
            </w:pPr>
            <w:r>
              <w:rPr>
                <w:sz w:val="20"/>
              </w:rPr>
            </w:r>
            <w:r>
              <w:rPr>
                <w:sz w:val="20"/>
              </w:rPr>
              <w:t>I06: organiser effort and supporting task information.</w:t>
            </w:r>
          </w:p>
        </w:tc>
      </w:tr>
      <w:tr>
        <w:trPr>
          <w:cantSplit/>
        </w:trPr>
        <w:tc>
          <w:tcPr>
            <w:tcW w:type="dxa" w:w="1296"/>
            <w:vAlign w:val="center"/>
            <w:tcMar>
              <w:top w:w="75" w:type="dxa"/>
              <w:bottom w:w="75" w:type="dxa"/>
              <w:left w:w="90" w:type="dxa"/>
              <w:right w:w="90" w:type="dxa"/>
            </w:tcMar>
          </w:tcPr>
          <w:p>
            <w:pPr>
              <w:spacing w:before="0" w:after="40" w:line="250" w:lineRule="auto"/>
            </w:pPr>
            <w:r>
              <w:rPr>
                <w:rFonts w:ascii="Calibri" w:hAnsi="Calibri"/>
                <w:sz w:val="20"/>
              </w:rPr>
              <w:t>C07</w:t>
            </w:r>
          </w:p>
        </w:tc>
        <w:tc>
          <w:tcPr>
            <w:tcW w:type="dxa" w:w="1584"/>
            <w:vAlign w:val="center"/>
            <w:tcMar>
              <w:top w:w="75" w:type="dxa"/>
              <w:bottom w:w="75" w:type="dxa"/>
              <w:left w:w="90" w:type="dxa"/>
              <w:right w:w="90" w:type="dxa"/>
            </w:tcMar>
          </w:tcPr>
          <w:p>
            <w:pPr>
              <w:spacing w:before="0" w:after="40" w:line="250" w:lineRule="auto"/>
            </w:pPr>
            <w:r>
              <w:rPr>
                <w:rFonts w:ascii="Calibri" w:hAnsi="Calibri"/>
                <w:sz w:val="20"/>
              </w:rPr>
              <w:t>F07/F10</w:t>
            </w:r>
          </w:p>
        </w:tc>
        <w:tc>
          <w:tcPr>
            <w:tcW w:type="dxa" w:w="7402"/>
            <w:vAlign w:val="center"/>
            <w:tcMar>
              <w:top w:w="75" w:type="dxa"/>
              <w:bottom w:w="75" w:type="dxa"/>
              <w:left w:w="90" w:type="dxa"/>
              <w:right w:w="90" w:type="dxa"/>
            </w:tcMar>
          </w:tcPr>
          <w:p>
            <w:pPr>
              <w:spacing w:before="0" w:after="40" w:line="250" w:lineRule="auto"/>
            </w:pPr>
            <w:r>
              <w:rPr>
                <w:sz w:val="20"/>
              </w:rPr>
            </w:r>
            <w:r>
              <w:rPr>
                <w:sz w:val="20"/>
              </w:rPr>
              <w:t>I06/I08: actual event flow, examples and permissions; blank template permitted.</w:t>
            </w:r>
          </w:p>
        </w:tc>
      </w:tr>
      <w:tr>
        <w:trPr>
          <w:cantSplit/>
        </w:trPr>
        <w:tc>
          <w:tcPr>
            <w:tcW w:type="dxa" w:w="1296"/>
            <w:shd w:fill="F2F5F8"/>
            <w:vAlign w:val="center"/>
            <w:tcMar>
              <w:top w:w="75" w:type="dxa"/>
              <w:bottom w:w="75" w:type="dxa"/>
              <w:left w:w="90" w:type="dxa"/>
              <w:right w:w="90" w:type="dxa"/>
            </w:tcMar>
          </w:tcPr>
          <w:p>
            <w:pPr>
              <w:spacing w:before="0" w:after="40" w:line="250" w:lineRule="auto"/>
            </w:pPr>
            <w:r>
              <w:rPr>
                <w:rFonts w:ascii="Calibri" w:hAnsi="Calibri"/>
                <w:sz w:val="20"/>
              </w:rPr>
              <w:t>C08</w:t>
            </w:r>
          </w:p>
        </w:tc>
        <w:tc>
          <w:tcPr>
            <w:tcW w:type="dxa" w:w="1584"/>
            <w:shd w:fill="F2F5F8"/>
            <w:vAlign w:val="center"/>
            <w:tcMar>
              <w:top w:w="75" w:type="dxa"/>
              <w:bottom w:w="75" w:type="dxa"/>
              <w:left w:w="90" w:type="dxa"/>
              <w:right w:w="90" w:type="dxa"/>
            </w:tcMar>
          </w:tcPr>
          <w:p>
            <w:pPr>
              <w:spacing w:before="0" w:after="40" w:line="250" w:lineRule="auto"/>
            </w:pPr>
            <w:r>
              <w:rPr>
                <w:rFonts w:ascii="Calibri" w:hAnsi="Calibri"/>
                <w:sz w:val="20"/>
              </w:rPr>
              <w:t>F08</w:t>
            </w:r>
          </w:p>
        </w:tc>
        <w:tc>
          <w:tcPr>
            <w:tcW w:type="dxa" w:w="7402"/>
            <w:shd w:fill="F2F5F8"/>
            <w:vAlign w:val="center"/>
            <w:tcMar>
              <w:top w:w="75" w:type="dxa"/>
              <w:bottom w:w="75" w:type="dxa"/>
              <w:left w:w="90" w:type="dxa"/>
              <w:right w:w="90" w:type="dxa"/>
            </w:tcMar>
          </w:tcPr>
          <w:p>
            <w:pPr>
              <w:spacing w:before="0" w:after="40" w:line="250" w:lineRule="auto"/>
            </w:pPr>
            <w:r>
              <w:rPr>
                <w:sz w:val="20"/>
              </w:rPr>
            </w:r>
            <w:r>
              <w:rPr>
                <w:sz w:val="20"/>
              </w:rPr>
              <w:t>I06: participation claims and their limitations.</w:t>
            </w:r>
          </w:p>
        </w:tc>
      </w:tr>
      <w:tr>
        <w:trPr>
          <w:cantSplit/>
        </w:trPr>
        <w:tc>
          <w:tcPr>
            <w:tcW w:type="dxa" w:w="1296"/>
            <w:vAlign w:val="center"/>
            <w:tcMar>
              <w:top w:w="75" w:type="dxa"/>
              <w:bottom w:w="75" w:type="dxa"/>
              <w:left w:w="90" w:type="dxa"/>
              <w:right w:w="90" w:type="dxa"/>
            </w:tcMar>
          </w:tcPr>
          <w:p>
            <w:pPr>
              <w:spacing w:before="0" w:after="40" w:line="250" w:lineRule="auto"/>
            </w:pPr>
            <w:r>
              <w:rPr>
                <w:rFonts w:ascii="Calibri" w:hAnsi="Calibri"/>
                <w:sz w:val="20"/>
              </w:rPr>
              <w:t>C09</w:t>
            </w:r>
          </w:p>
        </w:tc>
        <w:tc>
          <w:tcPr>
            <w:tcW w:type="dxa" w:w="1584"/>
            <w:vAlign w:val="center"/>
            <w:tcMar>
              <w:top w:w="75" w:type="dxa"/>
              <w:bottom w:w="75" w:type="dxa"/>
              <w:left w:w="90" w:type="dxa"/>
              <w:right w:w="90" w:type="dxa"/>
            </w:tcMar>
          </w:tcPr>
          <w:p>
            <w:pPr>
              <w:spacing w:before="0" w:after="40" w:line="250" w:lineRule="auto"/>
            </w:pPr>
            <w:r>
              <w:rPr>
                <w:rFonts w:ascii="Calibri" w:hAnsi="Calibri"/>
                <w:sz w:val="20"/>
              </w:rPr>
              <w:t>F08/F09</w:t>
            </w:r>
          </w:p>
        </w:tc>
        <w:tc>
          <w:tcPr>
            <w:tcW w:type="dxa" w:w="7402"/>
            <w:vAlign w:val="center"/>
            <w:tcMar>
              <w:top w:w="75" w:type="dxa"/>
              <w:bottom w:w="75" w:type="dxa"/>
              <w:left w:w="90" w:type="dxa"/>
              <w:right w:w="90" w:type="dxa"/>
            </w:tcMar>
          </w:tcPr>
          <w:p>
            <w:pPr>
              <w:spacing w:before="0" w:after="40" w:line="250" w:lineRule="auto"/>
            </w:pPr>
            <w:r>
              <w:rPr>
                <w:sz w:val="20"/>
              </w:rPr>
            </w:r>
            <w:r>
              <w:rPr>
                <w:sz w:val="20"/>
              </w:rPr>
              <w:t>I06/I07: weather, noise, safety and accessibility limitations.</w:t>
            </w:r>
          </w:p>
        </w:tc>
      </w:tr>
      <w:tr>
        <w:trPr>
          <w:cantSplit/>
        </w:trPr>
        <w:tc>
          <w:tcPr>
            <w:tcW w:type="dxa" w:w="1296"/>
            <w:shd w:fill="F2F5F8"/>
            <w:vAlign w:val="center"/>
            <w:tcMar>
              <w:top w:w="75" w:type="dxa"/>
              <w:bottom w:w="75" w:type="dxa"/>
              <w:left w:w="90" w:type="dxa"/>
              <w:right w:w="90" w:type="dxa"/>
            </w:tcMar>
          </w:tcPr>
          <w:p>
            <w:pPr>
              <w:spacing w:before="0" w:after="40" w:line="250" w:lineRule="auto"/>
            </w:pPr>
            <w:r>
              <w:rPr>
                <w:rFonts w:ascii="Calibri" w:hAnsi="Calibri"/>
                <w:sz w:val="20"/>
              </w:rPr>
              <w:t>C10</w:t>
            </w:r>
          </w:p>
        </w:tc>
        <w:tc>
          <w:tcPr>
            <w:tcW w:type="dxa" w:w="1584"/>
            <w:shd w:fill="F2F5F8"/>
            <w:vAlign w:val="center"/>
            <w:tcMar>
              <w:top w:w="75" w:type="dxa"/>
              <w:bottom w:w="75" w:type="dxa"/>
              <w:left w:w="90" w:type="dxa"/>
              <w:right w:w="90" w:type="dxa"/>
            </w:tcMar>
          </w:tcPr>
          <w:p>
            <w:pPr>
              <w:spacing w:before="0" w:after="40" w:line="250" w:lineRule="auto"/>
            </w:pPr>
            <w:r>
              <w:rPr>
                <w:rFonts w:ascii="Calibri" w:hAnsi="Calibri"/>
                <w:sz w:val="20"/>
              </w:rPr>
              <w:t>F02/F03</w:t>
            </w:r>
          </w:p>
        </w:tc>
        <w:tc>
          <w:tcPr>
            <w:tcW w:type="dxa" w:w="7402"/>
            <w:shd w:fill="F2F5F8"/>
            <w:vAlign w:val="center"/>
            <w:tcMar>
              <w:top w:w="75" w:type="dxa"/>
              <w:bottom w:w="75" w:type="dxa"/>
              <w:left w:w="90" w:type="dxa"/>
              <w:right w:w="90" w:type="dxa"/>
            </w:tcMar>
          </w:tcPr>
          <w:p>
            <w:pPr>
              <w:spacing w:before="0" w:after="40" w:line="250" w:lineRule="auto"/>
            </w:pPr>
            <w:r>
              <w:rPr>
                <w:sz w:val="20"/>
              </w:rPr>
            </w:r>
            <w:r>
              <w:rPr>
                <w:sz w:val="20"/>
              </w:rPr>
              <w:t>I01/I02: format benefits, drawbacks and balanced notes.</w:t>
            </w:r>
          </w:p>
        </w:tc>
      </w:tr>
      <w:tr>
        <w:trPr>
          <w:cantSplit/>
        </w:trPr>
        <w:tc>
          <w:tcPr>
            <w:tcW w:type="dxa" w:w="1296"/>
            <w:vAlign w:val="center"/>
            <w:tcMar>
              <w:top w:w="75" w:type="dxa"/>
              <w:bottom w:w="75" w:type="dxa"/>
              <w:left w:w="90" w:type="dxa"/>
              <w:right w:w="90" w:type="dxa"/>
            </w:tcMar>
          </w:tcPr>
          <w:p>
            <w:pPr>
              <w:spacing w:before="0" w:after="40" w:line="250" w:lineRule="auto"/>
            </w:pPr>
            <w:r>
              <w:rPr>
                <w:rFonts w:ascii="Calibri" w:hAnsi="Calibri"/>
                <w:sz w:val="20"/>
              </w:rPr>
              <w:t>C11</w:t>
            </w:r>
          </w:p>
        </w:tc>
        <w:tc>
          <w:tcPr>
            <w:tcW w:type="dxa" w:w="1584"/>
            <w:vAlign w:val="center"/>
            <w:tcMar>
              <w:top w:w="75" w:type="dxa"/>
              <w:bottom w:w="75" w:type="dxa"/>
              <w:left w:w="90" w:type="dxa"/>
              <w:right w:w="90" w:type="dxa"/>
            </w:tcMar>
          </w:tcPr>
          <w:p>
            <w:pPr>
              <w:spacing w:before="0" w:after="40" w:line="250" w:lineRule="auto"/>
            </w:pPr>
            <w:r>
              <w:rPr>
                <w:rFonts w:ascii="Calibri" w:hAnsi="Calibri"/>
                <w:sz w:val="20"/>
              </w:rPr>
              <w:t>F11</w:t>
            </w:r>
          </w:p>
        </w:tc>
        <w:tc>
          <w:tcPr>
            <w:tcW w:type="dxa" w:w="7402"/>
            <w:vAlign w:val="center"/>
            <w:tcMar>
              <w:top w:w="75" w:type="dxa"/>
              <w:bottom w:w="75" w:type="dxa"/>
              <w:left w:w="90" w:type="dxa"/>
              <w:right w:w="90" w:type="dxa"/>
            </w:tcMar>
          </w:tcPr>
          <w:p>
            <w:pPr>
              <w:spacing w:before="0" w:after="40" w:line="250" w:lineRule="auto"/>
            </w:pPr>
            <w:r>
              <w:rPr>
                <w:sz w:val="20"/>
              </w:rPr>
            </w:r>
            <w:r>
              <w:rPr>
                <w:sz w:val="20"/>
              </w:rPr>
              <w:t>I09: current hosted-VR service facts.</w:t>
            </w:r>
          </w:p>
        </w:tc>
      </w:tr>
      <w:tr>
        <w:trPr>
          <w:cantSplit/>
        </w:trPr>
        <w:tc>
          <w:tcPr>
            <w:tcW w:type="dxa" w:w="1296"/>
            <w:shd w:fill="F2F5F8"/>
            <w:vAlign w:val="center"/>
            <w:tcMar>
              <w:top w:w="75" w:type="dxa"/>
              <w:bottom w:w="75" w:type="dxa"/>
              <w:left w:w="90" w:type="dxa"/>
              <w:right w:w="90" w:type="dxa"/>
            </w:tcMar>
          </w:tcPr>
          <w:p>
            <w:pPr>
              <w:spacing w:before="0" w:after="40" w:line="250" w:lineRule="auto"/>
            </w:pPr>
            <w:r>
              <w:rPr>
                <w:rFonts w:ascii="Calibri" w:hAnsi="Calibri"/>
                <w:sz w:val="20"/>
              </w:rPr>
              <w:t>C12</w:t>
            </w:r>
          </w:p>
        </w:tc>
        <w:tc>
          <w:tcPr>
            <w:tcW w:type="dxa" w:w="1584"/>
            <w:shd w:fill="F2F5F8"/>
            <w:vAlign w:val="center"/>
            <w:tcMar>
              <w:top w:w="75" w:type="dxa"/>
              <w:bottom w:w="75" w:type="dxa"/>
              <w:left w:w="90" w:type="dxa"/>
              <w:right w:w="90" w:type="dxa"/>
            </w:tcMar>
          </w:tcPr>
          <w:p>
            <w:pPr>
              <w:spacing w:before="0" w:after="40" w:line="250" w:lineRule="auto"/>
            </w:pPr>
            <w:r>
              <w:rPr>
                <w:rFonts w:ascii="Calibri" w:hAnsi="Calibri"/>
                <w:sz w:val="20"/>
              </w:rPr>
              <w:t>F10</w:t>
            </w:r>
          </w:p>
        </w:tc>
        <w:tc>
          <w:tcPr>
            <w:tcW w:type="dxa" w:w="7402"/>
            <w:shd w:fill="F2F5F8"/>
            <w:vAlign w:val="center"/>
            <w:tcMar>
              <w:top w:w="75" w:type="dxa"/>
              <w:bottom w:w="75" w:type="dxa"/>
              <w:left w:w="90" w:type="dxa"/>
              <w:right w:w="90" w:type="dxa"/>
            </w:tcMar>
          </w:tcPr>
          <w:p>
            <w:pPr>
              <w:spacing w:before="0" w:after="40" w:line="250" w:lineRule="auto"/>
            </w:pPr>
            <w:r>
              <w:rPr>
                <w:sz w:val="20"/>
              </w:rPr>
            </w:r>
            <w:r>
              <w:rPr>
                <w:sz w:val="20"/>
              </w:rPr>
              <w:t>I08: original proof and permission for public use.</w:t>
            </w:r>
          </w:p>
        </w:tc>
      </w:tr>
      <w:tr>
        <w:trPr>
          <w:cantSplit/>
        </w:trPr>
        <w:tc>
          <w:tcPr>
            <w:tcW w:type="dxa" w:w="1296"/>
            <w:vAlign w:val="center"/>
            <w:tcMar>
              <w:top w:w="75" w:type="dxa"/>
              <w:bottom w:w="75" w:type="dxa"/>
              <w:left w:w="90" w:type="dxa"/>
              <w:right w:w="90" w:type="dxa"/>
            </w:tcMar>
          </w:tcPr>
          <w:p>
            <w:pPr>
              <w:keepNext/>
              <w:spacing w:before="0" w:after="40" w:line="250" w:lineRule="auto"/>
            </w:pPr>
            <w:r>
              <w:rPr>
                <w:rFonts w:ascii="Calibri" w:hAnsi="Calibri"/>
                <w:sz w:val="20"/>
              </w:rPr>
              <w:t>C13</w:t>
            </w:r>
          </w:p>
        </w:tc>
        <w:tc>
          <w:tcPr>
            <w:tcW w:type="dxa" w:w="1584"/>
            <w:vAlign w:val="center"/>
            <w:tcMar>
              <w:top w:w="75" w:type="dxa"/>
              <w:bottom w:w="75" w:type="dxa"/>
              <w:left w:w="90" w:type="dxa"/>
              <w:right w:w="90" w:type="dxa"/>
            </w:tcMar>
          </w:tcPr>
          <w:p>
            <w:pPr>
              <w:keepNext/>
              <w:spacing w:before="0" w:after="40" w:line="250" w:lineRule="auto"/>
            </w:pPr>
            <w:r>
              <w:rPr>
                <w:rFonts w:ascii="Calibri" w:hAnsi="Calibri"/>
                <w:sz w:val="20"/>
              </w:rPr>
              <w:t>F12/F15</w:t>
            </w:r>
          </w:p>
        </w:tc>
        <w:tc>
          <w:tcPr>
            <w:tcW w:type="dxa" w:w="7402"/>
            <w:vAlign w:val="center"/>
            <w:tcMar>
              <w:top w:w="75" w:type="dxa"/>
              <w:bottom w:w="75" w:type="dxa"/>
              <w:left w:w="90" w:type="dxa"/>
              <w:right w:w="90" w:type="dxa"/>
            </w:tcMar>
          </w:tcPr>
          <w:p>
            <w:pPr>
              <w:keepNext/>
              <w:spacing w:before="0" w:after="40" w:line="250" w:lineRule="auto"/>
            </w:pPr>
            <w:r>
              <w:rPr>
                <w:sz w:val="20"/>
              </w:rPr>
            </w:r>
            <w:r>
              <w:rPr>
                <w:sz w:val="20"/>
              </w:rPr>
              <w:t>I11/I13/I14: measurement, implementation and later review.</w:t>
            </w:r>
          </w:p>
        </w:tc>
      </w:tr>
      <w:tr>
        <w:trPr>
          <w:cantSplit/>
        </w:trPr>
        <w:tc>
          <w:tcPr>
            <w:tcW w:type="dxa" w:w="1296"/>
            <w:shd w:fill="F2F5F8"/>
            <w:vAlign w:val="center"/>
            <w:tcMar>
              <w:top w:w="75" w:type="dxa"/>
              <w:bottom w:w="75" w:type="dxa"/>
              <w:left w:w="90" w:type="dxa"/>
              <w:right w:w="90" w:type="dxa"/>
            </w:tcMar>
          </w:tcPr>
          <w:p>
            <w:pPr>
              <w:keepNext/>
              <w:spacing w:before="0" w:after="40" w:line="250" w:lineRule="auto"/>
            </w:pPr>
            <w:r>
              <w:rPr>
                <w:rFonts w:ascii="Calibri" w:hAnsi="Calibri"/>
                <w:sz w:val="20"/>
              </w:rPr>
              <w:t>C14</w:t>
            </w:r>
          </w:p>
        </w:tc>
        <w:tc>
          <w:tcPr>
            <w:tcW w:type="dxa" w:w="1584"/>
            <w:shd w:fill="F2F5F8"/>
            <w:vAlign w:val="center"/>
            <w:tcMar>
              <w:top w:w="75" w:type="dxa"/>
              <w:bottom w:w="75" w:type="dxa"/>
              <w:left w:w="90" w:type="dxa"/>
              <w:right w:w="90" w:type="dxa"/>
            </w:tcMar>
          </w:tcPr>
          <w:p>
            <w:pPr>
              <w:keepNext/>
              <w:spacing w:before="0" w:after="40" w:line="250" w:lineRule="auto"/>
            </w:pPr>
            <w:r>
              <w:rPr>
                <w:rFonts w:ascii="Calibri" w:hAnsi="Calibri"/>
                <w:sz w:val="20"/>
              </w:rPr>
              <w:t>F13</w:t>
            </w:r>
          </w:p>
        </w:tc>
        <w:tc>
          <w:tcPr>
            <w:tcW w:type="dxa" w:w="7402"/>
            <w:shd w:fill="F2F5F8"/>
            <w:vAlign w:val="center"/>
            <w:tcMar>
              <w:top w:w="75" w:type="dxa"/>
              <w:bottom w:w="75" w:type="dxa"/>
              <w:left w:w="90" w:type="dxa"/>
              <w:right w:w="90" w:type="dxa"/>
            </w:tcMar>
          </w:tcPr>
          <w:p>
            <w:pPr>
              <w:keepNext/>
              <w:spacing w:before="0" w:after="40" w:line="250" w:lineRule="auto"/>
            </w:pPr>
            <w:r>
              <w:rPr>
                <w:sz w:val="20"/>
              </w:rPr>
            </w:r>
            <w:r>
              <w:rPr>
                <w:sz w:val="20"/>
              </w:rPr>
              <w:t>I10: old-content and migration review.</w:t>
            </w:r>
          </w:p>
        </w:tc>
      </w:tr>
      <w:tr>
        <w:trPr>
          <w:cantSplit/>
        </w:trPr>
        <w:tc>
          <w:tcPr>
            <w:tcW w:type="dxa" w:w="1296"/>
            <w:vAlign w:val="center"/>
            <w:tcMar>
              <w:top w:w="75" w:type="dxa"/>
              <w:bottom w:w="75" w:type="dxa"/>
              <w:left w:w="90" w:type="dxa"/>
              <w:right w:w="90" w:type="dxa"/>
            </w:tcMar>
          </w:tcPr>
          <w:p>
            <w:pPr>
              <w:spacing w:before="0" w:after="40" w:line="250" w:lineRule="auto"/>
            </w:pPr>
            <w:r>
              <w:rPr>
                <w:rFonts w:ascii="Calibri" w:hAnsi="Calibri"/>
                <w:sz w:val="20"/>
              </w:rPr>
              <w:t>No separate C record</w:t>
            </w:r>
          </w:p>
        </w:tc>
        <w:tc>
          <w:tcPr>
            <w:tcW w:type="dxa" w:w="1584"/>
            <w:vAlign w:val="center"/>
            <w:tcMar>
              <w:top w:w="75" w:type="dxa"/>
              <w:bottom w:w="75" w:type="dxa"/>
              <w:left w:w="90" w:type="dxa"/>
              <w:right w:w="90" w:type="dxa"/>
            </w:tcMar>
          </w:tcPr>
          <w:p>
            <w:pPr>
              <w:spacing w:before="0" w:after="40" w:line="250" w:lineRule="auto"/>
            </w:pPr>
            <w:r>
              <w:rPr>
                <w:rFonts w:ascii="Calibri" w:hAnsi="Calibri"/>
                <w:sz w:val="20"/>
              </w:rPr>
              <w:t>F14</w:t>
            </w:r>
          </w:p>
        </w:tc>
        <w:tc>
          <w:tcPr>
            <w:tcW w:type="dxa" w:w="7402"/>
            <w:vAlign w:val="center"/>
            <w:tcMar>
              <w:top w:w="75" w:type="dxa"/>
              <w:bottom w:w="75" w:type="dxa"/>
              <w:left w:w="90" w:type="dxa"/>
              <w:right w:w="90" w:type="dxa"/>
            </w:tcMar>
          </w:tcPr>
          <w:p>
            <w:pPr>
              <w:spacing w:before="0" w:after="40" w:line="250" w:lineRule="auto"/>
            </w:pPr>
            <w:r>
              <w:rPr>
                <w:sz w:val="20"/>
              </w:rPr>
            </w:r>
            <w:r>
              <w:rPr>
                <w:sz w:val="20"/>
              </w:rPr>
              <w:t>I12: review of relevant citation, link and media opportunities.</w:t>
            </w:r>
          </w:p>
        </w:tc>
      </w:tr>
    </w:tbl>
    <w:p>
      <w:pPr>
        <w:spacing w:after="40"/>
      </w:pPr>
      <w:r/>
    </w:p>
    <w:p>
      <w:pPr>
        <w:keepLines/>
      </w:pPr>
      <w:r>
        <w:t>The Evidence and Trust Matrix uses HP3-C01–HP3-C14 for the same claim guidance labelled C01–C14 in the HP-003 report. Its proposal HP3-P01 covers the comparison structure and blank worksheet. I13 concerns technical validation; I14 concerns later Authority review. No finding identifiers have been added.</w:t>
      </w:r>
    </w:p>
    <w:p>
      <w:pPr>
        <w:pStyle w:val="Heading2"/>
        <w:keepNext/>
        <w:keepLines/>
      </w:pPr>
      <w:r>
        <w:rPr>
          <w:color w:val="000000"/>
        </w:rPr>
        <w:t>7.3 Change record</w:t>
      </w:r>
    </w:p>
    <w:p>
      <w:pPr>
        <w:keepLines/>
      </w:pPr>
      <w:r>
        <w:t>The earlier HP-002 findings remain linked to HP2-F01–HP2-F12 in Section 2.2. The enquiry-acknowledgement improvement, venue contradiction and evidence holds are retained. HP-003’s finding, claim-guidance and handoff records are preserved, with refinements to its method, worksheet, sources and wording. The Agent review retains O1–O5 and D1–D9 and distinguishes written instructions from demonstrated behaviour.</w:t>
      </w:r>
    </w:p>
    <w:p>
      <w:pPr>
        <w:keepLines/>
      </w:pPr>
      <w:r/>
      <w:r>
        <w:rPr>
          <w:b/>
        </w:rPr>
        <w:t>Version 1.2, 27 October 2026.</w:t>
      </w:r>
      <w:r>
        <w:t xml:space="preserve"> Editorial revision of version 1.1. Simplified language, replaced source shorthand with descriptive names, removed administrative material and improved the handoff and table layout. The seven-section structure, author attribution, findings, evidence requirements, recommendations and approval conditions are retained. No new assessment or factual clearance was made.</w:t>
      </w:r>
    </w:p>
    <w:sectPr w:rsidR="00FC693F" w:rsidRPr="0006063C" w:rsidSect="00034616">
      <w:headerReference w:type="default" r:id="rId9"/>
      <w:footerReference w:type="default" r:id="rId10"/>
      <w:pgSz w:w="12240" w:h="15840"/>
      <w:pgMar w:top="936" w:right="979" w:bottom="936"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27 October 2026  |  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Viri VR  |  Sprint 3 Week 3  |  Authority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eastAsia="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eastAsia="Calibr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eastAsia="Calibri"/>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atgpt.com/library?file_id=libfile_aff6d467938881919ceea845868d46fc&amp;account_id=c0a500af-62df-4598-8c64-21e40b9f053b" TargetMode="External"/><Relationship Id="rId12" Type="http://schemas.openxmlformats.org/officeDocument/2006/relationships/hyperlink" Target="https://chatgpt.com/library?file_id=libfile_7ef13eef1a888191bae3fc8db01d23eb&amp;account_id=c0a500af-62df-4598-8c64-21e40b9f053b" TargetMode="External"/><Relationship Id="rId13" Type="http://schemas.openxmlformats.org/officeDocument/2006/relationships/hyperlink" Target="https://chatgpt.com/library?file_id=libfile_8a4f472374908191aae30bca98743d5f&amp;account_id=c0a500af-62df-4598-8c64-21e40b9f053b" TargetMode="External"/><Relationship Id="rId14" Type="http://schemas.openxmlformats.org/officeDocument/2006/relationships/hyperlink" Target="https://chatgpt.com/library?file_id=libfile_f10a06608f7c81919f4589e803e10ecc&amp;account_id=c0a500af-62df-4598-8c64-21e40b9f053b" TargetMode="External"/><Relationship Id="rId15" Type="http://schemas.openxmlformats.org/officeDocument/2006/relationships/hyperlink" Target="https://chatgpt.com/library?file_id=libfile_3704f29149b48191adf21820361097ad&amp;account_id=c0a500af-62df-4598-8c64-21e40b9f053b" TargetMode="External"/><Relationship Id="rId16" Type="http://schemas.openxmlformats.org/officeDocument/2006/relationships/hyperlink" Target="https://chatgpt.com/library?file_id=libfile_6d579e5ef1448191838f8dd448418db7&amp;account_id=c0a500af-62df-4598-8c64-21e40b9f053b" TargetMode="External"/><Relationship Id="rId17" Type="http://schemas.openxmlformats.org/officeDocument/2006/relationships/hyperlink" Target="https://chatgpt.com/library?file_id=libfile_2789b97f25988191b2371f02c2f7ff6e&amp;account_id=c0a500af-62df-4598-8c64-21e40b9f053b" TargetMode="External"/><Relationship Id="rId18" Type="http://schemas.openxmlformats.org/officeDocument/2006/relationships/hyperlink" Target="https://chatgpt.com/library?file_id=libfile_50533a698ecc8191b1aad53e29359fb7&amp;account_id=c0a500af-62df-4598-8c64-21e40b9f053b" TargetMode="External"/><Relationship Id="rId19" Type="http://schemas.openxmlformats.org/officeDocument/2006/relationships/hyperlink" Target="https://chatgpt.com/library?file_id=libfile_948d08dce9688191bd8828105d2ed526&amp;account_id=c0a500af-62df-4598-8c64-21e40b9f053b" TargetMode="External"/><Relationship Id="rId20" Type="http://schemas.openxmlformats.org/officeDocument/2006/relationships/hyperlink" Target="https://chatgpt.com/library?file_id=libfile_34f20bf1c930819189dcec9ba20a54ac&amp;account_id=c0a500af-62df-4598-8c64-21e40b9f053b" TargetMode="External"/><Relationship Id="rId21" Type="http://schemas.openxmlformats.org/officeDocument/2006/relationships/hyperlink" Target="https://chatgpt.com/library?file_id=libfile_fb25058f3ac4819188a0b0ffc9588973&amp;account_id=c0a500af-62df-4598-8c64-21e40b9f053b" TargetMode="External"/><Relationship Id="rId22" Type="http://schemas.openxmlformats.org/officeDocument/2006/relationships/hyperlink" Target="https://chatgpt.com/library?file_id=libfile_4837525ff3b88191a58157ea3dfde4df&amp;account_id=c0a500af-62df-4598-8c64-21e40b9f053b" TargetMode="External"/><Relationship Id="rId23" Type="http://schemas.openxmlformats.org/officeDocument/2006/relationships/hyperlink" Target="https://www.coles.com.au/recipes-inspiration/home-ideas/party-planning-checklist" TargetMode="External"/><Relationship Id="rId24" Type="http://schemas.openxmlformats.org/officeDocument/2006/relationships/hyperlink" Target="https://www.epa.vic.gov.au/reduce-noise-your-home" TargetMode="External"/><Relationship Id="rId25" Type="http://schemas.openxmlformats.org/officeDocument/2006/relationships/hyperlink" Target="https://www.nightofmystery.com/how-it-works/" TargetMode="External"/><Relationship Id="rId26" Type="http://schemas.openxmlformats.org/officeDocument/2006/relationships/hyperlink" Target="https://virivr.com.au/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HP-002 Authority Validation &amp; Refined HP-003 Evidence Requirements + Agent Validation Record</dc:title>
  <dc:subject>Sprint 3 Week 3 Authority Manager assessment and Content Manager handoff</dc:subject>
  <dc:creator>Anthony Dat Phan</dc:creator>
  <cp:keywords>HP-002, HP-003, Authority, evidence, Sprint 3 Week 3</cp:keywords>
  <dc:description>generated by python-docx</dc:description>
  <cp:lastModifiedBy>Authority Manager AI Agent</cp:lastModifiedBy>
  <cp:revision>1</cp:revision>
  <dcterms:created xsi:type="dcterms:W3CDTF">2013-12-23T23:15:00Z</dcterms:created>
  <dcterms:modified xsi:type="dcterms:W3CDTF">2013-12-23T23:15:00Z</dcterms:modified>
  <cp:category/>
  <cp:version>1.2</cp:version>
</cp:coreProperties>
</file>