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pPr>
      <w:r>
        <w:rPr>
          <w:rFonts w:ascii="Aptos Display" w:hAnsi="Aptos Display"/>
          <w:b/>
          <w:color w:val="17365D"/>
          <w:sz w:val="48"/>
        </w:rPr>
        <w:t>HP-002 Pre-Development Authority Analysis and Recommendation Report</w:t>
      </w:r>
    </w:p>
    <w:p>
      <w:pPr>
        <w:spacing w:after="360"/>
      </w:pPr>
      <w:r>
        <w:rPr>
          <w:rFonts w:ascii="Aptos" w:hAnsi="Aptos"/>
          <w:color w:val="5B6573"/>
          <w:sz w:val="24"/>
        </w:rPr>
        <w:t>Authority Manager AI Agent | ViriVr Digital Marketing Team</w:t>
      </w:r>
    </w:p>
    <w:tbl>
      <w:tblPr>
        <w:tblW w:type="auto" w:w="0"/>
        <w:jc w:val="center"/>
        <w:tblLook w:firstColumn="1" w:firstRow="1" w:lastColumn="0" w:lastRow="0" w:noHBand="0" w:noVBand="1" w:val="04A0"/>
      </w:tblPr>
      <w:tblGrid>
        <w:gridCol w:w="10656"/>
      </w:tblGrid>
      <w:tr>
        <w:tc>
          <w:tcPr>
            <w:tcW w:type="dxa" w:w="10296"/>
            <w:shd w:fill="EEF4FB"/>
            <w:tcMar>
              <w:top w:w="120" w:type="dxa"/>
              <w:start w:w="140" w:type="dxa"/>
              <w:bottom w:w="120" w:type="dxa"/>
              <w:end w:w="140" w:type="dxa"/>
            </w:tcMar>
          </w:tcPr>
          <w:p>
            <w:pPr>
              <w:spacing w:after="60"/>
            </w:pPr>
            <w:r>
              <w:rPr>
                <w:rFonts w:ascii="Aptos" w:hAnsi="Aptos"/>
                <w:b/>
                <w:color w:val="17365D"/>
                <w:sz w:val="22"/>
              </w:rPr>
              <w:t>Report status</w:t>
            </w:r>
          </w:p>
          <w:p>
            <w:pPr>
              <w:spacing w:after="0" w:line="259" w:lineRule="auto"/>
            </w:pPr>
            <w:r>
              <w:rPr>
                <w:rFonts w:ascii="Aptos" w:hAnsi="Aptos"/>
                <w:color w:val="232323"/>
                <w:sz w:val="19"/>
              </w:rPr>
              <w:t>Pre-development Authority Manager analysis and operational handoff. HP-002 has not been developed. This document is not an audit, completed-page review, publication approval, or specialist analysis.</w:t>
            </w:r>
          </w:p>
        </w:tc>
      </w:tr>
    </w:tbl>
    <w:p>
      <w:pPr>
        <w:spacing w:after="20"/>
      </w:pPr>
    </w:p>
    <w:tbl>
      <w:tblPr>
        <w:tblW w:type="auto" w:w="0"/>
        <w:jc w:val="center"/>
        <w:tblLayout w:type="fixed"/>
        <w:tblLook w:firstColumn="1" w:firstRow="1" w:lastColumn="0" w:lastRow="0" w:noHBand="0" w:noVBand="1" w:val="04A0"/>
      </w:tblPr>
      <w:tblGrid>
        <w:gridCol w:w="5328"/>
        <w:gridCol w:w="5328"/>
      </w:tblGrid>
      <w:tr>
        <w:tc>
          <w:tcPr>
            <w:tcW w:type="dxa" w:w="2232"/>
            <w:vAlign w:val="center"/>
            <w:tcMar>
              <w:top w:w="80" w:type="dxa"/>
              <w:start w:w="100" w:type="dxa"/>
              <w:bottom w:w="80" w:type="dxa"/>
              <w:end w:w="100" w:type="dxa"/>
            </w:tcMar>
            <w:shd w:fill="E8EEF7"/>
          </w:tcPr>
          <w:p>
            <w:pPr>
              <w:spacing w:after="0" w:before="0" w:line="252" w:lineRule="auto"/>
            </w:pPr>
            <w:r/>
            <w:r>
              <w:rPr>
                <w:rFonts w:ascii="Aptos" w:hAnsi="Aptos"/>
                <w:b/>
                <w:color w:val="17365D"/>
                <w:sz w:val="18"/>
              </w:rPr>
              <w:t>Target</w:t>
            </w:r>
          </w:p>
        </w:tc>
        <w:tc>
          <w:tcPr>
            <w:tcW w:type="dxa" w:w="8064"/>
            <w:vAlign w:val="center"/>
            <w:tcMar>
              <w:top w:w="80" w:type="dxa"/>
              <w:start w:w="100" w:type="dxa"/>
              <w:bottom w:w="80" w:type="dxa"/>
              <w:end w:w="100" w:type="dxa"/>
            </w:tcMar>
          </w:tcPr>
          <w:p>
            <w:pPr>
              <w:spacing w:after="0" w:before="0" w:line="252" w:lineRule="auto"/>
            </w:pPr>
            <w:r/>
            <w:r>
              <w:rPr>
                <w:rFonts w:ascii="Aptos" w:hAnsi="Aptos"/>
                <w:b w:val="0"/>
                <w:color w:val="222222"/>
                <w:sz w:val="18"/>
              </w:rPr>
              <w:t>HP-002 - /house-party/melbourne/</w:t>
            </w:r>
          </w:p>
        </w:tc>
      </w:tr>
      <w:tr>
        <w:tc>
          <w:tcPr>
            <w:tcW w:type="dxa" w:w="2232"/>
            <w:vAlign w:val="center"/>
            <w:tcMar>
              <w:top w:w="80" w:type="dxa"/>
              <w:start w:w="100" w:type="dxa"/>
              <w:bottom w:w="80" w:type="dxa"/>
              <w:end w:w="100" w:type="dxa"/>
            </w:tcMar>
            <w:shd w:fill="E8EEF7"/>
          </w:tcPr>
          <w:p>
            <w:pPr>
              <w:spacing w:after="0" w:before="0" w:line="252" w:lineRule="auto"/>
            </w:pPr>
            <w:r/>
            <w:r>
              <w:rPr>
                <w:rFonts w:ascii="Aptos" w:hAnsi="Aptos"/>
                <w:b/>
                <w:color w:val="17365D"/>
                <w:sz w:val="18"/>
              </w:rPr>
              <w:t>Planned page type</w:t>
            </w:r>
          </w:p>
        </w:tc>
        <w:tc>
          <w:tcPr>
            <w:tcW w:type="dxa" w:w="8064"/>
            <w:vAlign w:val="center"/>
            <w:tcMar>
              <w:top w:w="80" w:type="dxa"/>
              <w:start w:w="100" w:type="dxa"/>
              <w:bottom w:w="80" w:type="dxa"/>
              <w:end w:w="100" w:type="dxa"/>
            </w:tcMar>
          </w:tcPr>
          <w:p>
            <w:pPr>
              <w:spacing w:after="0" w:before="0" w:line="252" w:lineRule="auto"/>
            </w:pPr>
            <w:r/>
            <w:r>
              <w:rPr>
                <w:rFonts w:ascii="Aptos" w:hAnsi="Aptos"/>
                <w:b w:val="0"/>
                <w:color w:val="222222"/>
                <w:sz w:val="18"/>
              </w:rPr>
              <w:t>P1 local service landing page</w:t>
            </w:r>
          </w:p>
        </w:tc>
      </w:tr>
      <w:tr>
        <w:tc>
          <w:tcPr>
            <w:tcW w:type="dxa" w:w="2232"/>
            <w:vAlign w:val="center"/>
            <w:tcMar>
              <w:top w:w="80" w:type="dxa"/>
              <w:start w:w="100" w:type="dxa"/>
              <w:bottom w:w="80" w:type="dxa"/>
              <w:end w:w="100" w:type="dxa"/>
            </w:tcMar>
            <w:shd w:fill="E8EEF7"/>
          </w:tcPr>
          <w:p>
            <w:pPr>
              <w:spacing w:after="0" w:before="0" w:line="252" w:lineRule="auto"/>
            </w:pPr>
            <w:r/>
            <w:r>
              <w:rPr>
                <w:rFonts w:ascii="Aptos" w:hAnsi="Aptos"/>
                <w:b/>
                <w:color w:val="17365D"/>
                <w:sz w:val="18"/>
              </w:rPr>
              <w:t>Primary purpose</w:t>
            </w:r>
          </w:p>
        </w:tc>
        <w:tc>
          <w:tcPr>
            <w:tcW w:type="dxa" w:w="8064"/>
            <w:vAlign w:val="center"/>
            <w:tcMar>
              <w:top w:w="80" w:type="dxa"/>
              <w:start w:w="100" w:type="dxa"/>
              <w:bottom w:w="80" w:type="dxa"/>
              <w:end w:w="100" w:type="dxa"/>
            </w:tcMar>
          </w:tcPr>
          <w:p>
            <w:pPr>
              <w:spacing w:after="0" w:before="0" w:line="252" w:lineRule="auto"/>
            </w:pPr>
            <w:r/>
            <w:r>
              <w:rPr>
                <w:rFonts w:ascii="Aptos" w:hAnsi="Aptos"/>
                <w:b w:val="0"/>
                <w:color w:val="222222"/>
                <w:sz w:val="18"/>
              </w:rPr>
              <w:t>Confirm where and how ViriVr delivers hosted house parties in Melbourne, including travel, setup, availability and local proof.</w:t>
            </w:r>
          </w:p>
        </w:tc>
      </w:tr>
      <w:tr>
        <w:tc>
          <w:tcPr>
            <w:tcW w:type="dxa" w:w="2232"/>
            <w:vAlign w:val="center"/>
            <w:tcMar>
              <w:top w:w="80" w:type="dxa"/>
              <w:start w:w="100" w:type="dxa"/>
              <w:bottom w:w="80" w:type="dxa"/>
              <w:end w:w="100" w:type="dxa"/>
            </w:tcMar>
            <w:shd w:fill="E8EEF7"/>
          </w:tcPr>
          <w:p>
            <w:pPr>
              <w:spacing w:after="0" w:before="0" w:line="252" w:lineRule="auto"/>
            </w:pPr>
            <w:r/>
            <w:r>
              <w:rPr>
                <w:rFonts w:ascii="Aptos" w:hAnsi="Aptos"/>
                <w:b/>
                <w:color w:val="17365D"/>
                <w:sz w:val="18"/>
              </w:rPr>
              <w:t>Authority scope</w:t>
            </w:r>
          </w:p>
        </w:tc>
        <w:tc>
          <w:tcPr>
            <w:tcW w:type="dxa" w:w="8064"/>
            <w:vAlign w:val="center"/>
            <w:tcMar>
              <w:top w:w="80" w:type="dxa"/>
              <w:start w:w="100" w:type="dxa"/>
              <w:bottom w:w="80" w:type="dxa"/>
              <w:end w:w="100" w:type="dxa"/>
            </w:tcMar>
          </w:tcPr>
          <w:p>
            <w:pPr>
              <w:spacing w:after="0" w:before="0" w:line="252" w:lineRule="auto"/>
            </w:pPr>
            <w:r/>
            <w:r>
              <w:rPr>
                <w:rFonts w:ascii="Aptos" w:hAnsi="Aptos"/>
                <w:b w:val="0"/>
                <w:color w:val="222222"/>
                <w:sz w:val="18"/>
              </w:rPr>
              <w:t>Preliminary Authority, Trust, Evidence and Brand analysis; identify dependencies and route specialist work.</w:t>
            </w:r>
          </w:p>
        </w:tc>
      </w:tr>
      <w:tr>
        <w:tc>
          <w:tcPr>
            <w:tcW w:type="dxa" w:w="2232"/>
            <w:vAlign w:val="center"/>
            <w:tcMar>
              <w:top w:w="80" w:type="dxa"/>
              <w:start w:w="100" w:type="dxa"/>
              <w:bottom w:w="80" w:type="dxa"/>
              <w:end w:w="100" w:type="dxa"/>
            </w:tcMar>
            <w:shd w:fill="E8EEF7"/>
          </w:tcPr>
          <w:p>
            <w:pPr>
              <w:spacing w:after="0" w:before="0" w:line="252" w:lineRule="auto"/>
            </w:pPr>
            <w:r/>
            <w:r>
              <w:rPr>
                <w:rFonts w:ascii="Aptos" w:hAnsi="Aptos"/>
                <w:b/>
                <w:color w:val="17365D"/>
                <w:sz w:val="18"/>
              </w:rPr>
              <w:t>Source priority</w:t>
            </w:r>
          </w:p>
        </w:tc>
        <w:tc>
          <w:tcPr>
            <w:tcW w:type="dxa" w:w="8064"/>
            <w:vAlign w:val="center"/>
            <w:tcMar>
              <w:top w:w="80" w:type="dxa"/>
              <w:start w:w="100" w:type="dxa"/>
              <w:bottom w:w="80" w:type="dxa"/>
              <w:end w:w="100" w:type="dxa"/>
            </w:tcMar>
          </w:tcPr>
          <w:p>
            <w:pPr>
              <w:spacing w:after="0" w:before="0" w:line="252" w:lineRule="auto"/>
            </w:pPr>
            <w:r/>
            <w:r>
              <w:rPr>
                <w:rFonts w:ascii="Aptos" w:hAnsi="Aptos"/>
                <w:b w:val="0"/>
                <w:color w:val="222222"/>
                <w:sz w:val="18"/>
              </w:rPr>
              <w:t>S1 Handbook &gt; S2 Authority Manager Specification &gt; S3 Audit Criteria Framework &gt; S4 approved architecture and Project Sources.</w:t>
            </w:r>
          </w:p>
        </w:tc>
      </w:tr>
    </w:tbl>
    <w:p/>
    <w:p>
      <w:pPr>
        <w:pStyle w:val="Heading1"/>
        <w:keepNext/>
        <w:spacing w:before="200" w:after="80"/>
      </w:pPr>
      <w:r>
        <w:t>1. Source Basis and Role Boundary</w:t>
      </w:r>
    </w:p>
    <w:tbl>
      <w:tblPr>
        <w:tblW w:type="auto" w:w="0"/>
        <w:jc w:val="center"/>
        <w:tblLayout w:type="fixed"/>
        <w:tblLook w:firstColumn="1" w:firstRow="1" w:lastColumn="0" w:lastRow="0" w:noHBand="0" w:noVBand="1" w:val="04A0"/>
      </w:tblPr>
      <w:tblGrid>
        <w:gridCol w:w="3552"/>
        <w:gridCol w:w="3552"/>
        <w:gridCol w:w="3552"/>
      </w:tblGrid>
      <w:tr>
        <w:trPr>
          <w:tblHeader w:val="true"/>
        </w:trPr>
        <w:tc>
          <w:tcPr>
            <w:tcW w:type="dxa" w:w="648"/>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ID</w:t>
            </w:r>
          </w:p>
        </w:tc>
        <w:tc>
          <w:tcPr>
            <w:tcW w:type="dxa" w:w="396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Approved source</w:t>
            </w:r>
          </w:p>
        </w:tc>
        <w:tc>
          <w:tcPr>
            <w:tcW w:type="dxa" w:w="5688"/>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Use in this handoff</w:t>
            </w:r>
          </w:p>
        </w:tc>
      </w:tr>
      <w:tr>
        <w:tc>
          <w:tcPr>
            <w:tcW w:type="dxa" w:w="648"/>
            <w:vAlign w:val="center"/>
            <w:tcMar>
              <w:top w:w="80" w:type="dxa"/>
              <w:start w:w="100" w:type="dxa"/>
              <w:bottom w:w="80" w:type="dxa"/>
              <w:end w:w="100" w:type="dxa"/>
            </w:tcMar>
          </w:tcPr>
          <w:p>
            <w:pPr>
              <w:spacing w:after="0" w:before="0" w:line="252" w:lineRule="auto"/>
            </w:pPr>
            <w:r/>
            <w:r>
              <w:rPr>
                <w:rFonts w:ascii="Aptos" w:hAnsi="Aptos"/>
                <w:b w:val="0"/>
                <w:color w:val="222222"/>
                <w:sz w:val="17"/>
              </w:rPr>
              <w:t>S1</w:t>
            </w:r>
          </w:p>
        </w:tc>
        <w:tc>
          <w:tcPr>
            <w:tcW w:type="dxa" w:w="3960"/>
            <w:vAlign w:val="center"/>
            <w:tcMar>
              <w:top w:w="80" w:type="dxa"/>
              <w:start w:w="100" w:type="dxa"/>
              <w:bottom w:w="80" w:type="dxa"/>
              <w:end w:w="100" w:type="dxa"/>
            </w:tcMar>
          </w:tcPr>
          <w:p>
            <w:pPr>
              <w:spacing w:after="0" w:before="0" w:line="252" w:lineRule="auto"/>
            </w:pPr>
            <w:r/>
            <w:r>
              <w:rPr>
                <w:rFonts w:ascii="Aptos" w:hAnsi="Aptos"/>
                <w:b w:val="0"/>
                <w:color w:val="222222"/>
                <w:sz w:val="17"/>
              </w:rPr>
              <w:t>Digital Marketing Centre of Excellence Graduate Handbook, v1.0, Aug 2026</w:t>
            </w:r>
          </w:p>
        </w:tc>
        <w:tc>
          <w:tcPr>
            <w:tcW w:type="dxa" w:w="5688"/>
            <w:vAlign w:val="center"/>
            <w:tcMar>
              <w:top w:w="80" w:type="dxa"/>
              <w:start w:w="100" w:type="dxa"/>
              <w:bottom w:w="80" w:type="dxa"/>
              <w:end w:w="100" w:type="dxa"/>
            </w:tcMar>
          </w:tcPr>
          <w:p>
            <w:pPr>
              <w:spacing w:after="0" w:before="0" w:line="252" w:lineRule="auto"/>
            </w:pPr>
            <w:r/>
            <w:r>
              <w:rPr>
                <w:rFonts w:ascii="Aptos" w:hAnsi="Aptos"/>
                <w:b w:val="0"/>
                <w:color w:val="222222"/>
                <w:sz w:val="17"/>
              </w:rPr>
              <w:t>Authority review purpose; Authority Manager charter; specialist boundaries; controlled handoffs and escalation.</w:t>
            </w:r>
          </w:p>
        </w:tc>
      </w:tr>
      <w:tr>
        <w:tc>
          <w:tcPr>
            <w:tcW w:type="dxa" w:w="648"/>
            <w:vAlign w:val="center"/>
            <w:tcMar>
              <w:top w:w="80" w:type="dxa"/>
              <w:start w:w="100" w:type="dxa"/>
              <w:bottom w:w="80" w:type="dxa"/>
              <w:end w:w="100" w:type="dxa"/>
            </w:tcMar>
          </w:tcPr>
          <w:p>
            <w:pPr>
              <w:spacing w:after="0" w:before="0" w:line="252" w:lineRule="auto"/>
            </w:pPr>
            <w:r/>
            <w:r>
              <w:rPr>
                <w:rFonts w:ascii="Aptos" w:hAnsi="Aptos"/>
                <w:b w:val="0"/>
                <w:color w:val="222222"/>
                <w:sz w:val="17"/>
              </w:rPr>
              <w:t>S2</w:t>
            </w:r>
          </w:p>
        </w:tc>
        <w:tc>
          <w:tcPr>
            <w:tcW w:type="dxa" w:w="3960"/>
            <w:vAlign w:val="center"/>
            <w:tcMar>
              <w:top w:w="80" w:type="dxa"/>
              <w:start w:w="100" w:type="dxa"/>
              <w:bottom w:w="80" w:type="dxa"/>
              <w:end w:w="100" w:type="dxa"/>
            </w:tcMar>
          </w:tcPr>
          <w:p>
            <w:pPr>
              <w:spacing w:after="0" w:before="0" w:line="252" w:lineRule="auto"/>
            </w:pPr>
            <w:r/>
            <w:r>
              <w:rPr>
                <w:rFonts w:ascii="Aptos" w:hAnsi="Aptos"/>
                <w:b w:val="0"/>
                <w:color w:val="222222"/>
                <w:sz w:val="17"/>
              </w:rPr>
              <w:t>Authority Manager Agent Specification, updated 16 Sep 2026</w:t>
            </w:r>
          </w:p>
        </w:tc>
        <w:tc>
          <w:tcPr>
            <w:tcW w:type="dxa" w:w="5688"/>
            <w:vAlign w:val="center"/>
            <w:tcMar>
              <w:top w:w="80" w:type="dxa"/>
              <w:start w:w="100" w:type="dxa"/>
              <w:bottom w:w="80" w:type="dxa"/>
              <w:end w:w="100" w:type="dxa"/>
            </w:tcMar>
          </w:tcPr>
          <w:p>
            <w:pPr>
              <w:spacing w:after="0" w:before="0" w:line="252" w:lineRule="auto"/>
            </w:pPr>
            <w:r/>
            <w:r>
              <w:rPr>
                <w:rFonts w:ascii="Aptos" w:hAnsi="Aptos"/>
                <w:b w:val="0"/>
                <w:color w:val="222222"/>
                <w:sz w:val="17"/>
              </w:rPr>
              <w:t>Evidence/claim validation, Brand Stewardship, governance, specialist routing and escalation.</w:t>
            </w:r>
          </w:p>
        </w:tc>
      </w:tr>
      <w:tr>
        <w:tc>
          <w:tcPr>
            <w:tcW w:type="dxa" w:w="648"/>
            <w:vAlign w:val="center"/>
            <w:tcMar>
              <w:top w:w="80" w:type="dxa"/>
              <w:start w:w="100" w:type="dxa"/>
              <w:bottom w:w="80" w:type="dxa"/>
              <w:end w:w="100" w:type="dxa"/>
            </w:tcMar>
          </w:tcPr>
          <w:p>
            <w:pPr>
              <w:spacing w:after="0" w:before="0" w:line="252" w:lineRule="auto"/>
            </w:pPr>
            <w:r/>
            <w:r>
              <w:rPr>
                <w:rFonts w:ascii="Aptos" w:hAnsi="Aptos"/>
                <w:b w:val="0"/>
                <w:color w:val="222222"/>
                <w:sz w:val="17"/>
              </w:rPr>
              <w:t>S3</w:t>
            </w:r>
          </w:p>
        </w:tc>
        <w:tc>
          <w:tcPr>
            <w:tcW w:type="dxa" w:w="3960"/>
            <w:vAlign w:val="center"/>
            <w:tcMar>
              <w:top w:w="80" w:type="dxa"/>
              <w:start w:w="100" w:type="dxa"/>
              <w:bottom w:w="80" w:type="dxa"/>
              <w:end w:w="100" w:type="dxa"/>
            </w:tcMar>
          </w:tcPr>
          <w:p>
            <w:pPr>
              <w:spacing w:after="0" w:before="0" w:line="252" w:lineRule="auto"/>
            </w:pPr>
            <w:r/>
            <w:r>
              <w:rPr>
                <w:rFonts w:ascii="Aptos" w:hAnsi="Aptos"/>
                <w:b w:val="0"/>
                <w:color w:val="222222"/>
                <w:sz w:val="17"/>
              </w:rPr>
              <w:t>Authority Manager Audit Criteria Framework v1, 16 Sep 2026</w:t>
            </w:r>
          </w:p>
        </w:tc>
        <w:tc>
          <w:tcPr>
            <w:tcW w:type="dxa" w:w="5688"/>
            <w:vAlign w:val="center"/>
            <w:tcMar>
              <w:top w:w="80" w:type="dxa"/>
              <w:start w:w="100" w:type="dxa"/>
              <w:bottom w:w="80" w:type="dxa"/>
              <w:end w:w="100" w:type="dxa"/>
            </w:tcMar>
          </w:tcPr>
          <w:p>
            <w:pPr>
              <w:spacing w:after="0" w:before="0" w:line="252" w:lineRule="auto"/>
            </w:pPr>
            <w:r/>
            <w:r>
              <w:rPr>
                <w:rFonts w:ascii="Aptos" w:hAnsi="Aptos"/>
                <w:b w:val="0"/>
                <w:color w:val="222222"/>
                <w:sz w:val="17"/>
              </w:rPr>
              <w:t>Working analysis lens for authority, trust, evidence/provenance, claim verification, brand, links, safety and escalation. Used here as a pre-development lens, not pass/fail audit criteria.</w:t>
            </w:r>
          </w:p>
        </w:tc>
      </w:tr>
      <w:tr>
        <w:tc>
          <w:tcPr>
            <w:tcW w:type="dxa" w:w="648"/>
            <w:vAlign w:val="center"/>
            <w:tcMar>
              <w:top w:w="80" w:type="dxa"/>
              <w:start w:w="100" w:type="dxa"/>
              <w:bottom w:w="80" w:type="dxa"/>
              <w:end w:w="100" w:type="dxa"/>
            </w:tcMar>
          </w:tcPr>
          <w:p>
            <w:pPr>
              <w:spacing w:after="0" w:before="0" w:line="252" w:lineRule="auto"/>
            </w:pPr>
            <w:r/>
            <w:r>
              <w:rPr>
                <w:rFonts w:ascii="Aptos" w:hAnsi="Aptos"/>
                <w:b w:val="0"/>
                <w:color w:val="222222"/>
                <w:sz w:val="17"/>
              </w:rPr>
              <w:t>S4</w:t>
            </w:r>
          </w:p>
        </w:tc>
        <w:tc>
          <w:tcPr>
            <w:tcW w:type="dxa" w:w="3960"/>
            <w:vAlign w:val="center"/>
            <w:tcMar>
              <w:top w:w="80" w:type="dxa"/>
              <w:start w:w="100" w:type="dxa"/>
              <w:bottom w:w="80" w:type="dxa"/>
              <w:end w:w="100" w:type="dxa"/>
            </w:tcMar>
          </w:tcPr>
          <w:p>
            <w:pPr>
              <w:spacing w:after="0" w:before="0" w:line="252" w:lineRule="auto"/>
            </w:pPr>
            <w:r/>
            <w:r>
              <w:rPr>
                <w:rFonts w:ascii="Aptos" w:hAnsi="Aptos"/>
                <w:b w:val="0"/>
                <w:color w:val="222222"/>
                <w:sz w:val="17"/>
              </w:rPr>
              <w:t>Viri_VR_House_Party_Content_Authority_Architecture_v1</w:t>
            </w:r>
          </w:p>
        </w:tc>
        <w:tc>
          <w:tcPr>
            <w:tcW w:type="dxa" w:w="5688"/>
            <w:vAlign w:val="center"/>
            <w:tcMar>
              <w:top w:w="80" w:type="dxa"/>
              <w:start w:w="100" w:type="dxa"/>
              <w:bottom w:w="80" w:type="dxa"/>
              <w:end w:w="100" w:type="dxa"/>
            </w:tcMar>
          </w:tcPr>
          <w:p>
            <w:pPr>
              <w:spacing w:after="0" w:before="0" w:line="252" w:lineRule="auto"/>
            </w:pPr>
            <w:r/>
            <w:r>
              <w:rPr>
                <w:rFonts w:ascii="Aptos" w:hAnsi="Aptos"/>
                <w:b w:val="0"/>
                <w:color w:val="222222"/>
                <w:sz w:val="17"/>
              </w:rPr>
              <w:t>HP-002 page brief, keywords, evidence requirements, internal relationships, existing evidence, competitor observation and measurement plan.</w:t>
            </w:r>
          </w:p>
        </w:tc>
      </w:tr>
      <w:tr>
        <w:tc>
          <w:tcPr>
            <w:tcW w:type="dxa" w:w="3552"/>
            <w:vAlign w:val="center"/>
            <w:tcMar>
              <w:top w:w="80" w:type="dxa"/>
              <w:start w:w="100" w:type="dxa"/>
              <w:bottom w:w="80" w:type="dxa"/>
              <w:end w:w="100" w:type="dxa"/>
            </w:tcMar>
          </w:tcPr>
          <w:p>
            <w:pPr>
              <w:spacing w:after="0" w:before="0" w:line="252" w:lineRule="auto"/>
              <w:jc w:val="center"/>
            </w:pPr>
            <w:r/>
            <w:r>
              <w:rPr>
                <w:rFonts w:ascii="Aptos" w:hAnsi="Aptos"/>
                <w:b w:val="0"/>
                <w:color w:val="222222"/>
                <w:sz w:val="17"/>
              </w:rPr>
              <w:t>S5</w:t>
            </w:r>
          </w:p>
        </w:tc>
        <w:tc>
          <w:tcPr>
            <w:tcW w:type="dxa" w:w="3552"/>
            <w:vAlign w:val="center"/>
            <w:tcMar>
              <w:top w:w="80" w:type="dxa"/>
              <w:start w:w="100" w:type="dxa"/>
              <w:bottom w:w="80" w:type="dxa"/>
              <w:end w:w="100" w:type="dxa"/>
            </w:tcMar>
          </w:tcPr>
          <w:p>
            <w:pPr>
              <w:spacing w:after="0" w:before="0" w:line="252" w:lineRule="auto"/>
              <w:jc w:val="left"/>
            </w:pPr>
            <w:r/>
            <w:r>
              <w:rPr>
                <w:rFonts w:ascii="Aptos" w:hAnsi="Aptos"/>
                <w:b w:val="0"/>
                <w:color w:val="222222"/>
                <w:sz w:val="17"/>
              </w:rPr>
              <w:t>Human-approved project instruction, 22 Sep 2026</w:t>
            </w:r>
          </w:p>
        </w:tc>
        <w:tc>
          <w:tcPr>
            <w:tcW w:type="dxa" w:w="3552"/>
            <w:vAlign w:val="center"/>
            <w:tcMar>
              <w:top w:w="80" w:type="dxa"/>
              <w:start w:w="100" w:type="dxa"/>
              <w:bottom w:w="80" w:type="dxa"/>
              <w:end w:w="100" w:type="dxa"/>
            </w:tcMar>
          </w:tcPr>
          <w:p>
            <w:pPr>
              <w:spacing w:after="0" w:before="0" w:line="252" w:lineRule="auto"/>
              <w:jc w:val="left"/>
            </w:pPr>
            <w:r/>
            <w:r>
              <w:rPr>
                <w:rFonts w:ascii="Aptos" w:hAnsi="Aptos"/>
                <w:b w:val="0"/>
                <w:color w:val="222222"/>
                <w:sz w:val="17"/>
              </w:rPr>
              <w:t>Ajith Ratnarajah is ViriVr CEO, authorised operational owner and an approved source of operational evidence. Used for operational ownership, confirmation and evidence routing only.</w:t>
            </w:r>
          </w:p>
        </w:tc>
      </w:tr>
    </w:tbl>
    <w:p>
      <w:pPr>
        <w:spacing w:after="40"/>
      </w:pPr>
    </w:p>
    <w:p>
      <w:pPr>
        <w:spacing w:after="100" w:line="259" w:lineRule="auto"/>
      </w:pPr>
      <w:r>
        <w:rPr>
          <w:rFonts w:ascii="Aptos" w:hAnsi="Aptos"/>
          <w:color w:val="232323"/>
          <w:sz w:val="21"/>
        </w:rPr>
        <w:t>Role boundary: The Authority Manager may identify preliminary authority, trust, evidence and brand gaps and coordinate handoffs. Detailed backlink-quality/referring-domain work belongs to the Backlink Auditor; Digital PR opportunity development belongs to the Digital PR Specialist; deeper proof/citation/brand-presence work belongs to the Brand Authority Builder. Adjacent Content, Technical SEO, Strategy and Analytics work remains with those departments.</w:t>
      </w:r>
    </w:p>
    <w:p>
      <w:pPr>
        <w:spacing w:after="100" w:line="259" w:lineRule="auto"/>
      </w:pPr>
      <w:r>
        <w:rPr>
          <w:rFonts w:ascii="Aptos" w:hAnsi="Aptos"/>
          <w:b/>
          <w:color w:val="232323"/>
          <w:sz w:val="21"/>
        </w:rPr>
        <w:t>Approved operational owner evidence:</w:t>
      </w:r>
      <w:r>
        <w:rPr>
          <w:rFonts w:ascii="Aptos" w:hAnsi="Aptos"/>
          <w:color w:val="232323"/>
          <w:sz w:val="21"/>
        </w:rPr>
        <w:t xml:space="preserve"> Ajith Ratnarajah is the authorised operational owner for ViriVr, the CEO of ViriVr and an approved source of operational evidence. Operational facts may therefore be confirmed directly by Ajith and recorded with date/provenance. This approval does not replace documentary proof where the claim itself requires it, or change separate privacy/legal, specialist, publication or Authority Manager governance responsibilities.</w:t>
      </w:r>
    </w:p>
    <w:p>
      <w:pPr>
        <w:pStyle w:val="Heading1"/>
        <w:keepNext/>
        <w:spacing w:before="200" w:after="80"/>
      </w:pPr>
      <w:r>
        <w:t>2. Development Readiness Status</w:t>
      </w:r>
    </w:p>
    <w:tbl>
      <w:tblPr>
        <w:tblW w:type="auto" w:w="0"/>
        <w:jc w:val="center"/>
        <w:tblLook w:firstColumn="1" w:firstRow="1" w:lastColumn="0" w:lastRow="0" w:noHBand="0" w:noVBand="1" w:val="04A0"/>
      </w:tblPr>
      <w:tblGrid>
        <w:gridCol w:w="10656"/>
      </w:tblGrid>
      <w:tr>
        <w:tc>
          <w:tcPr>
            <w:tcW w:type="dxa" w:w="10296"/>
            <w:shd w:fill="FFF2CC"/>
            <w:tcMar>
              <w:top w:w="120" w:type="dxa"/>
              <w:start w:w="140" w:type="dxa"/>
              <w:bottom w:w="120" w:type="dxa"/>
              <w:end w:w="140" w:type="dxa"/>
            </w:tcMar>
          </w:tcPr>
          <w:p>
            <w:pPr>
              <w:spacing w:after="60"/>
            </w:pPr>
            <w:r>
              <w:rPr>
                <w:rFonts w:ascii="Aptos" w:hAnsi="Aptos"/>
                <w:b/>
                <w:color w:val="9C6500"/>
                <w:sz w:val="22"/>
              </w:rPr>
              <w:t>READY FOR DEVELOPMENT WITH CONDITIONS - OWNER INPUT REQUIRED</w:t>
            </w:r>
          </w:p>
          <w:p>
            <w:pPr>
              <w:spacing w:after="0" w:line="259" w:lineRule="auto"/>
            </w:pPr>
            <w:r>
              <w:rPr>
                <w:rFonts w:ascii="Aptos" w:hAnsi="Aptos"/>
                <w:color w:val="232323"/>
                <w:sz w:val="19"/>
              </w:rPr>
              <w:t>HP-002 has a clear Melbourne-local purpose and may proceed into development, provided operational claims are treated as conditional until confirmed by Ajith Ratnarajah, ViriVr's authorised operational owner and approved source of operational evidence. The key owner-input areas are service/suburb coverage, travel rules and fees, access/setup requirements, lead time, capacity, pricing/inclusions, availability and delivery-model facts. Documentary proof is still required where appropriate for public-liability, privacy/consent and customer-proof assets.</w:t>
            </w:r>
          </w:p>
        </w:tc>
      </w:tr>
    </w:tbl>
    <w:p>
      <w:pPr>
        <w:spacing w:after="20"/>
      </w:pPr>
    </w:p>
    <w:p>
      <w:pPr>
        <w:spacing w:after="100" w:line="259" w:lineRule="auto"/>
      </w:pPr>
      <w:r>
        <w:rPr>
          <w:rFonts w:ascii="Aptos" w:hAnsi="Aptos"/>
          <w:color w:val="232323"/>
          <w:sz w:val="21"/>
        </w:rPr>
        <w:t>This readiness status is a development-handoff control only. It does not change publication approval, specialist ownership, or any existing governance gate.</w:t>
      </w:r>
    </w:p>
    <w:p>
      <w:pPr>
        <w:pStyle w:val="Heading1"/>
        <w:keepNext/>
        <w:spacing w:before="200" w:after="80"/>
      </w:pPr>
      <w:r>
        <w:t>3. Operational Findings Register</w:t>
      </w:r>
    </w:p>
    <w:tbl>
      <w:tblPr>
        <w:tblW w:type="auto" w:w="0"/>
        <w:jc w:val="center"/>
        <w:tblLayout w:type="fixed"/>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576"/>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ID</w:t>
            </w:r>
          </w:p>
        </w:tc>
        <w:tc>
          <w:tcPr>
            <w:tcW w:type="dxa" w:w="108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Issue type</w:t>
            </w:r>
          </w:p>
        </w:tc>
        <w:tc>
          <w:tcPr>
            <w:tcW w:type="dxa" w:w="2088"/>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Finding</w:t>
            </w:r>
          </w:p>
        </w:tc>
        <w:tc>
          <w:tcPr>
            <w:tcW w:type="dxa" w:w="1152"/>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Evidence source</w:t>
            </w:r>
          </w:p>
        </w:tc>
        <w:tc>
          <w:tcPr>
            <w:tcW w:type="dxa" w:w="108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Status</w:t>
            </w:r>
          </w:p>
        </w:tc>
        <w:tc>
          <w:tcPr>
            <w:tcW w:type="dxa" w:w="2016"/>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Required action</w:t>
            </w:r>
          </w:p>
        </w:tc>
        <w:tc>
          <w:tcPr>
            <w:tcW w:type="dxa" w:w="1656"/>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Owner</w:t>
            </w:r>
          </w:p>
        </w:tc>
        <w:tc>
          <w:tcPr>
            <w:tcW w:type="dxa" w:w="504"/>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Priority</w:t>
            </w:r>
          </w:p>
        </w:tc>
      </w:tr>
      <w:t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F-01</w:t>
            </w:r>
          </w:p>
        </w:tc>
        <w:tc>
          <w:tcPr>
            <w:tcW w:type="dxa" w:w="1080"/>
            <w:vAlign w:val="center"/>
            <w:tcMar>
              <w:top w:w="80" w:type="dxa"/>
              <w:start w:w="100" w:type="dxa"/>
              <w:bottom w:w="80" w:type="dxa"/>
              <w:end w:w="100" w:type="dxa"/>
            </w:tcMar>
          </w:tcPr>
          <w:p>
            <w:pPr>
              <w:spacing w:after="0" w:before="0" w:line="252" w:lineRule="auto"/>
            </w:pPr>
            <w:r/>
            <w:r>
              <w:rPr>
                <w:rFonts w:ascii="Aptos" w:hAnsi="Aptos"/>
                <w:b w:val="0"/>
                <w:color w:val="222222"/>
                <w:sz w:val="14"/>
              </w:rPr>
              <w:t>Authority / scope</w:t>
            </w:r>
          </w:p>
        </w:tc>
        <w:tc>
          <w:tcPr>
            <w:tcW w:type="dxa" w:w="2088"/>
            <w:vAlign w:val="center"/>
            <w:tcMar>
              <w:top w:w="80" w:type="dxa"/>
              <w:start w:w="100" w:type="dxa"/>
              <w:bottom w:w="80" w:type="dxa"/>
              <w:end w:w="100" w:type="dxa"/>
            </w:tcMar>
          </w:tcPr>
          <w:p>
            <w:pPr>
              <w:spacing w:after="0" w:before="0" w:line="252" w:lineRule="auto"/>
            </w:pPr>
            <w:r/>
            <w:r>
              <w:rPr>
                <w:rFonts w:ascii="Aptos" w:hAnsi="Aptos"/>
                <w:b w:val="0"/>
                <w:color w:val="222222"/>
                <w:sz w:val="14"/>
              </w:rPr>
              <w:t>HP-002 has a clear local transactional job and is correctly separated from HP-001: it should explain current Melbourne execution rather than restating the national service model.</w:t>
            </w:r>
          </w:p>
        </w:tc>
        <w:tc>
          <w:tcPr>
            <w:tcW w:type="dxa" w:w="1152"/>
            <w:vAlign w:val="center"/>
            <w:tcMar>
              <w:top w:w="80" w:type="dxa"/>
              <w:start w:w="100" w:type="dxa"/>
              <w:bottom w:w="80" w:type="dxa"/>
              <w:end w:w="100" w:type="dxa"/>
            </w:tcMar>
          </w:tcPr>
          <w:p>
            <w:pPr>
              <w:spacing w:after="0" w:before="0" w:line="252" w:lineRule="auto"/>
            </w:pPr>
            <w:r/>
            <w:r>
              <w:rPr>
                <w:rFonts w:ascii="Aptos" w:hAnsi="Aptos"/>
                <w:b w:val="0"/>
                <w:color w:val="222222"/>
                <w:sz w:val="14"/>
              </w:rPr>
              <w:t>S4 Architecture + Content Briefs</w:t>
            </w:r>
          </w:p>
        </w:tc>
        <w:tc>
          <w:tcPr>
            <w:tcW w:type="dxa" w:w="1080"/>
            <w:vAlign w:val="center"/>
            <w:tcMar>
              <w:top w:w="80" w:type="dxa"/>
              <w:start w:w="100" w:type="dxa"/>
              <w:bottom w:w="80" w:type="dxa"/>
              <w:end w:w="100" w:type="dxa"/>
            </w:tcMar>
          </w:tcPr>
          <w:p>
            <w:pPr>
              <w:spacing w:after="0" w:before="0" w:line="252" w:lineRule="auto"/>
            </w:pPr>
            <w:r/>
            <w:r>
              <w:rPr>
                <w:rFonts w:ascii="Aptos" w:hAnsi="Aptos"/>
                <w:b w:val="0"/>
                <w:color w:val="222222"/>
                <w:sz w:val="14"/>
              </w:rPr>
              <w:t>Supported</w:t>
            </w:r>
          </w:p>
        </w:tc>
        <w:tc>
          <w:tcPr>
            <w:tcW w:type="dxa" w:w="2016"/>
            <w:vAlign w:val="center"/>
            <w:tcMar>
              <w:top w:w="80" w:type="dxa"/>
              <w:start w:w="100" w:type="dxa"/>
              <w:bottom w:w="80" w:type="dxa"/>
              <w:end w:w="100" w:type="dxa"/>
            </w:tcMar>
          </w:tcPr>
          <w:p>
            <w:pPr>
              <w:spacing w:after="0" w:before="0" w:line="252" w:lineRule="auto"/>
            </w:pPr>
            <w:r/>
            <w:r>
              <w:rPr>
                <w:rFonts w:ascii="Aptos" w:hAnsi="Aptos"/>
                <w:b w:val="0"/>
                <w:color w:val="222222"/>
                <w:sz w:val="14"/>
              </w:rPr>
              <w:t>Keep HP-002 focused on Melbourne-specific, current operational proof; use HP-001 for the general hosted-house-party model.</w:t>
            </w:r>
          </w:p>
        </w:tc>
        <w:tc>
          <w:tcPr>
            <w:tcW w:type="dxa" w:w="1656"/>
            <w:vAlign w:val="center"/>
            <w:tcMar>
              <w:top w:w="80" w:type="dxa"/>
              <w:start w:w="100" w:type="dxa"/>
              <w:bottom w:w="80" w:type="dxa"/>
              <w:end w:w="100" w:type="dxa"/>
            </w:tcMar>
          </w:tcPr>
          <w:p>
            <w:pPr>
              <w:spacing w:after="0" w:before="0" w:line="252" w:lineRule="auto"/>
            </w:pPr>
            <w:r/>
            <w:r>
              <w:rPr>
                <w:rFonts w:ascii="Aptos" w:hAnsi="Aptos"/>
                <w:b w:val="0"/>
                <w:color w:val="222222"/>
                <w:sz w:val="14"/>
              </w:rPr>
              <w:t>Content/page-development team</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High</w:t>
            </w:r>
          </w:p>
        </w:tc>
      </w:tr>
      <w:t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F-02</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Owner confirmation / evidence gap</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The approved architecture requires unique Melbourne service-area and availability evidence. Ajith Ratnarajah is now the authorised operational owner and approved source for confirming the suburb/service area, travel eligibility, operational capacity and availability rules.</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Content Briefs + S5 approved owner instruction</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Requires Owner Confirmation</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Obtain Ajith Ratnarajah's dated confirmation of Melbourne service coverage/postcode eligibility, travel rules, operational capacity and availability rules; retain the confirmation as traceable approved evidence.</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CEO / authorised operational owner</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High</w:t>
            </w:r>
          </w:p>
        </w:tc>
      </w:tr>
      <w:t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F-03</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Owner confirmation / trust</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Core local delivery details require operational confirmation: access/parking/stairs, minimum space, arrival/setup timing, host-to-player ratio, power/connectivity backup and wet-weather handling. These are material trust details for a Melbourne service page.</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Architecture + Content Briefs + S5</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Requires Owner Confirmation</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Have Ajith confirm the current operational rules for these fields and record them in the HP-002 evidence pack before the claims are treated as verified.</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authorised operational owner</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High</w:t>
            </w:r>
          </w:p>
        </w:tc>
      </w:tr>
      <w:t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F-04</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gap / safety / privacy</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Public-liability, safety, customer-address handling, space-photo upload and permissioned customer proof still need supporting evidence. Ajith can provide or confirm the operational safety process and identify the current insurance evidence, but privacy/consent assurances require the applicable approved policy or authorised privacy/legal source.</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Content Briefs + semantic relationships; S1/S2 governance; S5</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Owner Input + Evidence Required</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Obtain Ajith's operational safety confirmation and current public-liability evidence. Separately obtain applicable privacy/consent policy evidence before implementing address/photo collection assurances or customer-proof assets.</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for operational/safety evidence; authorised privacy/legal owner for policy/consent</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High</w:t>
            </w:r>
          </w:p>
        </w:tc>
      </w:tr>
      <w:t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F-05</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Owner confirmation / commercial trust</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Current local pricing, package inclusions and travel-fee rules are required by HP-002. Ajith Ratnarajah is an approved operational evidence source for confirming the current values and rules.</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Architecture + Content Briefs + S5</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Requires Owner Confirmation</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Obtain dated confirmation from Ajith for current Melbourne pricing, inclusions and travel-fee rules; use only the confirmed version and do not reuse obsolete pricing.</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CEO / authorised operational owner</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High</w:t>
            </w:r>
          </w:p>
        </w:tc>
      </w:tr>
      <w:t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F-06</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Authority / trust gap</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HP-002 is expected to use Melbourne photos, reviews and a local case study. These proof assets are not present in the approved source pack. Ajith can provide or identify authentic local assets, but permissions/provenance must still be verified before use.</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Architecture + Content Briefs + S5</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 / Specialist Follow-up</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should provide or identify permissioned Melbourne proof assets. Verify provenance/consent, then hand the approved asset set to the Brand Authority Builder for deeper proof/citation/trust-signal analysis.</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Brand Authority Builder</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High</w:t>
            </w:r>
          </w:p>
        </w:tc>
      </w:tr>
      <w:t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F-07</w:t>
            </w:r>
          </w:p>
        </w:tc>
        <w:tc>
          <w:tcPr>
            <w:tcW w:type="dxa" w:w="1080"/>
            <w:vAlign w:val="center"/>
            <w:tcMar>
              <w:top w:w="80" w:type="dxa"/>
              <w:start w:w="100" w:type="dxa"/>
              <w:bottom w:w="80" w:type="dxa"/>
              <w:end w:w="100" w:type="dxa"/>
            </w:tcMar>
          </w:tcPr>
          <w:p>
            <w:pPr>
              <w:spacing w:after="0" w:before="0" w:line="252" w:lineRule="auto"/>
            </w:pPr>
            <w:r/>
            <w:r>
              <w:rPr>
                <w:rFonts w:ascii="Aptos" w:hAnsi="Aptos"/>
                <w:b w:val="0"/>
                <w:color w:val="222222"/>
                <w:sz w:val="14"/>
              </w:rPr>
              <w:t>Keyword evidence limitation</w:t>
            </w:r>
          </w:p>
        </w:tc>
        <w:tc>
          <w:tcPr>
            <w:tcW w:type="dxa" w:w="2088"/>
            <w:vAlign w:val="center"/>
            <w:tcMar>
              <w:top w:w="80" w:type="dxa"/>
              <w:start w:w="100" w:type="dxa"/>
              <w:bottom w:w="80" w:type="dxa"/>
              <w:end w:w="100" w:type="dxa"/>
            </w:tcMar>
          </w:tcPr>
          <w:p>
            <w:pPr>
              <w:spacing w:after="0" w:before="0" w:line="252" w:lineRule="auto"/>
            </w:pPr>
            <w:r/>
            <w:r>
              <w:rPr>
                <w:rFonts w:ascii="Aptos" w:hAnsi="Aptos"/>
                <w:b w:val="0"/>
                <w:color w:val="222222"/>
                <w:sz w:val="14"/>
              </w:rPr>
              <w:t>HP-002 has supplied primary/secondary keywords, but the workbook Keyword Map contains eight editorial phrases mapped to HP-003/4/5, not measured rows for the HP-002 commercial local terms. Exact demand for HP-002 keywords is therefore not evidenced by the supplied row-level map.</w:t>
            </w:r>
          </w:p>
        </w:tc>
        <w:tc>
          <w:tcPr>
            <w:tcW w:type="dxa" w:w="1152"/>
            <w:vAlign w:val="center"/>
            <w:tcMar>
              <w:top w:w="80" w:type="dxa"/>
              <w:start w:w="100" w:type="dxa"/>
              <w:bottom w:w="80" w:type="dxa"/>
              <w:end w:w="100" w:type="dxa"/>
            </w:tcMar>
          </w:tcPr>
          <w:p>
            <w:pPr>
              <w:spacing w:after="0" w:before="0" w:line="252" w:lineRule="auto"/>
            </w:pPr>
            <w:r/>
            <w:r>
              <w:rPr>
                <w:rFonts w:ascii="Aptos" w:hAnsi="Aptos"/>
                <w:b w:val="0"/>
                <w:color w:val="222222"/>
                <w:sz w:val="14"/>
              </w:rPr>
              <w:t>S4 Architecture + Keyword Map + Evidence</w:t>
            </w:r>
          </w:p>
        </w:tc>
        <w:tc>
          <w:tcPr>
            <w:tcW w:type="dxa" w:w="1080"/>
            <w:vAlign w:val="center"/>
            <w:tcMar>
              <w:top w:w="80" w:type="dxa"/>
              <w:start w:w="100" w:type="dxa"/>
              <w:bottom w:w="80" w:type="dxa"/>
              <w:end w:w="100" w:type="dxa"/>
            </w:tcMar>
          </w:tcPr>
          <w:p>
            <w:pPr>
              <w:spacing w:after="0" w:before="0" w:line="252" w:lineRule="auto"/>
            </w:pPr>
            <w:r/>
            <w:r>
              <w:rPr>
                <w:rFonts w:ascii="Aptos" w:hAnsi="Aptos"/>
                <w:b w:val="0"/>
                <w:color w:val="222222"/>
                <w:sz w:val="14"/>
              </w:rPr>
              <w:t>Supported limitation</w:t>
            </w:r>
          </w:p>
        </w:tc>
        <w:tc>
          <w:tcPr>
            <w:tcW w:type="dxa" w:w="2016"/>
            <w:vAlign w:val="center"/>
            <w:tcMar>
              <w:top w:w="80" w:type="dxa"/>
              <w:start w:w="100" w:type="dxa"/>
              <w:bottom w:w="80" w:type="dxa"/>
              <w:end w:w="100" w:type="dxa"/>
            </w:tcMar>
          </w:tcPr>
          <w:p>
            <w:pPr>
              <w:spacing w:after="0" w:before="0" w:line="252" w:lineRule="auto"/>
            </w:pPr>
            <w:r/>
            <w:r>
              <w:rPr>
                <w:rFonts w:ascii="Aptos" w:hAnsi="Aptos"/>
                <w:b w:val="0"/>
                <w:color w:val="222222"/>
                <w:sz w:val="14"/>
              </w:rPr>
              <w:t>Use the HP-002 keywords as approved inputs only. Do not state search-volume claims or independently change/finalise the keyword strategy.</w:t>
            </w:r>
          </w:p>
        </w:tc>
        <w:tc>
          <w:tcPr>
            <w:tcW w:type="dxa" w:w="1656"/>
            <w:vAlign w:val="center"/>
            <w:tcMar>
              <w:top w:w="80" w:type="dxa"/>
              <w:start w:w="100" w:type="dxa"/>
              <w:bottom w:w="80" w:type="dxa"/>
              <w:end w:w="100" w:type="dxa"/>
            </w:tcMar>
          </w:tcPr>
          <w:p>
            <w:pPr>
              <w:spacing w:after="0" w:before="0" w:line="252" w:lineRule="auto"/>
            </w:pPr>
            <w:r/>
            <w:r>
              <w:rPr>
                <w:rFonts w:ascii="Aptos" w:hAnsi="Aptos"/>
                <w:b w:val="0"/>
                <w:color w:val="222222"/>
                <w:sz w:val="14"/>
              </w:rPr>
              <w:t>Strategy/SEO owner if further validation is required</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Medium</w:t>
            </w:r>
          </w:p>
        </w:tc>
      </w:tr>
      <w:t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F-08</w:t>
            </w:r>
          </w:p>
        </w:tc>
        <w:tc>
          <w:tcPr>
            <w:tcW w:type="dxa" w:w="1080"/>
            <w:vAlign w:val="center"/>
            <w:tcMar>
              <w:top w:w="80" w:type="dxa"/>
              <w:start w:w="100" w:type="dxa"/>
              <w:bottom w:w="80" w:type="dxa"/>
              <w:end w:w="100" w:type="dxa"/>
            </w:tcMar>
          </w:tcPr>
          <w:p>
            <w:pPr>
              <w:spacing w:after="0" w:before="0" w:line="252" w:lineRule="auto"/>
            </w:pPr>
            <w:r/>
            <w:r>
              <w:rPr>
                <w:rFonts w:ascii="Aptos" w:hAnsi="Aptos"/>
                <w:b w:val="0"/>
                <w:color w:val="222222"/>
                <w:sz w:val="14"/>
              </w:rPr>
              <w:t>Dependency / internal relationships</w:t>
            </w:r>
          </w:p>
        </w:tc>
        <w:tc>
          <w:tcPr>
            <w:tcW w:type="dxa" w:w="2088"/>
            <w:vAlign w:val="center"/>
            <w:tcMar>
              <w:top w:w="80" w:type="dxa"/>
              <w:start w:w="100" w:type="dxa"/>
              <w:bottom w:w="80" w:type="dxa"/>
              <w:end w:w="100" w:type="dxa"/>
            </w:tcMar>
          </w:tcPr>
          <w:p>
            <w:pPr>
              <w:spacing w:after="0" w:before="0" w:line="252" w:lineRule="auto"/>
            </w:pPr>
            <w:r/>
            <w:r>
              <w:rPr>
                <w:rFonts w:ascii="Aptos" w:hAnsi="Aptos"/>
                <w:b w:val="0"/>
                <w:color w:val="222222"/>
                <w:sz w:val="14"/>
              </w:rPr>
              <w:t>The HP-002 content brief lists HP-001, HP-004, HP-005, BDY-001 and PVH-001 as internal-link targets, while the dedicated Internal Links tab explicitly defines only HP-001 &lt;-&gt; HP-002 for HP-002. The full implementation path is therefore not fully specified in the link plan.</w:t>
            </w:r>
          </w:p>
        </w:tc>
        <w:tc>
          <w:tcPr>
            <w:tcW w:type="dxa" w:w="1152"/>
            <w:vAlign w:val="center"/>
            <w:tcMar>
              <w:top w:w="80" w:type="dxa"/>
              <w:start w:w="100" w:type="dxa"/>
              <w:bottom w:w="80" w:type="dxa"/>
              <w:end w:w="100" w:type="dxa"/>
            </w:tcMar>
          </w:tcPr>
          <w:p>
            <w:pPr>
              <w:spacing w:after="0" w:before="0" w:line="252" w:lineRule="auto"/>
            </w:pPr>
            <w:r/>
            <w:r>
              <w:rPr>
                <w:rFonts w:ascii="Aptos" w:hAnsi="Aptos"/>
                <w:b w:val="0"/>
                <w:color w:val="222222"/>
                <w:sz w:val="14"/>
              </w:rPr>
              <w:t>S4 Content Briefs + Internal Links</w:t>
            </w:r>
          </w:p>
        </w:tc>
        <w:tc>
          <w:tcPr>
            <w:tcW w:type="dxa" w:w="1080"/>
            <w:vAlign w:val="center"/>
            <w:tcMar>
              <w:top w:w="80" w:type="dxa"/>
              <w:start w:w="100" w:type="dxa"/>
              <w:bottom w:w="80" w:type="dxa"/>
              <w:end w:w="100" w:type="dxa"/>
            </w:tcMar>
          </w:tcPr>
          <w:p>
            <w:pPr>
              <w:spacing w:after="0" w:before="0" w:line="252" w:lineRule="auto"/>
            </w:pPr>
            <w:r/>
            <w:r>
              <w:rPr>
                <w:rFonts w:ascii="Aptos" w:hAnsi="Aptos"/>
                <w:b w:val="0"/>
                <w:color w:val="222222"/>
                <w:sz w:val="14"/>
              </w:rPr>
              <w:t>Requires Department Clarification</w:t>
            </w:r>
          </w:p>
        </w:tc>
        <w:tc>
          <w:tcPr>
            <w:tcW w:type="dxa" w:w="2016"/>
            <w:vAlign w:val="center"/>
            <w:tcMar>
              <w:top w:w="80" w:type="dxa"/>
              <w:start w:w="100" w:type="dxa"/>
              <w:bottom w:w="80" w:type="dxa"/>
              <w:end w:w="100" w:type="dxa"/>
            </w:tcMar>
          </w:tcPr>
          <w:p>
            <w:pPr>
              <w:spacing w:after="0" w:before="0" w:line="252" w:lineRule="auto"/>
            </w:pPr>
            <w:r/>
            <w:r>
              <w:rPr>
                <w:rFonts w:ascii="Aptos" w:hAnsi="Aptos"/>
                <w:b w:val="0"/>
                <w:color w:val="222222"/>
                <w:sz w:val="14"/>
              </w:rPr>
              <w:t>Technical SEO should confirm the final source-target link plan. Authority Manager records the dependency but does not design the internal-link architecture.</w:t>
            </w:r>
          </w:p>
        </w:tc>
        <w:tc>
          <w:tcPr>
            <w:tcW w:type="dxa" w:w="1656"/>
            <w:vAlign w:val="center"/>
            <w:tcMar>
              <w:top w:w="80" w:type="dxa"/>
              <w:start w:w="100" w:type="dxa"/>
              <w:bottom w:w="80" w:type="dxa"/>
              <w:end w:w="100" w:type="dxa"/>
            </w:tcMar>
          </w:tcPr>
          <w:p>
            <w:pPr>
              <w:spacing w:after="0" w:before="0" w:line="252" w:lineRule="auto"/>
            </w:pPr>
            <w:r/>
            <w:r>
              <w:rPr>
                <w:rFonts w:ascii="Aptos" w:hAnsi="Aptos"/>
                <w:b w:val="0"/>
                <w:color w:val="222222"/>
                <w:sz w:val="14"/>
              </w:rPr>
              <w:t>Technical SEO Manager / Internal Linking Architect</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Medium</w:t>
            </w:r>
          </w:p>
        </w:tc>
      </w:tr>
      <w:t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F-09</w:t>
            </w:r>
          </w:p>
        </w:tc>
        <w:tc>
          <w:tcPr>
            <w:tcW w:type="dxa" w:w="1080"/>
            <w:vAlign w:val="center"/>
            <w:tcMar>
              <w:top w:w="80" w:type="dxa"/>
              <w:start w:w="100" w:type="dxa"/>
              <w:bottom w:w="80" w:type="dxa"/>
              <w:end w:w="100" w:type="dxa"/>
            </w:tcMar>
          </w:tcPr>
          <w:p>
            <w:pPr>
              <w:spacing w:after="0" w:before="0" w:line="252" w:lineRule="auto"/>
            </w:pPr>
            <w:r/>
            <w:r>
              <w:rPr>
                <w:rFonts w:ascii="Aptos" w:hAnsi="Aptos"/>
                <w:b w:val="0"/>
                <w:color w:val="222222"/>
                <w:sz w:val="14"/>
              </w:rPr>
              <w:t>Supporting authority / local asset</w:t>
            </w:r>
          </w:p>
        </w:tc>
        <w:tc>
          <w:tcPr>
            <w:tcW w:type="dxa" w:w="2088"/>
            <w:vAlign w:val="center"/>
            <w:tcMar>
              <w:top w:w="80" w:type="dxa"/>
              <w:start w:w="100" w:type="dxa"/>
              <w:bottom w:w="80" w:type="dxa"/>
              <w:end w:w="100" w:type="dxa"/>
            </w:tcMar>
          </w:tcPr>
          <w:p>
            <w:pPr>
              <w:spacing w:after="0" w:before="0" w:line="252" w:lineRule="auto"/>
            </w:pPr>
            <w:r/>
            <w:r>
              <w:rPr>
                <w:rFonts w:ascii="Aptos" w:hAnsi="Aptos"/>
                <w:b w:val="0"/>
                <w:color w:val="222222"/>
                <w:sz w:val="14"/>
              </w:rPr>
              <w:t>An existing Melbourne party-games page recorded 12 organic sessions and 1 configured conversion and is assigned as EXP-001 / HP-002 support. It may provide contextual local support, but the conversion definition is unverified and the page still needs proof.</w:t>
            </w:r>
          </w:p>
        </w:tc>
        <w:tc>
          <w:tcPr>
            <w:tcW w:type="dxa" w:w="1152"/>
            <w:vAlign w:val="center"/>
            <w:tcMar>
              <w:top w:w="80" w:type="dxa"/>
              <w:start w:w="100" w:type="dxa"/>
              <w:bottom w:w="80" w:type="dxa"/>
              <w:end w:w="100" w:type="dxa"/>
            </w:tcMar>
          </w:tcPr>
          <w:p>
            <w:pPr>
              <w:spacing w:after="0" w:before="0" w:line="252" w:lineRule="auto"/>
            </w:pPr>
            <w:r/>
            <w:r>
              <w:rPr>
                <w:rFonts w:ascii="Aptos" w:hAnsi="Aptos"/>
                <w:b w:val="0"/>
                <w:color w:val="222222"/>
                <w:sz w:val="14"/>
              </w:rPr>
              <w:t>S4 Consolidation + Evidence</w:t>
            </w:r>
          </w:p>
        </w:tc>
        <w:tc>
          <w:tcPr>
            <w:tcW w:type="dxa" w:w="1080"/>
            <w:vAlign w:val="center"/>
            <w:tcMar>
              <w:top w:w="80" w:type="dxa"/>
              <w:start w:w="100" w:type="dxa"/>
              <w:bottom w:w="80" w:type="dxa"/>
              <w:end w:w="100" w:type="dxa"/>
            </w:tcMar>
          </w:tcPr>
          <w:p>
            <w:pPr>
              <w:spacing w:after="0" w:before="0" w:line="252" w:lineRule="auto"/>
            </w:pPr>
            <w:r/>
            <w:r>
              <w:rPr>
                <w:rFonts w:ascii="Aptos" w:hAnsi="Aptos"/>
                <w:b w:val="0"/>
                <w:color w:val="222222"/>
                <w:sz w:val="14"/>
              </w:rPr>
              <w:t>Verified evidence with limitation</w:t>
            </w:r>
          </w:p>
        </w:tc>
        <w:tc>
          <w:tcPr>
            <w:tcW w:type="dxa" w:w="2016"/>
            <w:vAlign w:val="center"/>
            <w:tcMar>
              <w:top w:w="80" w:type="dxa"/>
              <w:start w:w="100" w:type="dxa"/>
              <w:bottom w:w="80" w:type="dxa"/>
              <w:end w:w="100" w:type="dxa"/>
            </w:tcMar>
          </w:tcPr>
          <w:p>
            <w:pPr>
              <w:spacing w:after="0" w:before="0" w:line="252" w:lineRule="auto"/>
            </w:pPr>
            <w:r/>
            <w:r>
              <w:rPr>
                <w:rFonts w:ascii="Aptos" w:hAnsi="Aptos"/>
                <w:b w:val="0"/>
                <w:color w:val="222222"/>
                <w:sz w:val="14"/>
              </w:rPr>
              <w:t>Preserve its distinct local games job, add approved proof and use a contextual route to HP-002 if Technical SEO/Content confirm the implementation. Do not present the configured conversion as a booking.</w:t>
            </w:r>
          </w:p>
        </w:tc>
        <w:tc>
          <w:tcPr>
            <w:tcW w:type="dxa" w:w="1656"/>
            <w:vAlign w:val="center"/>
            <w:tcMar>
              <w:top w:w="80" w:type="dxa"/>
              <w:start w:w="100" w:type="dxa"/>
              <w:bottom w:w="80" w:type="dxa"/>
              <w:end w:w="100" w:type="dxa"/>
            </w:tcMar>
          </w:tcPr>
          <w:p>
            <w:pPr>
              <w:spacing w:after="0" w:before="0" w:line="252" w:lineRule="auto"/>
            </w:pPr>
            <w:r/>
            <w:r>
              <w:rPr>
                <w:rFonts w:ascii="Aptos" w:hAnsi="Aptos"/>
                <w:b w:val="0"/>
                <w:color w:val="222222"/>
                <w:sz w:val="14"/>
              </w:rPr>
              <w:t>Content + Technical SEO; Analytics for metric definition</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Medium</w:t>
            </w:r>
          </w:p>
        </w:tc>
      </w:tr>
      <w:t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F-10</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Brand / credibility</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HP-002 must not repeat obsolete fixed-venue claims and must distinguish home delivery, customer-selected venue and partner-venue sourcing only where current operational facts support those options.</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S4 Architecture + existing-page evidence + S5</w:t>
            </w:r>
          </w:p>
        </w:tc>
        <w:tc>
          <w:tcPr>
            <w:tcW w:type="dxa" w:w="108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Supported requirement; Requires Owner Confirmation for current delivery options</w:t>
            </w:r>
          </w:p>
        </w:tc>
        <w:tc>
          <w:tcPr>
            <w:tcW w:type="dxa" w:w="201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 delivery-model facts confirmed by Ajith Ratnarajah and remove/avoid obsolete King Street, TopYard and other retired venue framing.</w:t>
            </w:r>
          </w:p>
        </w:tc>
        <w:tc>
          <w:tcPr>
            <w:tcW w:type="dxa" w:w="165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Content/page-development team; Ajith Ratnarajah as operational evidence source</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High</w:t>
            </w:r>
          </w:p>
        </w:tc>
      </w:tr>
      <w:t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F-11</w:t>
            </w:r>
          </w:p>
        </w:tc>
        <w:tc>
          <w:tcPr>
            <w:tcW w:type="dxa" w:w="1080"/>
            <w:vAlign w:val="center"/>
            <w:tcMar>
              <w:top w:w="80" w:type="dxa"/>
              <w:start w:w="100" w:type="dxa"/>
              <w:bottom w:w="80" w:type="dxa"/>
              <w:end w:w="100" w:type="dxa"/>
            </w:tcMar>
          </w:tcPr>
          <w:p>
            <w:pPr>
              <w:spacing w:after="0" w:before="0" w:line="252" w:lineRule="auto"/>
            </w:pPr>
            <w:r/>
            <w:r>
              <w:rPr>
                <w:rFonts w:ascii="Aptos" w:hAnsi="Aptos"/>
                <w:b w:val="0"/>
                <w:color w:val="222222"/>
                <w:sz w:val="14"/>
              </w:rPr>
              <w:t>Competitor evidence limitation</w:t>
            </w:r>
          </w:p>
        </w:tc>
        <w:tc>
          <w:tcPr>
            <w:tcW w:type="dxa" w:w="2088"/>
            <w:vAlign w:val="center"/>
            <w:tcMar>
              <w:top w:w="80" w:type="dxa"/>
              <w:start w:w="100" w:type="dxa"/>
              <w:bottom w:w="80" w:type="dxa"/>
              <w:end w:w="100" w:type="dxa"/>
            </w:tcMar>
          </w:tcPr>
          <w:p>
            <w:pPr>
              <w:spacing w:after="0" w:before="0" w:line="252" w:lineRule="auto"/>
            </w:pPr>
            <w:r/>
            <w:r>
              <w:rPr>
                <w:rFonts w:ascii="Aptos" w:hAnsi="Aptos"/>
                <w:b w:val="0"/>
                <w:color w:val="222222"/>
                <w:sz w:val="14"/>
              </w:rPr>
              <w:t>Approved competitor evidence is limited to a 2 Sep 2026 observation that KaptureVR prominently communicates we-come-to-you delivery, setup, supervision, safety and flexible packages. No approved competitor backlink, authority, coverage or performance data is provided.</w:t>
            </w:r>
          </w:p>
        </w:tc>
        <w:tc>
          <w:tcPr>
            <w:tcW w:type="dxa" w:w="1152"/>
            <w:vAlign w:val="center"/>
            <w:tcMar>
              <w:top w:w="80" w:type="dxa"/>
              <w:start w:w="100" w:type="dxa"/>
              <w:bottom w:w="80" w:type="dxa"/>
              <w:end w:w="100" w:type="dxa"/>
            </w:tcMar>
          </w:tcPr>
          <w:p>
            <w:pPr>
              <w:spacing w:after="0" w:before="0" w:line="252" w:lineRule="auto"/>
            </w:pPr>
            <w:r/>
            <w:r>
              <w:rPr>
                <w:rFonts w:ascii="Aptos" w:hAnsi="Aptos"/>
                <w:b w:val="0"/>
                <w:color w:val="222222"/>
                <w:sz w:val="14"/>
              </w:rPr>
              <w:t>S4 Evidence</w:t>
            </w:r>
          </w:p>
        </w:tc>
        <w:tc>
          <w:tcPr>
            <w:tcW w:type="dxa" w:w="1080"/>
            <w:vAlign w:val="center"/>
            <w:tcMar>
              <w:top w:w="80" w:type="dxa"/>
              <w:start w:w="100" w:type="dxa"/>
              <w:bottom w:w="80" w:type="dxa"/>
              <w:end w:w="100" w:type="dxa"/>
            </w:tcMar>
          </w:tcPr>
          <w:p>
            <w:pPr>
              <w:spacing w:after="0" w:before="0" w:line="252" w:lineRule="auto"/>
            </w:pPr>
            <w:r/>
            <w:r>
              <w:rPr>
                <w:rFonts w:ascii="Aptos" w:hAnsi="Aptos"/>
                <w:b w:val="0"/>
                <w:color w:val="222222"/>
                <w:sz w:val="14"/>
              </w:rPr>
              <w:t>Verified observation / limited scope</w:t>
            </w:r>
          </w:p>
        </w:tc>
        <w:tc>
          <w:tcPr>
            <w:tcW w:type="dxa" w:w="2016"/>
            <w:vAlign w:val="center"/>
            <w:tcMar>
              <w:top w:w="80" w:type="dxa"/>
              <w:start w:w="100" w:type="dxa"/>
              <w:bottom w:w="80" w:type="dxa"/>
              <w:end w:w="100" w:type="dxa"/>
            </w:tcMar>
          </w:tcPr>
          <w:p>
            <w:pPr>
              <w:spacing w:after="0" w:before="0" w:line="252" w:lineRule="auto"/>
            </w:pPr>
            <w:r/>
            <w:r>
              <w:rPr>
                <w:rFonts w:ascii="Aptos" w:hAnsi="Aptos"/>
                <w:b w:val="0"/>
                <w:color w:val="222222"/>
                <w:sz w:val="14"/>
              </w:rPr>
              <w:t>Use only as a content-pattern signal that operational clarity matters. Route deeper competitor authority work to the relevant Authority specialist rather than inferring performance.</w:t>
            </w:r>
          </w:p>
        </w:tc>
        <w:tc>
          <w:tcPr>
            <w:tcW w:type="dxa" w:w="1656"/>
            <w:vAlign w:val="center"/>
            <w:tcMar>
              <w:top w:w="80" w:type="dxa"/>
              <w:start w:w="100" w:type="dxa"/>
              <w:bottom w:w="80" w:type="dxa"/>
              <w:end w:w="100" w:type="dxa"/>
            </w:tcMar>
          </w:tcPr>
          <w:p>
            <w:pPr>
              <w:spacing w:after="0" w:before="0" w:line="252" w:lineRule="auto"/>
            </w:pPr>
            <w:r/>
            <w:r>
              <w:rPr>
                <w:rFonts w:ascii="Aptos" w:hAnsi="Aptos"/>
                <w:b w:val="0"/>
                <w:color w:val="222222"/>
                <w:sz w:val="14"/>
              </w:rPr>
              <w:t>Authority Manager routing; Digital PR / Backlink Auditor / Brand Authority Builder as applicable</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Medium</w:t>
            </w:r>
          </w:p>
        </w:tc>
      </w:tr>
      <w:tr>
        <w:tc>
          <w:tcPr>
            <w:tcW w:type="dxa" w:w="5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F-12</w:t>
            </w:r>
          </w:p>
        </w:tc>
        <w:tc>
          <w:tcPr>
            <w:tcW w:type="dxa" w:w="1080"/>
            <w:vAlign w:val="center"/>
            <w:tcMar>
              <w:top w:w="80" w:type="dxa"/>
              <w:start w:w="100" w:type="dxa"/>
              <w:bottom w:w="80" w:type="dxa"/>
              <w:end w:w="100" w:type="dxa"/>
            </w:tcMar>
          </w:tcPr>
          <w:p>
            <w:pPr>
              <w:spacing w:after="0" w:before="0" w:line="252" w:lineRule="auto"/>
            </w:pPr>
            <w:r/>
            <w:r>
              <w:rPr>
                <w:rFonts w:ascii="Aptos" w:hAnsi="Aptos"/>
                <w:b w:val="0"/>
                <w:color w:val="222222"/>
                <w:sz w:val="14"/>
              </w:rPr>
              <w:t>Measurement dependency</w:t>
            </w:r>
          </w:p>
        </w:tc>
        <w:tc>
          <w:tcPr>
            <w:tcW w:type="dxa" w:w="2088"/>
            <w:vAlign w:val="center"/>
            <w:tcMar>
              <w:top w:w="80" w:type="dxa"/>
              <w:start w:w="100" w:type="dxa"/>
              <w:bottom w:w="80" w:type="dxa"/>
              <w:end w:w="100" w:type="dxa"/>
            </w:tcMar>
          </w:tcPr>
          <w:p>
            <w:pPr>
              <w:spacing w:after="0" w:before="0" w:line="252" w:lineRule="auto"/>
            </w:pPr>
            <w:r/>
            <w:r>
              <w:rPr>
                <w:rFonts w:ascii="Aptos" w:hAnsi="Aptos"/>
                <w:b w:val="0"/>
                <w:color w:val="222222"/>
                <w:sz w:val="14"/>
              </w:rPr>
              <w:t>The workbook includes post-launch measurement controls, but existing GA4 configured conversions are not verified as leads/bookings; a second GA4 property returned no data; Google Ads search terms and Microsoft Clarity were unavailable.</w:t>
            </w:r>
          </w:p>
        </w:tc>
        <w:tc>
          <w:tcPr>
            <w:tcW w:type="dxa" w:w="1152"/>
            <w:vAlign w:val="center"/>
            <w:tcMar>
              <w:top w:w="80" w:type="dxa"/>
              <w:start w:w="100" w:type="dxa"/>
              <w:bottom w:w="80" w:type="dxa"/>
              <w:end w:w="100" w:type="dxa"/>
            </w:tcMar>
          </w:tcPr>
          <w:p>
            <w:pPr>
              <w:spacing w:after="0" w:before="0" w:line="252" w:lineRule="auto"/>
            </w:pPr>
            <w:r/>
            <w:r>
              <w:rPr>
                <w:rFonts w:ascii="Aptos" w:hAnsi="Aptos"/>
                <w:b w:val="0"/>
                <w:color w:val="222222"/>
                <w:sz w:val="14"/>
              </w:rPr>
              <w:t>S4 Evidence + Measurement Plan</w:t>
            </w:r>
          </w:p>
        </w:tc>
        <w:tc>
          <w:tcPr>
            <w:tcW w:type="dxa" w:w="1080"/>
            <w:vAlign w:val="center"/>
            <w:tcMar>
              <w:top w:w="80" w:type="dxa"/>
              <w:start w:w="100" w:type="dxa"/>
              <w:bottom w:w="80" w:type="dxa"/>
              <w:end w:w="100" w:type="dxa"/>
            </w:tcMar>
          </w:tcPr>
          <w:p>
            <w:pPr>
              <w:spacing w:after="0" w:before="0" w:line="252" w:lineRule="auto"/>
            </w:pPr>
            <w:r/>
            <w:r>
              <w:rPr>
                <w:rFonts w:ascii="Aptos" w:hAnsi="Aptos"/>
                <w:b w:val="0"/>
                <w:color w:val="222222"/>
                <w:sz w:val="14"/>
              </w:rPr>
              <w:t>Verified limitation</w:t>
            </w:r>
          </w:p>
        </w:tc>
        <w:tc>
          <w:tcPr>
            <w:tcW w:type="dxa" w:w="2016"/>
            <w:vAlign w:val="center"/>
            <w:tcMar>
              <w:top w:w="80" w:type="dxa"/>
              <w:start w:w="100" w:type="dxa"/>
              <w:bottom w:w="80" w:type="dxa"/>
              <w:end w:w="100" w:type="dxa"/>
            </w:tcMar>
          </w:tcPr>
          <w:p>
            <w:pPr>
              <w:spacing w:after="0" w:before="0" w:line="252" w:lineRule="auto"/>
            </w:pPr>
            <w:r/>
            <w:r>
              <w:rPr>
                <w:rFonts w:ascii="Aptos" w:hAnsi="Aptos"/>
                <w:b w:val="0"/>
                <w:color w:val="222222"/>
                <w:sz w:val="14"/>
              </w:rPr>
              <w:t>Analytics must validate event definitions and governed measurement before performance or conversion claims are made. This is not evidence of HP-002 commercial success.</w:t>
            </w:r>
          </w:p>
        </w:tc>
        <w:tc>
          <w:tcPr>
            <w:tcW w:type="dxa" w:w="1656"/>
            <w:vAlign w:val="center"/>
            <w:tcMar>
              <w:top w:w="80" w:type="dxa"/>
              <w:start w:w="100" w:type="dxa"/>
              <w:bottom w:w="80" w:type="dxa"/>
              <w:end w:w="100" w:type="dxa"/>
            </w:tcMar>
          </w:tcPr>
          <w:p>
            <w:pPr>
              <w:spacing w:after="0" w:before="0" w:line="252" w:lineRule="auto"/>
            </w:pPr>
            <w:r/>
            <w:r>
              <w:rPr>
                <w:rFonts w:ascii="Aptos" w:hAnsi="Aptos"/>
                <w:b w:val="0"/>
                <w:color w:val="222222"/>
                <w:sz w:val="14"/>
              </w:rPr>
              <w:t>Analytics owner</w:t>
            </w:r>
          </w:p>
        </w:tc>
        <w:tc>
          <w:tcPr>
            <w:tcW w:type="dxa" w:w="50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4"/>
              </w:rPr>
              <w:t>Medium</w:t>
            </w:r>
          </w:p>
        </w:tc>
      </w:tr>
    </w:tbl>
    <w:p>
      <w:pPr>
        <w:spacing w:after="40"/>
      </w:pPr>
    </w:p>
    <w:p>
      <w:pPr>
        <w:spacing w:after="100" w:line="259" w:lineRule="auto"/>
      </w:pPr>
      <w:r>
        <w:rPr>
          <w:rFonts w:ascii="Aptos" w:hAnsi="Aptos"/>
          <w:color w:val="232323"/>
          <w:sz w:val="21"/>
        </w:rPr>
        <w:t>Priority is used only for implementation sequencing in this handoff. It is not a formal Minor/Major/Critical governance severity rating; those thresholds remain not formally defined in the approved Authority Manager framework.</w:t>
      </w:r>
    </w:p>
    <w:p>
      <w:pPr>
        <w:pStyle w:val="Heading1"/>
        <w:keepNext/>
        <w:spacing w:before="200" w:after="80"/>
      </w:pPr>
      <w:r>
        <w:t>4. Claim-to-Evidence Table</w:t>
      </w:r>
    </w:p>
    <w:tbl>
      <w:tblPr>
        <w:tblW w:type="auto" w:w="0"/>
        <w:jc w:val="center"/>
        <w:tblLayout w:type="fixed"/>
        <w:tblLook w:firstColumn="1" w:firstRow="1" w:lastColumn="0" w:lastRow="0" w:noHBand="0" w:noVBand="1" w:val="04A0"/>
      </w:tblPr>
      <w:tblGrid>
        <w:gridCol w:w="1776"/>
        <w:gridCol w:w="1776"/>
        <w:gridCol w:w="1776"/>
        <w:gridCol w:w="1776"/>
        <w:gridCol w:w="1776"/>
        <w:gridCol w:w="1776"/>
      </w:tblGrid>
      <w:tr>
        <w:trPr>
          <w:tblHeader w:val="true"/>
        </w:trPr>
        <w:tc>
          <w:tcPr>
            <w:tcW w:type="dxa" w:w="648"/>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ID</w:t>
            </w:r>
          </w:p>
        </w:tc>
        <w:tc>
          <w:tcPr>
            <w:tcW w:type="dxa" w:w="216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Planned factual claim</w:t>
            </w:r>
          </w:p>
        </w:tc>
        <w:tc>
          <w:tcPr>
            <w:tcW w:type="dxa" w:w="252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Evidence required</w:t>
            </w:r>
          </w:p>
        </w:tc>
        <w:tc>
          <w:tcPr>
            <w:tcW w:type="dxa" w:w="1224"/>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Status</w:t>
            </w:r>
          </w:p>
        </w:tc>
        <w:tc>
          <w:tcPr>
            <w:tcW w:type="dxa" w:w="180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Source / responsible owner</w:t>
            </w:r>
          </w:p>
        </w:tc>
        <w:tc>
          <w:tcPr>
            <w:tcW w:type="dxa" w:w="2088"/>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Downstream instruction</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C-01</w:t>
            </w:r>
          </w:p>
        </w:tc>
        <w:tc>
          <w:tcPr>
            <w:tcW w:type="dxa" w:w="2160"/>
            <w:vAlign w:val="center"/>
            <w:tcMar>
              <w:top w:w="80" w:type="dxa"/>
              <w:start w:w="100" w:type="dxa"/>
              <w:bottom w:w="80" w:type="dxa"/>
              <w:end w:w="100" w:type="dxa"/>
            </w:tcMar>
          </w:tcPr>
          <w:p>
            <w:pPr>
              <w:spacing w:after="0" w:before="0" w:line="252" w:lineRule="auto"/>
            </w:pPr>
            <w:r/>
            <w:r>
              <w:rPr>
                <w:rFonts w:ascii="Aptos" w:hAnsi="Aptos"/>
                <w:b w:val="0"/>
                <w:color w:val="222222"/>
                <w:sz w:val="15"/>
              </w:rPr>
              <w:t>ViriVr delivers hosted VR house parties to Melbourne homes.</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confirmation of current Melbourne service area, fulfilment capability and operational capacity.</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Requires Owner Confirmation</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authorised operational owner</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 only the coverage/fulfilment position confirmed by Ajith and record confirmation date/provenance.</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C-02</w:t>
            </w:r>
          </w:p>
        </w:tc>
        <w:tc>
          <w:tcPr>
            <w:tcW w:type="dxa" w:w="2160"/>
            <w:vAlign w:val="center"/>
            <w:tcMar>
              <w:top w:w="80" w:type="dxa"/>
              <w:start w:w="100" w:type="dxa"/>
              <w:bottom w:w="80" w:type="dxa"/>
              <w:end w:w="100" w:type="dxa"/>
            </w:tcMar>
          </w:tcPr>
          <w:p>
            <w:pPr>
              <w:spacing w:after="0" w:before="0" w:line="252" w:lineRule="auto"/>
            </w:pPr>
            <w:r/>
            <w:r>
              <w:rPr>
                <w:rFonts w:ascii="Aptos" w:hAnsi="Aptos"/>
                <w:b w:val="0"/>
                <w:color w:val="222222"/>
                <w:sz w:val="15"/>
              </w:rPr>
              <w:t>Specific Melbourne suburbs/postcodes are eligible; travel fees/rules apply as described.</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confirmation of eligible suburbs/postcodes, travel eligibility and travel-fee rules.</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Requires Owner Confirmation</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authorised operational owner</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 only the confirmed areas/rules; do not imply all-Melbourne coverage unless Ajith confirms it.</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C-03</w:t>
            </w:r>
          </w:p>
        </w:tc>
        <w:tc>
          <w:tcPr>
            <w:tcW w:type="dxa" w:w="2160"/>
            <w:vAlign w:val="center"/>
            <w:tcMar>
              <w:top w:w="80" w:type="dxa"/>
              <w:start w:w="100" w:type="dxa"/>
              <w:bottom w:w="80" w:type="dxa"/>
              <w:end w:w="100" w:type="dxa"/>
            </w:tcMar>
          </w:tcPr>
          <w:p>
            <w:pPr>
              <w:spacing w:after="0" w:before="0" w:line="252" w:lineRule="auto"/>
            </w:pPr>
            <w:r/>
            <w:r>
              <w:rPr>
                <w:rFonts w:ascii="Aptos" w:hAnsi="Aptos"/>
                <w:b w:val="0"/>
                <w:color w:val="222222"/>
                <w:sz w:val="15"/>
              </w:rPr>
              <w:t>ViriVr brings headsets, games, setup and event support/local hosts.</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confirmation of current package/service inclusions, equipment and host support.</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Requires Owner Confirmation</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authorised operational owner</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 the owner-confirmed inclusions only; record the source/date.</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C-04</w:t>
            </w:r>
          </w:p>
        </w:tc>
        <w:tc>
          <w:tcPr>
            <w:tcW w:type="dxa" w:w="2160"/>
            <w:vAlign w:val="center"/>
            <w:tcMar>
              <w:top w:w="80" w:type="dxa"/>
              <w:start w:w="100" w:type="dxa"/>
              <w:bottom w:w="80" w:type="dxa"/>
              <w:end w:w="100" w:type="dxa"/>
            </w:tcMar>
          </w:tcPr>
          <w:p>
            <w:pPr>
              <w:spacing w:after="0" w:before="0" w:line="252" w:lineRule="auto"/>
            </w:pPr>
            <w:r/>
            <w:r>
              <w:rPr>
                <w:rFonts w:ascii="Aptos" w:hAnsi="Aptos"/>
                <w:b w:val="0"/>
                <w:color w:val="222222"/>
                <w:sz w:val="15"/>
              </w:rPr>
              <w:t>Minimum space, access, parking/stairs and setup conditions.</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confirmation of minimum space, access, parking/stairs and site-suitability requirements.</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Requires Owner Confirmation</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authorised operational owner</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Do not invent dimensions or access requirements; use owner-confirmed rules.</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C-05</w:t>
            </w:r>
          </w:p>
        </w:tc>
        <w:tc>
          <w:tcPr>
            <w:tcW w:type="dxa" w:w="2160"/>
            <w:vAlign w:val="center"/>
            <w:tcMar>
              <w:top w:w="80" w:type="dxa"/>
              <w:start w:w="100" w:type="dxa"/>
              <w:bottom w:w="80" w:type="dxa"/>
              <w:end w:w="100" w:type="dxa"/>
            </w:tcMar>
          </w:tcPr>
          <w:p>
            <w:pPr>
              <w:spacing w:after="0" w:before="0" w:line="252" w:lineRule="auto"/>
            </w:pPr>
            <w:r/>
            <w:r>
              <w:rPr>
                <w:rFonts w:ascii="Aptos" w:hAnsi="Aptos"/>
                <w:b w:val="0"/>
                <w:color w:val="222222"/>
                <w:sz w:val="15"/>
              </w:rPr>
              <w:t>Arrival/setup timing and booking lead time.</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confirmation of current arrival/setup timing and booking lead time.</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Requires Owner Confirmation</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authorised operational owner</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 current confirmed values only and refresh when operations change.</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C-06</w:t>
            </w:r>
          </w:p>
        </w:tc>
        <w:tc>
          <w:tcPr>
            <w:tcW w:type="dxa" w:w="2160"/>
            <w:vAlign w:val="center"/>
            <w:tcMar>
              <w:top w:w="80" w:type="dxa"/>
              <w:start w:w="100" w:type="dxa"/>
              <w:bottom w:w="80" w:type="dxa"/>
              <w:end w:w="100" w:type="dxa"/>
            </w:tcMar>
          </w:tcPr>
          <w:p>
            <w:pPr>
              <w:spacing w:after="0" w:before="0" w:line="252" w:lineRule="auto"/>
            </w:pPr>
            <w:r/>
            <w:r>
              <w:rPr>
                <w:rFonts w:ascii="Aptos" w:hAnsi="Aptos"/>
                <w:b w:val="0"/>
                <w:color w:val="222222"/>
                <w:sz w:val="15"/>
              </w:rPr>
              <w:t>Host-to-player ratio, operational capacity and group handling.</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confirmation of host-to-player ratio, operational capacity and group handling.</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Requires Owner Confirmation</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authorised operational owner</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Do not infer ratios/capacity from legacy pages or other products.</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C-07</w:t>
            </w:r>
          </w:p>
        </w:tc>
        <w:tc>
          <w:tcPr>
            <w:tcW w:type="dxa" w:w="2160"/>
            <w:vAlign w:val="center"/>
            <w:tcMar>
              <w:top w:w="80" w:type="dxa"/>
              <w:start w:w="100" w:type="dxa"/>
              <w:bottom w:w="80" w:type="dxa"/>
              <w:end w:w="100" w:type="dxa"/>
            </w:tcMar>
          </w:tcPr>
          <w:p>
            <w:pPr>
              <w:spacing w:after="0" w:before="0" w:line="252" w:lineRule="auto"/>
            </w:pPr>
            <w:r/>
            <w:r>
              <w:rPr>
                <w:rFonts w:ascii="Aptos" w:hAnsi="Aptos"/>
                <w:b w:val="0"/>
                <w:color w:val="222222"/>
                <w:sz w:val="15"/>
              </w:rPr>
              <w:t>Power, Wi-Fi and offline/back-up requirements.</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confirmation of current power, Wi-Fi and offline/back-up operational requirements.</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Requires Owner Confirmation</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authorised operational owner</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Publish only the owner-confirmed requirements and backup process.</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C-08</w:t>
            </w:r>
          </w:p>
        </w:tc>
        <w:tc>
          <w:tcPr>
            <w:tcW w:type="dxa" w:w="2160"/>
            <w:vAlign w:val="center"/>
            <w:tcMar>
              <w:top w:w="80" w:type="dxa"/>
              <w:start w:w="100" w:type="dxa"/>
              <w:bottom w:w="80" w:type="dxa"/>
              <w:end w:w="100" w:type="dxa"/>
            </w:tcMar>
          </w:tcPr>
          <w:p>
            <w:pPr>
              <w:spacing w:after="0" w:before="0" w:line="252" w:lineRule="auto"/>
            </w:pPr>
            <w:r/>
            <w:r>
              <w:rPr>
                <w:rFonts w:ascii="Aptos" w:hAnsi="Aptos"/>
                <w:b w:val="0"/>
                <w:color w:val="222222"/>
                <w:sz w:val="15"/>
              </w:rPr>
              <w:t>Wet-weather contingency.</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confirmation of the current wet-weather contingency and any relocation/rescheduling rules.</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Requires Owner Confirmation</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authorised operational owner</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Do not promise contingency outcomes not confirmed by Ajith.</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C-09</w:t>
            </w:r>
          </w:p>
        </w:tc>
        <w:tc>
          <w:tcPr>
            <w:tcW w:type="dxa" w:w="2160"/>
            <w:vAlign w:val="center"/>
            <w:tcMar>
              <w:top w:w="80" w:type="dxa"/>
              <w:start w:w="100" w:type="dxa"/>
              <w:bottom w:w="80" w:type="dxa"/>
              <w:end w:w="100" w:type="dxa"/>
            </w:tcMar>
          </w:tcPr>
          <w:p>
            <w:pPr>
              <w:spacing w:after="0" w:before="0" w:line="252" w:lineRule="auto"/>
            </w:pPr>
            <w:r/>
            <w:r>
              <w:rPr>
                <w:rFonts w:ascii="Aptos" w:hAnsi="Aptos"/>
                <w:b w:val="0"/>
                <w:color w:val="222222"/>
                <w:sz w:val="15"/>
              </w:rPr>
              <w:t>Current local pricing, package inclusions and travel fees.</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confirmation of current local pricing, package inclusions and travel fees.</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Requires Owner Confirmation</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CEO / authorised operational owner</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 only the dated owner-confirmed pricing/inclusions/travel rules.</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C-10</w:t>
            </w:r>
          </w:p>
        </w:tc>
        <w:tc>
          <w:tcPr>
            <w:tcW w:type="dxa" w:w="2160"/>
            <w:vAlign w:val="center"/>
            <w:tcMar>
              <w:top w:w="80" w:type="dxa"/>
              <w:start w:w="100" w:type="dxa"/>
              <w:bottom w:w="80" w:type="dxa"/>
              <w:end w:w="100" w:type="dxa"/>
            </w:tcMar>
          </w:tcPr>
          <w:p>
            <w:pPr>
              <w:spacing w:after="0" w:before="0" w:line="252" w:lineRule="auto"/>
            </w:pPr>
            <w:r/>
            <w:r>
              <w:rPr>
                <w:rFonts w:ascii="Aptos" w:hAnsi="Aptos"/>
                <w:b w:val="0"/>
                <w:color w:val="222222"/>
                <w:sz w:val="15"/>
              </w:rPr>
              <w:t>ViriVr has applicable local public-liability coverage and a defined safety process.</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confirmation of the current safety process plus current public-liability documentation.</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Owner Input + Documentary Evidence Required</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for operational safety; current insurance document as proof source</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Owner confirmation may support operational facts, but public-liability claims require current documentary proof.</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C-11</w:t>
            </w:r>
          </w:p>
        </w:tc>
        <w:tc>
          <w:tcPr>
            <w:tcW w:type="dxa" w:w="2160"/>
            <w:vAlign w:val="center"/>
            <w:tcMar>
              <w:top w:w="80" w:type="dxa"/>
              <w:start w:w="100" w:type="dxa"/>
              <w:bottom w:w="80" w:type="dxa"/>
              <w:end w:w="100" w:type="dxa"/>
            </w:tcMar>
          </w:tcPr>
          <w:p>
            <w:pPr>
              <w:spacing w:after="0" w:before="0" w:line="252" w:lineRule="auto"/>
            </w:pPr>
            <w:r/>
            <w:r>
              <w:rPr>
                <w:rFonts w:ascii="Aptos" w:hAnsi="Aptos"/>
                <w:b w:val="0"/>
                <w:color w:val="222222"/>
                <w:sz w:val="15"/>
              </w:rPr>
              <w:t>Melbourne customer testimonials, photos or case study claims.</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Original Melbourne assets/customer record plus permission/consent/provenance; Ajith may provide or identify the assets.</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Evidence Required</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business asset/consent record; Brand Authority Builder follow-up</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Use only permissioned, attributable proof; do not treat owner identification alone as customer consent.</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C-12</w:t>
            </w:r>
          </w:p>
        </w:tc>
        <w:tc>
          <w:tcPr>
            <w:tcW w:type="dxa" w:w="2160"/>
            <w:vAlign w:val="center"/>
            <w:tcMar>
              <w:top w:w="80" w:type="dxa"/>
              <w:start w:w="100" w:type="dxa"/>
              <w:bottom w:w="80" w:type="dxa"/>
              <w:end w:w="100" w:type="dxa"/>
            </w:tcMar>
          </w:tcPr>
          <w:p>
            <w:pPr>
              <w:spacing w:after="0" w:before="0" w:line="252" w:lineRule="auto"/>
            </w:pPr>
            <w:r/>
            <w:r>
              <w:rPr>
                <w:rFonts w:ascii="Aptos" w:hAnsi="Aptos"/>
                <w:b w:val="0"/>
                <w:color w:val="222222"/>
                <w:sz w:val="15"/>
              </w:rPr>
              <w:t>Current date availability / postcode availability.</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confirmation of current booking/availability rules or an approved live booking source.</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Requires Owner Confirmation</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approved booking source</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Availability language must reflect the current owner-confirmed or live operational rule.</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C-13</w:t>
            </w:r>
          </w:p>
        </w:tc>
        <w:tc>
          <w:tcPr>
            <w:tcW w:type="dxa" w:w="2160"/>
            <w:vAlign w:val="center"/>
            <w:tcMar>
              <w:top w:w="80" w:type="dxa"/>
              <w:start w:w="100" w:type="dxa"/>
              <w:bottom w:w="80" w:type="dxa"/>
              <w:end w:w="100" w:type="dxa"/>
            </w:tcMar>
          </w:tcPr>
          <w:p>
            <w:pPr>
              <w:spacing w:after="0" w:before="0" w:line="252" w:lineRule="auto"/>
            </w:pPr>
            <w:r/>
            <w:r>
              <w:rPr>
                <w:rFonts w:ascii="Aptos" w:hAnsi="Aptos"/>
                <w:b w:val="0"/>
                <w:color w:val="222222"/>
                <w:sz w:val="15"/>
              </w:rPr>
              <w:t>Customer address is used only for event delivery under the privacy policy.</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Approved privacy policy plus Ajith Ratnarajah confirmation of actual operational collection/use practice.</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Owner Input + Policy Evidence Required</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for operational practice; authorised privacy/legal source for policy</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Do not add privacy assurances or collect unnecessary address/photo data without confirmed policy alignment.</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C-14</w:t>
            </w:r>
          </w:p>
        </w:tc>
        <w:tc>
          <w:tcPr>
            <w:tcW w:type="dxa" w:w="2160"/>
            <w:vAlign w:val="center"/>
            <w:tcMar>
              <w:top w:w="80" w:type="dxa"/>
              <w:start w:w="100" w:type="dxa"/>
              <w:bottom w:w="80" w:type="dxa"/>
              <w:end w:w="100" w:type="dxa"/>
            </w:tcMar>
          </w:tcPr>
          <w:p>
            <w:pPr>
              <w:spacing w:after="0" w:before="0" w:line="252" w:lineRule="auto"/>
            </w:pPr>
            <w:r/>
            <w:r>
              <w:rPr>
                <w:rFonts w:ascii="Aptos" w:hAnsi="Aptos"/>
                <w:b w:val="0"/>
                <w:color w:val="222222"/>
                <w:sz w:val="15"/>
              </w:rPr>
              <w:t>ViriVr can attend a customer-selected venue and/or source a partner venue.</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confirmation of current delivery-model options, including customer-selected venue and partner-venue sourcing.</w:t>
            </w:r>
          </w:p>
        </w:tc>
        <w:tc>
          <w:tcPr>
            <w:tcW w:type="dxa" w:w="1224"/>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Requires Owner Confirmation</w:t>
            </w:r>
          </w:p>
        </w:tc>
        <w:tc>
          <w:tcPr>
            <w:tcW w:type="dxa" w:w="180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authorised operational owner</w:t>
            </w:r>
          </w:p>
        </w:tc>
        <w:tc>
          <w:tcPr>
            <w:tcW w:type="dxa" w:w="2088"/>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State only the delivery options currently confirmed by Ajith; avoid obsolete venue claims.</w:t>
            </w:r>
          </w:p>
        </w:tc>
      </w:tr>
    </w:tbl>
    <w:p>
      <w:pPr>
        <w:spacing w:after="40"/>
      </w:pPr>
    </w:p>
    <w:p>
      <w:pPr>
        <w:pStyle w:val="Heading1"/>
        <w:keepNext/>
        <w:spacing w:before="200" w:after="80"/>
      </w:pPr>
      <w:r>
        <w:t>5. Outstanding Issues and Handoffs Register</w:t>
      </w:r>
    </w:p>
    <w:tbl>
      <w:tblPr>
        <w:tblW w:type="auto" w:w="0"/>
        <w:jc w:val="center"/>
        <w:tblLayout w:type="fixed"/>
        <w:tblLook w:firstColumn="1" w:firstRow="1" w:lastColumn="0" w:lastRow="0" w:noHBand="0" w:noVBand="1" w:val="04A0"/>
      </w:tblPr>
      <w:tblGrid>
        <w:gridCol w:w="1776"/>
        <w:gridCol w:w="1776"/>
        <w:gridCol w:w="1776"/>
        <w:gridCol w:w="1776"/>
        <w:gridCol w:w="1776"/>
        <w:gridCol w:w="1776"/>
      </w:tblGrid>
      <w:tr>
        <w:trPr>
          <w:tblHeader w:val="true"/>
        </w:trPr>
        <w:tc>
          <w:tcPr>
            <w:tcW w:type="dxa" w:w="648"/>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ID</w:t>
            </w:r>
          </w:p>
        </w:tc>
        <w:tc>
          <w:tcPr>
            <w:tcW w:type="dxa" w:w="1152"/>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Refs</w:t>
            </w:r>
          </w:p>
        </w:tc>
        <w:tc>
          <w:tcPr>
            <w:tcW w:type="dxa" w:w="144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Issue type</w:t>
            </w:r>
          </w:p>
        </w:tc>
        <w:tc>
          <w:tcPr>
            <w:tcW w:type="dxa" w:w="252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Outstanding item</w:t>
            </w:r>
          </w:p>
        </w:tc>
        <w:tc>
          <w:tcPr>
            <w:tcW w:type="dxa" w:w="2232"/>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Owner / handoff</w:t>
            </w:r>
          </w:p>
        </w:tc>
        <w:tc>
          <w:tcPr>
            <w:tcW w:type="dxa" w:w="2376"/>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When required / next step</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O-01</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F-02, F-03, F-05; C-01 to C-09, C-12, C-14</w:t>
            </w:r>
          </w:p>
        </w:tc>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Owner confirmation + Evidence gap</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Core Melbourne operational facts require confirmation and traceable evidence, but the accountable operational owner is now known.</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 CEO / authorised operational owner / approved operational evidence source</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Obtain and record Ajith's confirmation before affected operational claims are treated as verified. Development may proceed with placeholders/conditional handling for those claims.</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O-02</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F-04; C-10, C-11, C-13</w:t>
            </w:r>
          </w:p>
        </w:tc>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Owner input + Documentary/policy evidence gap</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Operational safety and asset identification can be routed to Ajith, while insurance documents, privacy/consent policy evidence and customer permissions still require their supporting records.</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Ajith Ratnarajah for operational/safety inputs and asset identification; authorised privacy/legal/records owner for policy/consent documentation</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Resolve before public-liability/privacy assurances, space-photo upload, or customer proof are finalised/published.</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O-03</w:t>
            </w:r>
          </w:p>
        </w:tc>
        <w:tc>
          <w:tcPr>
            <w:tcW w:type="dxa" w:w="115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F-06</w:t>
            </w:r>
          </w:p>
        </w:tc>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Specialist follow-up</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Local proof/citation/trust-signal depth needs specialist analysis after Ajith provides or identifies approved Melbourne proof assets.</w:t>
            </w:r>
          </w:p>
        </w:tc>
        <w:tc>
          <w:tcPr>
            <w:tcW w:type="dxa" w:w="2232"/>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Brand Authority Builder</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5"/>
              </w:rPr>
              <w:t>Handoff approved local proof assets for deeper proof/citation/trust-signal analysis. Authority Manager retains work-package, evidence-control, review and escalation responsibility.</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O-04</w:t>
            </w:r>
          </w:p>
        </w:tc>
        <w:tc>
          <w:tcPr>
            <w:tcW w:type="dxa" w:w="1152"/>
            <w:vAlign w:val="center"/>
            <w:tcMar>
              <w:top w:w="80" w:type="dxa"/>
              <w:start w:w="100" w:type="dxa"/>
              <w:bottom w:w="80" w:type="dxa"/>
              <w:end w:w="100" w:type="dxa"/>
            </w:tcMar>
          </w:tcPr>
          <w:p>
            <w:pPr>
              <w:spacing w:after="0" w:before="0" w:line="252" w:lineRule="auto"/>
            </w:pPr>
            <w:r/>
            <w:r>
              <w:rPr>
                <w:rFonts w:ascii="Aptos" w:hAnsi="Aptos"/>
                <w:b w:val="0"/>
                <w:color w:val="222222"/>
                <w:sz w:val="15"/>
              </w:rPr>
              <w:t>F-11</w:t>
            </w:r>
          </w:p>
        </w:tc>
        <w:tc>
          <w:tcPr>
            <w:tcW w:type="dxa" w:w="1440"/>
            <w:vAlign w:val="center"/>
            <w:tcMar>
              <w:top w:w="80" w:type="dxa"/>
              <w:start w:w="100" w:type="dxa"/>
              <w:bottom w:w="80" w:type="dxa"/>
              <w:end w:w="100" w:type="dxa"/>
            </w:tcMar>
          </w:tcPr>
          <w:p>
            <w:pPr>
              <w:spacing w:after="0" w:before="0" w:line="252" w:lineRule="auto"/>
            </w:pPr>
            <w:r/>
            <w:r>
              <w:rPr>
                <w:rFonts w:ascii="Aptos" w:hAnsi="Aptos"/>
                <w:b w:val="0"/>
                <w:color w:val="222222"/>
                <w:sz w:val="15"/>
              </w:rPr>
              <w:t>Specialist follow-up</w:t>
            </w:r>
          </w:p>
        </w:tc>
        <w:tc>
          <w:tcPr>
            <w:tcW w:type="dxa" w:w="2520"/>
            <w:vAlign w:val="center"/>
            <w:tcMar>
              <w:top w:w="80" w:type="dxa"/>
              <w:start w:w="100" w:type="dxa"/>
              <w:bottom w:w="80" w:type="dxa"/>
              <w:end w:w="100" w:type="dxa"/>
            </w:tcMar>
          </w:tcPr>
          <w:p>
            <w:pPr>
              <w:spacing w:after="0" w:before="0" w:line="252" w:lineRule="auto"/>
            </w:pPr>
            <w:r/>
            <w:r>
              <w:rPr>
                <w:rFonts w:ascii="Aptos" w:hAnsi="Aptos"/>
                <w:b w:val="0"/>
                <w:color w:val="222222"/>
                <w:sz w:val="15"/>
              </w:rPr>
              <w:t>No detailed competitor PR, backlink/referring-domain or brand-authority evidence is approved.</w:t>
            </w:r>
          </w:p>
        </w:tc>
        <w:tc>
          <w:tcPr>
            <w:tcW w:type="dxa" w:w="2232"/>
            <w:vAlign w:val="center"/>
            <w:tcMar>
              <w:top w:w="80" w:type="dxa"/>
              <w:start w:w="100" w:type="dxa"/>
              <w:bottom w:w="80" w:type="dxa"/>
              <w:end w:w="100" w:type="dxa"/>
            </w:tcMar>
          </w:tcPr>
          <w:p>
            <w:pPr>
              <w:spacing w:after="0" w:before="0" w:line="252" w:lineRule="auto"/>
            </w:pPr>
            <w:r/>
            <w:r>
              <w:rPr>
                <w:rFonts w:ascii="Aptos" w:hAnsi="Aptos"/>
                <w:b w:val="0"/>
                <w:color w:val="222222"/>
                <w:sz w:val="15"/>
              </w:rPr>
              <w:t>Digital PR Specialist / Backlink Auditor / Brand Authority Builder as applicable</w:t>
            </w:r>
          </w:p>
        </w:tc>
        <w:tc>
          <w:tcPr>
            <w:tcW w:type="dxa" w:w="23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Handoff only if deeper competitor authority analysis is needed. Authority Manager must not infer performance from the single content observation.</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O-05</w:t>
            </w:r>
          </w:p>
        </w:tc>
        <w:tc>
          <w:tcPr>
            <w:tcW w:type="dxa" w:w="1152"/>
            <w:vAlign w:val="center"/>
            <w:tcMar>
              <w:top w:w="80" w:type="dxa"/>
              <w:start w:w="100" w:type="dxa"/>
              <w:bottom w:w="80" w:type="dxa"/>
              <w:end w:w="100" w:type="dxa"/>
            </w:tcMar>
          </w:tcPr>
          <w:p>
            <w:pPr>
              <w:spacing w:after="0" w:before="0" w:line="252" w:lineRule="auto"/>
            </w:pPr>
            <w:r/>
            <w:r>
              <w:rPr>
                <w:rFonts w:ascii="Aptos" w:hAnsi="Aptos"/>
                <w:b w:val="0"/>
                <w:color w:val="222222"/>
                <w:sz w:val="15"/>
              </w:rPr>
              <w:t>F-07</w:t>
            </w:r>
          </w:p>
        </w:tc>
        <w:tc>
          <w:tcPr>
            <w:tcW w:type="dxa" w:w="1440"/>
            <w:vAlign w:val="center"/>
            <w:tcMar>
              <w:top w:w="80" w:type="dxa"/>
              <w:start w:w="100" w:type="dxa"/>
              <w:bottom w:w="80" w:type="dxa"/>
              <w:end w:w="100" w:type="dxa"/>
            </w:tcMar>
          </w:tcPr>
          <w:p>
            <w:pPr>
              <w:spacing w:after="0" w:before="0" w:line="252" w:lineRule="auto"/>
            </w:pPr>
            <w:r/>
            <w:r>
              <w:rPr>
                <w:rFonts w:ascii="Aptos" w:hAnsi="Aptos"/>
                <w:b w:val="0"/>
                <w:color w:val="222222"/>
                <w:sz w:val="15"/>
              </w:rPr>
              <w:t>Department dependency</w:t>
            </w:r>
          </w:p>
        </w:tc>
        <w:tc>
          <w:tcPr>
            <w:tcW w:type="dxa" w:w="2520"/>
            <w:vAlign w:val="center"/>
            <w:tcMar>
              <w:top w:w="80" w:type="dxa"/>
              <w:start w:w="100" w:type="dxa"/>
              <w:bottom w:w="80" w:type="dxa"/>
              <w:end w:w="100" w:type="dxa"/>
            </w:tcMar>
          </w:tcPr>
          <w:p>
            <w:pPr>
              <w:spacing w:after="0" w:before="0" w:line="252" w:lineRule="auto"/>
            </w:pPr>
            <w:r/>
            <w:r>
              <w:rPr>
                <w:rFonts w:ascii="Aptos" w:hAnsi="Aptos"/>
                <w:b w:val="0"/>
                <w:color w:val="222222"/>
                <w:sz w:val="15"/>
              </w:rPr>
              <w:t>HP-002 keyword demand is not directly quantified by the supplied Keyword Map.</w:t>
            </w:r>
          </w:p>
        </w:tc>
        <w:tc>
          <w:tcPr>
            <w:tcW w:type="dxa" w:w="2232"/>
            <w:vAlign w:val="center"/>
            <w:tcMar>
              <w:top w:w="80" w:type="dxa"/>
              <w:start w:w="100" w:type="dxa"/>
              <w:bottom w:w="80" w:type="dxa"/>
              <w:end w:w="100" w:type="dxa"/>
            </w:tcMar>
          </w:tcPr>
          <w:p>
            <w:pPr>
              <w:spacing w:after="0" w:before="0" w:line="252" w:lineRule="auto"/>
            </w:pPr>
            <w:r/>
            <w:r>
              <w:rPr>
                <w:rFonts w:ascii="Aptos" w:hAnsi="Aptos"/>
                <w:b w:val="0"/>
                <w:color w:val="222222"/>
                <w:sz w:val="15"/>
              </w:rPr>
              <w:t>Strategy/SEO owner</w:t>
            </w:r>
          </w:p>
        </w:tc>
        <w:tc>
          <w:tcPr>
            <w:tcW w:type="dxa" w:w="23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Use supplied keywords as inputs; any revalidation or strategic change belongs to Strategy/SEO, not Authority Manager.</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O-06</w:t>
            </w:r>
          </w:p>
        </w:tc>
        <w:tc>
          <w:tcPr>
            <w:tcW w:type="dxa" w:w="1152"/>
            <w:vAlign w:val="center"/>
            <w:tcMar>
              <w:top w:w="80" w:type="dxa"/>
              <w:start w:w="100" w:type="dxa"/>
              <w:bottom w:w="80" w:type="dxa"/>
              <w:end w:w="100" w:type="dxa"/>
            </w:tcMar>
          </w:tcPr>
          <w:p>
            <w:pPr>
              <w:spacing w:after="0" w:before="0" w:line="252" w:lineRule="auto"/>
            </w:pPr>
            <w:r/>
            <w:r>
              <w:rPr>
                <w:rFonts w:ascii="Aptos" w:hAnsi="Aptos"/>
                <w:b w:val="0"/>
                <w:color w:val="222222"/>
                <w:sz w:val="15"/>
              </w:rPr>
              <w:t>F-08, F-09</w:t>
            </w:r>
          </w:p>
        </w:tc>
        <w:tc>
          <w:tcPr>
            <w:tcW w:type="dxa" w:w="1440"/>
            <w:vAlign w:val="center"/>
            <w:tcMar>
              <w:top w:w="80" w:type="dxa"/>
              <w:start w:w="100" w:type="dxa"/>
              <w:bottom w:w="80" w:type="dxa"/>
              <w:end w:w="100" w:type="dxa"/>
            </w:tcMar>
          </w:tcPr>
          <w:p>
            <w:pPr>
              <w:spacing w:after="0" w:before="0" w:line="252" w:lineRule="auto"/>
            </w:pPr>
            <w:r/>
            <w:r>
              <w:rPr>
                <w:rFonts w:ascii="Aptos" w:hAnsi="Aptos"/>
                <w:b w:val="0"/>
                <w:color w:val="222222"/>
                <w:sz w:val="15"/>
              </w:rPr>
              <w:t>Department dependency</w:t>
            </w:r>
          </w:p>
        </w:tc>
        <w:tc>
          <w:tcPr>
            <w:tcW w:type="dxa" w:w="2520"/>
            <w:vAlign w:val="center"/>
            <w:tcMar>
              <w:top w:w="80" w:type="dxa"/>
              <w:start w:w="100" w:type="dxa"/>
              <w:bottom w:w="80" w:type="dxa"/>
              <w:end w:w="100" w:type="dxa"/>
            </w:tcMar>
          </w:tcPr>
          <w:p>
            <w:pPr>
              <w:spacing w:after="0" w:before="0" w:line="252" w:lineRule="auto"/>
            </w:pPr>
            <w:r/>
            <w:r>
              <w:rPr>
                <w:rFonts w:ascii="Aptos" w:hAnsi="Aptos"/>
                <w:b w:val="0"/>
                <w:color w:val="222222"/>
                <w:sz w:val="15"/>
              </w:rPr>
              <w:t>Full HP-002 internal-link implementation and supporting-page routing need confirmation.</w:t>
            </w:r>
          </w:p>
        </w:tc>
        <w:tc>
          <w:tcPr>
            <w:tcW w:type="dxa" w:w="2232"/>
            <w:vAlign w:val="center"/>
            <w:tcMar>
              <w:top w:w="80" w:type="dxa"/>
              <w:start w:w="100" w:type="dxa"/>
              <w:bottom w:w="80" w:type="dxa"/>
              <w:end w:w="100" w:type="dxa"/>
            </w:tcMar>
          </w:tcPr>
          <w:p>
            <w:pPr>
              <w:spacing w:after="0" w:before="0" w:line="252" w:lineRule="auto"/>
            </w:pPr>
            <w:r/>
            <w:r>
              <w:rPr>
                <w:rFonts w:ascii="Aptos" w:hAnsi="Aptos"/>
                <w:b w:val="0"/>
                <w:color w:val="222222"/>
                <w:sz w:val="15"/>
              </w:rPr>
              <w:t>Technical SEO + Content</w:t>
            </w:r>
          </w:p>
        </w:tc>
        <w:tc>
          <w:tcPr>
            <w:tcW w:type="dxa" w:w="23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Confirm source-target links and preserve distinct page ownership before implementation.</w:t>
            </w:r>
          </w:p>
        </w:tc>
      </w:tr>
      <w:tr>
        <w:tc>
          <w:tcPr>
            <w:tcW w:type="dxa" w:w="64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O-07</w:t>
            </w:r>
          </w:p>
        </w:tc>
        <w:tc>
          <w:tcPr>
            <w:tcW w:type="dxa" w:w="1152"/>
            <w:vAlign w:val="center"/>
            <w:tcMar>
              <w:top w:w="80" w:type="dxa"/>
              <w:start w:w="100" w:type="dxa"/>
              <w:bottom w:w="80" w:type="dxa"/>
              <w:end w:w="100" w:type="dxa"/>
            </w:tcMar>
          </w:tcPr>
          <w:p>
            <w:pPr>
              <w:spacing w:after="0" w:before="0" w:line="252" w:lineRule="auto"/>
            </w:pPr>
            <w:r/>
            <w:r>
              <w:rPr>
                <w:rFonts w:ascii="Aptos" w:hAnsi="Aptos"/>
                <w:b w:val="0"/>
                <w:color w:val="222222"/>
                <w:sz w:val="15"/>
              </w:rPr>
              <w:t>F-12</w:t>
            </w:r>
          </w:p>
        </w:tc>
        <w:tc>
          <w:tcPr>
            <w:tcW w:type="dxa" w:w="1440"/>
            <w:vAlign w:val="center"/>
            <w:tcMar>
              <w:top w:w="80" w:type="dxa"/>
              <w:start w:w="100" w:type="dxa"/>
              <w:bottom w:w="80" w:type="dxa"/>
              <w:end w:w="100" w:type="dxa"/>
            </w:tcMar>
          </w:tcPr>
          <w:p>
            <w:pPr>
              <w:spacing w:after="0" w:before="0" w:line="252" w:lineRule="auto"/>
            </w:pPr>
            <w:r/>
            <w:r>
              <w:rPr>
                <w:rFonts w:ascii="Aptos" w:hAnsi="Aptos"/>
                <w:b w:val="0"/>
                <w:color w:val="222222"/>
                <w:sz w:val="15"/>
              </w:rPr>
              <w:t>Department dependency</w:t>
            </w:r>
          </w:p>
        </w:tc>
        <w:tc>
          <w:tcPr>
            <w:tcW w:type="dxa" w:w="2520"/>
            <w:vAlign w:val="center"/>
            <w:tcMar>
              <w:top w:w="80" w:type="dxa"/>
              <w:start w:w="100" w:type="dxa"/>
              <w:bottom w:w="80" w:type="dxa"/>
              <w:end w:w="100" w:type="dxa"/>
            </w:tcMar>
          </w:tcPr>
          <w:p>
            <w:pPr>
              <w:spacing w:after="0" w:before="0" w:line="252" w:lineRule="auto"/>
            </w:pPr>
            <w:r/>
            <w:r>
              <w:rPr>
                <w:rFonts w:ascii="Aptos" w:hAnsi="Aptos"/>
                <w:b w:val="0"/>
                <w:color w:val="222222"/>
                <w:sz w:val="15"/>
              </w:rPr>
              <w:t>Measurement definitions are incomplete/unverified.</w:t>
            </w:r>
          </w:p>
        </w:tc>
        <w:tc>
          <w:tcPr>
            <w:tcW w:type="dxa" w:w="2232"/>
            <w:vAlign w:val="center"/>
            <w:tcMar>
              <w:top w:w="80" w:type="dxa"/>
              <w:start w:w="100" w:type="dxa"/>
              <w:bottom w:w="80" w:type="dxa"/>
              <w:end w:w="100" w:type="dxa"/>
            </w:tcMar>
          </w:tcPr>
          <w:p>
            <w:pPr>
              <w:spacing w:after="0" w:before="0" w:line="252" w:lineRule="auto"/>
            </w:pPr>
            <w:r/>
            <w:r>
              <w:rPr>
                <w:rFonts w:ascii="Aptos" w:hAnsi="Aptos"/>
                <w:b w:val="0"/>
                <w:color w:val="222222"/>
                <w:sz w:val="15"/>
              </w:rPr>
              <w:t>Analytics</w:t>
            </w:r>
          </w:p>
        </w:tc>
        <w:tc>
          <w:tcPr>
            <w:tcW w:type="dxa" w:w="2376"/>
            <w:vAlign w:val="center"/>
            <w:tcMar>
              <w:top w:w="80" w:type="dxa"/>
              <w:start w:w="100" w:type="dxa"/>
              <w:bottom w:w="80" w:type="dxa"/>
              <w:end w:w="100" w:type="dxa"/>
            </w:tcMar>
          </w:tcPr>
          <w:p>
            <w:pPr>
              <w:spacing w:after="0" w:before="0" w:line="252" w:lineRule="auto"/>
              <w:jc w:val="center"/>
            </w:pPr>
            <w:r/>
            <w:r>
              <w:rPr>
                <w:rFonts w:ascii="Aptos" w:hAnsi="Aptos"/>
                <w:b w:val="0"/>
                <w:color w:val="222222"/>
                <w:sz w:val="15"/>
              </w:rPr>
              <w:t>Validate events and governed metrics before post-launch performance reporting or conversion claims.</w:t>
            </w:r>
          </w:p>
        </w:tc>
      </w:tr>
    </w:tbl>
    <w:p>
      <w:pPr>
        <w:spacing w:after="40"/>
      </w:pPr>
    </w:p>
    <w:p>
      <w:pPr>
        <w:pStyle w:val="Heading1"/>
        <w:keepNext/>
        <w:spacing w:before="200" w:after="80"/>
      </w:pPr>
      <w:r>
        <w:t>6. Supporting Evidence Register</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72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ID</w:t>
            </w:r>
          </w:p>
        </w:tc>
        <w:tc>
          <w:tcPr>
            <w:tcW w:type="dxa" w:w="3456"/>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Verified evidence</w:t>
            </w:r>
          </w:p>
        </w:tc>
        <w:tc>
          <w:tcPr>
            <w:tcW w:type="dxa" w:w="2232"/>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Source / provenance</w:t>
            </w:r>
          </w:p>
        </w:tc>
        <w:tc>
          <w:tcPr>
            <w:tcW w:type="dxa" w:w="3888"/>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Use / limitation</w:t>
            </w:r>
          </w:p>
        </w:tc>
      </w:tr>
      <w:t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SE-01</w:t>
            </w:r>
          </w:p>
        </w:tc>
        <w:tc>
          <w:tcPr>
            <w:tcW w:type="dxa" w:w="3456"/>
            <w:vAlign w:val="center"/>
            <w:tcMar>
              <w:top w:w="80" w:type="dxa"/>
              <w:start w:w="100" w:type="dxa"/>
              <w:bottom w:w="80" w:type="dxa"/>
              <w:end w:w="100" w:type="dxa"/>
            </w:tcMar>
          </w:tcPr>
          <w:p>
            <w:pPr>
              <w:spacing w:after="0" w:before="0" w:line="252" w:lineRule="auto"/>
            </w:pPr>
            <w:r/>
            <w:r>
              <w:rPr>
                <w:rFonts w:ascii="Aptos" w:hAnsi="Aptos"/>
                <w:b w:val="0"/>
                <w:color w:val="222222"/>
                <w:sz w:val="16"/>
              </w:rPr>
              <w:t>HP-002 is a planned P1 local landing page at /house-party/melbourne/ with Local; Transactional intent and a Decision-stage role.</w:t>
            </w:r>
          </w:p>
        </w:tc>
        <w:tc>
          <w:tcPr>
            <w:tcW w:type="dxa" w:w="2232"/>
            <w:vAlign w:val="center"/>
            <w:tcMar>
              <w:top w:w="80" w:type="dxa"/>
              <w:start w:w="100" w:type="dxa"/>
              <w:bottom w:w="80" w:type="dxa"/>
              <w:end w:w="100" w:type="dxa"/>
            </w:tcMar>
          </w:tcPr>
          <w:p>
            <w:pPr>
              <w:spacing w:after="0" w:before="0" w:line="252" w:lineRule="auto"/>
            </w:pPr>
            <w:r/>
            <w:r>
              <w:rPr>
                <w:rFonts w:ascii="Aptos" w:hAnsi="Aptos"/>
                <w:b w:val="0"/>
                <w:color w:val="222222"/>
                <w:sz w:val="16"/>
              </w:rPr>
              <w:t>S4 Architecture</w:t>
            </w:r>
          </w:p>
        </w:tc>
        <w:tc>
          <w:tcPr>
            <w:tcW w:type="dxa" w:w="388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Supports page purpose and local scope; does not prove service availability.</w:t>
            </w:r>
          </w:p>
        </w:tc>
      </w:tr>
      <w:t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SE-02</w:t>
            </w:r>
          </w:p>
        </w:tc>
        <w:tc>
          <w:tcPr>
            <w:tcW w:type="dxa" w:w="3456"/>
            <w:vAlign w:val="center"/>
            <w:tcMar>
              <w:top w:w="80" w:type="dxa"/>
              <w:start w:w="100" w:type="dxa"/>
              <w:bottom w:w="80" w:type="dxa"/>
              <w:end w:w="100" w:type="dxa"/>
            </w:tcMar>
          </w:tcPr>
          <w:p>
            <w:pPr>
              <w:spacing w:after="0" w:before="0" w:line="252" w:lineRule="auto"/>
            </w:pPr>
            <w:r/>
            <w:r>
              <w:rPr>
                <w:rFonts w:ascii="Aptos" w:hAnsi="Aptos"/>
                <w:b w:val="0"/>
                <w:color w:val="222222"/>
                <w:sz w:val="16"/>
              </w:rPr>
              <w:t>The HP-002 brief requires unique local operational proof: service map, travel fees, access policy, lead time, local photos/reviews, capacity, local public-liability coverage and current availability rules.</w:t>
            </w:r>
          </w:p>
        </w:tc>
        <w:tc>
          <w:tcPr>
            <w:tcW w:type="dxa" w:w="2232"/>
            <w:vAlign w:val="center"/>
            <w:tcMar>
              <w:top w:w="80" w:type="dxa"/>
              <w:start w:w="100" w:type="dxa"/>
              <w:bottom w:w="80" w:type="dxa"/>
              <w:end w:w="100" w:type="dxa"/>
            </w:tcMar>
          </w:tcPr>
          <w:p>
            <w:pPr>
              <w:spacing w:after="0" w:before="0" w:line="252" w:lineRule="auto"/>
            </w:pPr>
            <w:r/>
            <w:r>
              <w:rPr>
                <w:rFonts w:ascii="Aptos" w:hAnsi="Aptos"/>
                <w:b w:val="0"/>
                <w:color w:val="222222"/>
                <w:sz w:val="16"/>
              </w:rPr>
              <w:t>S4 Content Briefs</w:t>
            </w:r>
          </w:p>
        </w:tc>
        <w:tc>
          <w:tcPr>
            <w:tcW w:type="dxa" w:w="388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These are evidence requirements, not proof that the facts currently exist.</w:t>
            </w:r>
          </w:p>
        </w:tc>
      </w:tr>
      <w:t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SE-03</w:t>
            </w:r>
          </w:p>
        </w:tc>
        <w:tc>
          <w:tcPr>
            <w:tcW w:type="dxa" w:w="3456"/>
            <w:vAlign w:val="center"/>
            <w:tcMar>
              <w:top w:w="80" w:type="dxa"/>
              <w:start w:w="100" w:type="dxa"/>
              <w:bottom w:w="80" w:type="dxa"/>
              <w:end w:w="100" w:type="dxa"/>
            </w:tcMar>
          </w:tcPr>
          <w:p>
            <w:pPr>
              <w:spacing w:after="0" w:before="0" w:line="252" w:lineRule="auto"/>
            </w:pPr>
            <w:r/>
            <w:r>
              <w:rPr>
                <w:rFonts w:ascii="Aptos" w:hAnsi="Aptos"/>
                <w:b w:val="0"/>
                <w:color w:val="222222"/>
                <w:sz w:val="16"/>
              </w:rPr>
              <w:t>The supplied Keyword Planner export is Melbourne-segmented and has eight rows at 50 nominal average monthly searches each; the 400 total is overlapping phrase volume, not unique demand.</w:t>
            </w:r>
          </w:p>
        </w:tc>
        <w:tc>
          <w:tcPr>
            <w:tcW w:type="dxa" w:w="2232"/>
            <w:vAlign w:val="center"/>
            <w:tcMar>
              <w:top w:w="80" w:type="dxa"/>
              <w:start w:w="100" w:type="dxa"/>
              <w:bottom w:w="80" w:type="dxa"/>
              <w:end w:w="100" w:type="dxa"/>
            </w:tcMar>
          </w:tcPr>
          <w:p>
            <w:pPr>
              <w:spacing w:after="0" w:before="0" w:line="252" w:lineRule="auto"/>
            </w:pPr>
            <w:r/>
            <w:r>
              <w:rPr>
                <w:rFonts w:ascii="Aptos" w:hAnsi="Aptos"/>
                <w:b w:val="0"/>
                <w:color w:val="222222"/>
                <w:sz w:val="16"/>
              </w:rPr>
              <w:t>S4 Summary + Evidence</w:t>
            </w:r>
          </w:p>
        </w:tc>
        <w:tc>
          <w:tcPr>
            <w:tcW w:type="dxa" w:w="388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Useful context only; it does not quantify HP-002 commercial keyword demand.</w:t>
            </w:r>
          </w:p>
        </w:tc>
      </w:tr>
      <w:t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SE-04</w:t>
            </w:r>
          </w:p>
        </w:tc>
        <w:tc>
          <w:tcPr>
            <w:tcW w:type="dxa" w:w="3456"/>
            <w:vAlign w:val="center"/>
            <w:tcMar>
              <w:top w:w="80" w:type="dxa"/>
              <w:start w:w="100" w:type="dxa"/>
              <w:bottom w:w="80" w:type="dxa"/>
              <w:end w:w="100" w:type="dxa"/>
            </w:tcMar>
          </w:tcPr>
          <w:p>
            <w:pPr>
              <w:spacing w:after="0" w:before="0" w:line="252" w:lineRule="auto"/>
            </w:pPr>
            <w:r/>
            <w:r>
              <w:rPr>
                <w:rFonts w:ascii="Aptos" w:hAnsi="Aptos"/>
                <w:b w:val="0"/>
                <w:color w:val="222222"/>
                <w:sz w:val="16"/>
              </w:rPr>
              <w:t>GSC house/home/teen party visibility: 47 impressions, 0 clicks, impression-weighted position 41.7 for 2025-09-01 to 2026-08-30.</w:t>
            </w:r>
          </w:p>
        </w:tc>
        <w:tc>
          <w:tcPr>
            <w:tcW w:type="dxa" w:w="2232"/>
            <w:vAlign w:val="center"/>
            <w:tcMar>
              <w:top w:w="80" w:type="dxa"/>
              <w:start w:w="100" w:type="dxa"/>
              <w:bottom w:w="80" w:type="dxa"/>
              <w:end w:w="100" w:type="dxa"/>
            </w:tcMar>
          </w:tcPr>
          <w:p>
            <w:pPr>
              <w:spacing w:after="0" w:before="0" w:line="252" w:lineRule="auto"/>
            </w:pPr>
            <w:r/>
            <w:r>
              <w:rPr>
                <w:rFonts w:ascii="Aptos" w:hAnsi="Aptos"/>
                <w:b w:val="0"/>
                <w:color w:val="222222"/>
                <w:sz w:val="16"/>
              </w:rPr>
              <w:t>S4 Evidence</w:t>
            </w:r>
          </w:p>
        </w:tc>
        <w:tc>
          <w:tcPr>
            <w:tcW w:type="dxa" w:w="388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Shows early site-level relevance, not HP-002 local-page performance.</w:t>
            </w:r>
          </w:p>
        </w:tc>
      </w:tr>
      <w:t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SE-05</w:t>
            </w:r>
          </w:p>
        </w:tc>
        <w:tc>
          <w:tcPr>
            <w:tcW w:type="dxa" w:w="3456"/>
            <w:vAlign w:val="center"/>
            <w:tcMar>
              <w:top w:w="80" w:type="dxa"/>
              <w:start w:w="100" w:type="dxa"/>
              <w:bottom w:w="80" w:type="dxa"/>
              <w:end w:w="100" w:type="dxa"/>
            </w:tcMar>
          </w:tcPr>
          <w:p>
            <w:pPr>
              <w:spacing w:after="0" w:before="0" w:line="252" w:lineRule="auto"/>
            </w:pPr>
            <w:r/>
            <w:r>
              <w:rPr>
                <w:rFonts w:ascii="Aptos" w:hAnsi="Aptos"/>
                <w:b w:val="0"/>
                <w:color w:val="222222"/>
                <w:sz w:val="16"/>
              </w:rPr>
              <w:t>Party-related GA4 paths: 1,403 sessions, 1,224 engaged sessions, 185 configured conversions; conversion definitions were not verified and revenue was AUD 0.</w:t>
            </w:r>
          </w:p>
        </w:tc>
        <w:tc>
          <w:tcPr>
            <w:tcW w:type="dxa" w:w="2232"/>
            <w:vAlign w:val="center"/>
            <w:tcMar>
              <w:top w:w="80" w:type="dxa"/>
              <w:start w:w="100" w:type="dxa"/>
              <w:bottom w:w="80" w:type="dxa"/>
              <w:end w:w="100" w:type="dxa"/>
            </w:tcMar>
          </w:tcPr>
          <w:p>
            <w:pPr>
              <w:spacing w:after="0" w:before="0" w:line="252" w:lineRule="auto"/>
            </w:pPr>
            <w:r/>
            <w:r>
              <w:rPr>
                <w:rFonts w:ascii="Aptos" w:hAnsi="Aptos"/>
                <w:b w:val="0"/>
                <w:color w:val="222222"/>
                <w:sz w:val="16"/>
              </w:rPr>
              <w:t>S4 Evidence</w:t>
            </w:r>
          </w:p>
        </w:tc>
        <w:tc>
          <w:tcPr>
            <w:tcW w:type="dxa" w:w="388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May support existing party-site activity; must not be represented as bookings/leads.</w:t>
            </w:r>
          </w:p>
        </w:tc>
      </w:tr>
      <w:t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SE-06</w:t>
            </w:r>
          </w:p>
        </w:tc>
        <w:tc>
          <w:tcPr>
            <w:tcW w:type="dxa" w:w="3456"/>
            <w:vAlign w:val="center"/>
            <w:tcMar>
              <w:top w:w="80" w:type="dxa"/>
              <w:start w:w="100" w:type="dxa"/>
              <w:bottom w:w="80" w:type="dxa"/>
              <w:end w:w="100" w:type="dxa"/>
            </w:tcMar>
          </w:tcPr>
          <w:p>
            <w:pPr>
              <w:spacing w:after="0" w:before="0" w:line="252" w:lineRule="auto"/>
            </w:pPr>
            <w:r/>
            <w:r>
              <w:rPr>
                <w:rFonts w:ascii="Aptos" w:hAnsi="Aptos"/>
                <w:b w:val="0"/>
                <w:color w:val="222222"/>
                <w:sz w:val="16"/>
              </w:rPr>
              <w:t>Existing Melbourne party-games page: 12 organic sessions and 1 configured conversion; architecture assigns it as EXP-001 / HP-002 support.</w:t>
            </w:r>
          </w:p>
        </w:tc>
        <w:tc>
          <w:tcPr>
            <w:tcW w:type="dxa" w:w="2232"/>
            <w:vAlign w:val="center"/>
            <w:tcMar>
              <w:top w:w="80" w:type="dxa"/>
              <w:start w:w="100" w:type="dxa"/>
              <w:bottom w:w="80" w:type="dxa"/>
              <w:end w:w="100" w:type="dxa"/>
            </w:tcMar>
          </w:tcPr>
          <w:p>
            <w:pPr>
              <w:spacing w:after="0" w:before="0" w:line="252" w:lineRule="auto"/>
            </w:pPr>
            <w:r/>
            <w:r>
              <w:rPr>
                <w:rFonts w:ascii="Aptos" w:hAnsi="Aptos"/>
                <w:b w:val="0"/>
                <w:color w:val="222222"/>
                <w:sz w:val="16"/>
              </w:rPr>
              <w:t>S4 Consolidation + Evidence</w:t>
            </w:r>
          </w:p>
        </w:tc>
        <w:tc>
          <w:tcPr>
            <w:tcW w:type="dxa" w:w="388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Possible local supporting asset; conversion definition remains unverified.</w:t>
            </w:r>
          </w:p>
        </w:tc>
      </w:tr>
      <w:t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SE-07</w:t>
            </w:r>
          </w:p>
        </w:tc>
        <w:tc>
          <w:tcPr>
            <w:tcW w:type="dxa" w:w="3456"/>
            <w:vAlign w:val="center"/>
            <w:tcMar>
              <w:top w:w="80" w:type="dxa"/>
              <w:start w:w="100" w:type="dxa"/>
              <w:bottom w:w="80" w:type="dxa"/>
              <w:end w:w="100" w:type="dxa"/>
            </w:tcMar>
          </w:tcPr>
          <w:p>
            <w:pPr>
              <w:spacing w:after="0" w:before="0" w:line="252" w:lineRule="auto"/>
            </w:pPr>
            <w:r/>
            <w:r>
              <w:rPr>
                <w:rFonts w:ascii="Aptos" w:hAnsi="Aptos"/>
                <w:b w:val="0"/>
                <w:color w:val="222222"/>
                <w:sz w:val="16"/>
              </w:rPr>
              <w:t>KaptureVR competitor observation (reviewed 2 Sep 2026): prominent we-come-to-you, setup, supervision, safety and flexible-package messaging.</w:t>
            </w:r>
          </w:p>
        </w:tc>
        <w:tc>
          <w:tcPr>
            <w:tcW w:type="dxa" w:w="2232"/>
            <w:vAlign w:val="center"/>
            <w:tcMar>
              <w:top w:w="80" w:type="dxa"/>
              <w:start w:w="100" w:type="dxa"/>
              <w:bottom w:w="80" w:type="dxa"/>
              <w:end w:w="100" w:type="dxa"/>
            </w:tcMar>
          </w:tcPr>
          <w:p>
            <w:pPr>
              <w:spacing w:after="0" w:before="0" w:line="252" w:lineRule="auto"/>
            </w:pPr>
            <w:r/>
            <w:r>
              <w:rPr>
                <w:rFonts w:ascii="Aptos" w:hAnsi="Aptos"/>
                <w:b w:val="0"/>
                <w:color w:val="222222"/>
                <w:sz w:val="16"/>
              </w:rPr>
              <w:t>S4 Evidence</w:t>
            </w:r>
          </w:p>
        </w:tc>
        <w:tc>
          <w:tcPr>
            <w:tcW w:type="dxa" w:w="388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Content-pattern observation only; no competitor performance or authority inference.</w:t>
            </w:r>
          </w:p>
        </w:tc>
      </w:tr>
      <w:tr>
        <w:tc>
          <w:tcPr>
            <w:tcW w:type="dxa" w:w="7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SE-08</w:t>
            </w:r>
          </w:p>
        </w:tc>
        <w:tc>
          <w:tcPr>
            <w:tcW w:type="dxa" w:w="3456"/>
            <w:vAlign w:val="center"/>
            <w:tcMar>
              <w:top w:w="80" w:type="dxa"/>
              <w:start w:w="100" w:type="dxa"/>
              <w:bottom w:w="80" w:type="dxa"/>
              <w:end w:w="100" w:type="dxa"/>
            </w:tcMar>
          </w:tcPr>
          <w:p>
            <w:pPr>
              <w:spacing w:after="0" w:before="0" w:line="252" w:lineRule="auto"/>
            </w:pPr>
            <w:r/>
            <w:r>
              <w:rPr>
                <w:rFonts w:ascii="Aptos" w:hAnsi="Aptos"/>
                <w:b w:val="0"/>
                <w:color w:val="222222"/>
                <w:sz w:val="16"/>
              </w:rPr>
              <w:t>Measurement plan says not to publish or retain unverified pricing, venue, service-area or safety claims and to refresh changing operational facts.</w:t>
            </w:r>
          </w:p>
        </w:tc>
        <w:tc>
          <w:tcPr>
            <w:tcW w:type="dxa" w:w="2232"/>
            <w:vAlign w:val="center"/>
            <w:tcMar>
              <w:top w:w="80" w:type="dxa"/>
              <w:start w:w="100" w:type="dxa"/>
              <w:bottom w:w="80" w:type="dxa"/>
              <w:end w:w="100" w:type="dxa"/>
            </w:tcMar>
          </w:tcPr>
          <w:p>
            <w:pPr>
              <w:spacing w:after="0" w:before="0" w:line="252" w:lineRule="auto"/>
            </w:pPr>
            <w:r/>
            <w:r>
              <w:rPr>
                <w:rFonts w:ascii="Aptos" w:hAnsi="Aptos"/>
                <w:b w:val="0"/>
                <w:color w:val="222222"/>
                <w:sz w:val="16"/>
              </w:rPr>
              <w:t>S4 Measurement Plan</w:t>
            </w:r>
          </w:p>
        </w:tc>
        <w:tc>
          <w:tcPr>
            <w:tcW w:type="dxa" w:w="3888"/>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Directly relevant trust control for HP-002 development.</w:t>
            </w:r>
          </w:p>
        </w:tc>
      </w:tr>
      <w:tr>
        <w:tc>
          <w:tcPr>
            <w:tcW w:type="dxa" w:w="2664"/>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SE-09</w:t>
            </w:r>
          </w:p>
        </w:tc>
        <w:tc>
          <w:tcPr>
            <w:tcW w:type="dxa" w:w="2664"/>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Ajith Ratnarajah is ViriVr CEO, authorised operational owner and an approved source of operational evidence.</w:t>
            </w:r>
          </w:p>
        </w:tc>
        <w:tc>
          <w:tcPr>
            <w:tcW w:type="dxa" w:w="2664"/>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S5 Human-approved project instruction, 22 Sep 2026</w:t>
            </w:r>
          </w:p>
        </w:tc>
        <w:tc>
          <w:tcPr>
            <w:tcW w:type="dxa" w:w="2664"/>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Operational claims may be confirmed by Ajith and recorded with date/provenance; this does not replace documentary proof or separate specialist/legal/privacy responsibilities where applicable.</w:t>
            </w:r>
          </w:p>
        </w:tc>
      </w:tr>
    </w:tbl>
    <w:p>
      <w:pPr>
        <w:spacing w:after="40"/>
      </w:pPr>
    </w:p>
    <w:p>
      <w:pPr>
        <w:pStyle w:val="Heading1"/>
        <w:keepNext/>
        <w:spacing w:before="200" w:after="80"/>
      </w:pPr>
      <w:r>
        <w:t>7. Handoff Summary</w:t>
      </w:r>
    </w:p>
    <w:tbl>
      <w:tblPr>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144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Handoff category</w:t>
            </w:r>
          </w:p>
        </w:tc>
        <w:tc>
          <w:tcPr>
            <w:tcW w:type="dxa" w:w="4032"/>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What the next role needs to know</w:t>
            </w:r>
          </w:p>
        </w:tc>
        <w:tc>
          <w:tcPr>
            <w:tcW w:type="dxa" w:w="2376"/>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Owner</w:t>
            </w:r>
          </w:p>
        </w:tc>
        <w:tc>
          <w:tcPr>
            <w:tcW w:type="dxa" w:w="2520"/>
            <w:vAlign w:val="center"/>
            <w:tcMar>
              <w:top w:w="80" w:type="dxa"/>
              <w:start w:w="100" w:type="dxa"/>
              <w:bottom w:w="80" w:type="dxa"/>
              <w:end w:w="100" w:type="dxa"/>
            </w:tcMar>
            <w:shd w:fill="17365D"/>
          </w:tcPr>
          <w:p>
            <w:pPr>
              <w:spacing w:after="0" w:before="0" w:line="252" w:lineRule="auto"/>
              <w:jc w:val="center"/>
            </w:pPr>
            <w:r/>
            <w:r>
              <w:rPr>
                <w:rFonts w:ascii="Aptos" w:hAnsi="Aptos"/>
                <w:b/>
                <w:color w:val="FFFFFF"/>
                <w:sz w:val="16"/>
              </w:rPr>
              <w:t>Next step</w:t>
            </w:r>
          </w:p>
        </w:tc>
      </w:tr>
      <w:tr>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Can use now</w:t>
            </w:r>
          </w:p>
        </w:tc>
        <w:tc>
          <w:tcPr>
            <w:tcW w:type="dxa" w:w="4032"/>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Approved HP-002 page purpose, Melbourne-local positioning, supplied keywords as inputs, planned evidence categories, page relationships, existing local-support asset, measurement limitations, and Ajith Ratnarajah as the approved operational evidence source.</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Content/page-development team; Ajith Ratnarajah for operational confirmations; Strategy/Technical SEO as relevant</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Proceed with development structure and evidence-led drafting; record owner-confirmed operational facts with provenance rather than treating unconfirmed details as final.</w:t>
            </w:r>
          </w:p>
        </w:tc>
      </w:tr>
      <w:tr>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Owner input required</w:t>
            </w:r>
          </w:p>
        </w:tc>
        <w:tc>
          <w:tcPr>
            <w:tcW w:type="dxa" w:w="4032"/>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Service area/postcodes, travel rules/fees, access/setup/lead time, space/capacity/host ratio, connectivity/weather plan, pricing/inclusions, availability and delivery-model facts require operational confirmation. Insurance/privacy/consent/customer-proof items also need their supporting records.</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Ajith Ratnarajah for operational evidence; relevant documentary/policy owner where required</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Collect and record Ajith's operational confirmation; obtain documentary/policy evidence for claims that require it before finalising those claims.</w:t>
            </w:r>
          </w:p>
        </w:tc>
      </w:tr>
      <w:tr>
        <w:tc>
          <w:tcPr>
            <w:tcW w:type="dxa" w:w="1440"/>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Human / policy clarification</w:t>
            </w:r>
          </w:p>
        </w:tc>
        <w:tc>
          <w:tcPr>
            <w:tcW w:type="dxa" w:w="4032"/>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Core operational ownership is resolved. Remaining clarification is limited to any privacy/legal/consent ownership or policy interpretation not covered by Ajith's operational authority.</w:t>
            </w:r>
          </w:p>
        </w:tc>
        <w:tc>
          <w:tcPr>
            <w:tcW w:type="dxa" w:w="2376"/>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Authorised privacy/legal owner as applicable; Human Authority Manager for governance escalation if unresolved</w:t>
            </w:r>
          </w:p>
        </w:tc>
        <w:tc>
          <w:tcPr>
            <w:tcW w:type="dxa" w:w="2520"/>
            <w:vAlign w:val="center"/>
            <w:tcMar>
              <w:top w:w="80" w:type="dxa"/>
              <w:start w:w="100" w:type="dxa"/>
              <w:bottom w:w="80" w:type="dxa"/>
              <w:end w:w="100" w:type="dxa"/>
            </w:tcMar>
          </w:tcPr>
          <w:p>
            <w:pPr>
              <w:spacing w:after="0" w:before="0" w:line="252" w:lineRule="auto"/>
              <w:jc w:val="left"/>
            </w:pPr>
            <w:r/>
            <w:r>
              <w:rPr>
                <w:rFonts w:ascii="Aptos" w:hAnsi="Aptos"/>
                <w:b w:val="0"/>
                <w:color w:val="222222"/>
                <w:sz w:val="16"/>
              </w:rPr>
              <w:t>Resolve only the non-operational policy/approval questions before affected forms, privacy assurances or proof assets are finalised.</w:t>
            </w:r>
          </w:p>
        </w:tc>
      </w:tr>
      <w:tr>
        <w:tc>
          <w:tcPr>
            <w:tcW w:type="dxa" w:w="144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Specialist / department follow-up</w:t>
            </w:r>
          </w:p>
        </w:tc>
        <w:tc>
          <w:tcPr>
            <w:tcW w:type="dxa" w:w="4032"/>
            <w:vAlign w:val="center"/>
            <w:tcMar>
              <w:top w:w="80" w:type="dxa"/>
              <w:start w:w="100" w:type="dxa"/>
              <w:bottom w:w="80" w:type="dxa"/>
              <w:end w:w="100" w:type="dxa"/>
            </w:tcMar>
          </w:tcPr>
          <w:p>
            <w:pPr>
              <w:spacing w:after="0" w:before="0" w:line="252" w:lineRule="auto"/>
            </w:pPr>
            <w:r/>
            <w:r>
              <w:rPr>
                <w:rFonts w:ascii="Aptos" w:hAnsi="Aptos"/>
                <w:b w:val="0"/>
                <w:color w:val="222222"/>
                <w:sz w:val="16"/>
              </w:rPr>
              <w:t>Local proof/citation depth; competitor authority analysis if required; keyword validation; link architecture; analytics definitions.</w:t>
            </w:r>
          </w:p>
        </w:tc>
        <w:tc>
          <w:tcPr>
            <w:tcW w:type="dxa" w:w="2376"/>
            <w:vAlign w:val="center"/>
            <w:tcMar>
              <w:top w:w="80" w:type="dxa"/>
              <w:start w:w="100" w:type="dxa"/>
              <w:bottom w:w="80" w:type="dxa"/>
              <w:end w:w="100" w:type="dxa"/>
            </w:tcMar>
          </w:tcPr>
          <w:p>
            <w:pPr>
              <w:spacing w:after="0" w:before="0" w:line="252" w:lineRule="auto"/>
            </w:pPr>
            <w:r/>
            <w:r>
              <w:rPr>
                <w:rFonts w:ascii="Aptos" w:hAnsi="Aptos"/>
                <w:b w:val="0"/>
                <w:color w:val="222222"/>
                <w:sz w:val="16"/>
              </w:rPr>
              <w:t>Brand Authority Builder; Digital PR Specialist; Backlink Auditor; Strategy/SEO; Technical SEO; Analytics</w:t>
            </w:r>
          </w:p>
        </w:tc>
        <w:tc>
          <w:tcPr>
            <w:tcW w:type="dxa" w:w="2520"/>
            <w:vAlign w:val="center"/>
            <w:tcMar>
              <w:top w:w="80" w:type="dxa"/>
              <w:start w:w="100" w:type="dxa"/>
              <w:bottom w:w="80" w:type="dxa"/>
              <w:end w:w="100" w:type="dxa"/>
            </w:tcMar>
          </w:tcPr>
          <w:p>
            <w:pPr>
              <w:spacing w:after="0" w:before="0" w:line="252" w:lineRule="auto"/>
              <w:jc w:val="center"/>
            </w:pPr>
            <w:r/>
            <w:r>
              <w:rPr>
                <w:rFonts w:ascii="Aptos" w:hAnsi="Aptos"/>
                <w:b w:val="0"/>
                <w:color w:val="222222"/>
                <w:sz w:val="16"/>
              </w:rPr>
              <w:t>Authority Manager prepares/routs bounded work, preserves provenance, reviews returned outputs and escalates unresolved conflicts.</w:t>
            </w:r>
          </w:p>
        </w:tc>
      </w:tr>
    </w:tbl>
    <w:p>
      <w:pPr>
        <w:spacing w:after="40"/>
      </w:pPr>
    </w:p>
    <w:tbl>
      <w:tblPr>
        <w:tblW w:type="auto" w:w="0"/>
        <w:jc w:val="center"/>
        <w:tblLook w:firstColumn="1" w:firstRow="1" w:lastColumn="0" w:lastRow="0" w:noHBand="0" w:noVBand="1" w:val="04A0"/>
      </w:tblPr>
      <w:tblGrid>
        <w:gridCol w:w="10656"/>
      </w:tblGrid>
      <w:tr>
        <w:tc>
          <w:tcPr>
            <w:tcW w:type="dxa" w:w="10296"/>
            <w:shd w:fill="EAF2F8"/>
            <w:tcMar>
              <w:top w:w="120" w:type="dxa"/>
              <w:start w:w="140" w:type="dxa"/>
              <w:bottom w:w="120" w:type="dxa"/>
              <w:end w:w="140" w:type="dxa"/>
            </w:tcMar>
          </w:tcPr>
          <w:p>
            <w:pPr>
              <w:spacing w:after="60"/>
            </w:pPr>
            <w:r>
              <w:rPr>
                <w:rFonts w:ascii="Aptos" w:hAnsi="Aptos"/>
                <w:b/>
                <w:color w:val="17365D"/>
                <w:sz w:val="22"/>
              </w:rPr>
              <w:t>Authority Manager conclusion</w:t>
            </w:r>
          </w:p>
          <w:p>
            <w:pPr>
              <w:spacing w:after="0" w:line="259" w:lineRule="auto"/>
            </w:pPr>
            <w:r>
              <w:rPr>
                <w:rFonts w:ascii="Aptos" w:hAnsi="Aptos"/>
                <w:color w:val="232323"/>
                <w:sz w:val="19"/>
              </w:rPr>
              <w:t>HP-002 has a clear approved Melbourne-local role and is suitable to progress with owner-confirmation conditions. Ajith Ratnarajah should provide or confirm the operational facts identified in this handoff and those confirmations should be retained with provenance before affected claims are treated as verified. Documentary, policy and specialist evidence remains required where applicable. Specialist and department handoffs should proceed as recorded above. No audit result has been assigned.</w:t>
            </w:r>
          </w:p>
        </w:tc>
      </w:tr>
    </w:tbl>
    <w:p>
      <w:pPr>
        <w:spacing w:after="20"/>
      </w:pP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ViriVr | HP-002 Pre-Development Authority Analysis | Updated 22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HP-002 Pre-Development Authority Analysis and Recommendation Report</dc:title>
  <dc:subject>Authority Manager pre-development operational handoff for HP-002</dc:subject>
  <dc:creator>ViriVr Authority Manager AI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