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Aptos Display" w:hAnsi="Aptos Display"/>
          <w:b/>
          <w:color w:val="17365D"/>
          <w:sz w:val="48"/>
        </w:rPr>
        <w:t>HP-003 Pre-Development Authority Analysis and Recommendation Report</w:t>
      </w:r>
    </w:p>
    <w:p>
      <w:pPr>
        <w:spacing w:after="360"/>
      </w:pPr>
      <w:r>
        <w:rPr>
          <w:rFonts w:ascii="Aptos" w:hAnsi="Aptos"/>
          <w:color w:val="5B6573"/>
          <w:sz w:val="24"/>
        </w:rPr>
        <w:t>Authority Manager AI Agent | ViriVr Digital Marketing Team</w:t>
      </w:r>
    </w:p>
    <w:tbl>
      <w:tblPr>
        <w:tblW w:type="auto" w:w="0"/>
        <w:jc w:val="center"/>
        <w:tblLook w:firstColumn="1" w:firstRow="1" w:lastColumn="0" w:lastRow="0" w:noHBand="0" w:noVBand="1" w:val="04A0"/>
      </w:tblPr>
      <w:tblGrid>
        <w:gridCol w:w="10656"/>
      </w:tblGrid>
      <w:tr>
        <w:tc>
          <w:tcPr>
            <w:tcW w:type="dxa" w:w="10296"/>
            <w:shd w:fill="EEF4FB"/>
            <w:tcMar>
              <w:top w:w="120" w:type="dxa"/>
              <w:start w:w="140" w:type="dxa"/>
              <w:bottom w:w="120" w:type="dxa"/>
              <w:end w:w="140" w:type="dxa"/>
            </w:tcMar>
          </w:tcPr>
          <w:p>
            <w:pPr>
              <w:spacing w:after="60"/>
            </w:pPr>
            <w:r>
              <w:rPr>
                <w:rFonts w:ascii="Aptos" w:hAnsi="Aptos"/>
                <w:b/>
                <w:color w:val="17365D"/>
                <w:sz w:val="22"/>
              </w:rPr>
              <w:t>Report status</w:t>
            </w:r>
          </w:p>
          <w:p>
            <w:pPr>
              <w:spacing w:after="0" w:line="259" w:lineRule="auto"/>
            </w:pPr>
            <w:r>
              <w:rPr>
                <w:rFonts w:ascii="Aptos" w:hAnsi="Aptos"/>
                <w:color w:val="232323"/>
                <w:sz w:val="19"/>
              </w:rPr>
              <w:t>Pre-development Authority Manager analysis and operational handoff. HP-003 has not been developed. This document is not an audit, completed-page review, publication approval, or specialist analysis.</w:t>
            </w:r>
          </w:p>
        </w:tc>
      </w:tr>
    </w:tbl>
    <w:p>
      <w:pPr>
        <w:spacing w:after="20"/>
      </w:pPr>
    </w:p>
    <w:tbl>
      <w:tblPr>
        <w:tblW w:type="auto" w:w="0"/>
        <w:jc w:val="center"/>
        <w:tblLayout w:type="fixed"/>
        <w:tblLook w:firstColumn="1" w:firstRow="1" w:lastColumn="0" w:lastRow="0" w:noHBand="0" w:noVBand="1" w:val="04A0"/>
      </w:tblPr>
      <w:tblGrid>
        <w:gridCol w:w="5328"/>
        <w:gridCol w:w="5328"/>
      </w:tblGrid>
      <w:tr>
        <w:tc>
          <w:tcPr>
            <w:tcW w:type="dxa" w:w="2232"/>
            <w:vAlign w:val="center"/>
            <w:tcMar>
              <w:top w:w="80" w:type="dxa"/>
              <w:start w:w="100" w:type="dxa"/>
              <w:bottom w:w="80" w:type="dxa"/>
              <w:end w:w="100" w:type="dxa"/>
            </w:tcMar>
            <w:shd w:fill="E8EEF7"/>
          </w:tcPr>
          <w:p>
            <w:pPr>
              <w:spacing w:after="0" w:before="0" w:line="252" w:lineRule="auto"/>
              <w:jc w:val="left"/>
            </w:pPr>
            <w:r/>
            <w:r>
              <w:rPr>
                <w:rFonts w:ascii="Aptos" w:hAnsi="Aptos"/>
                <w:b/>
                <w:color w:val="17365D"/>
                <w:sz w:val="18"/>
              </w:rPr>
              <w:t>Target</w:t>
            </w:r>
          </w:p>
        </w:tc>
        <w:tc>
          <w:tcPr>
            <w:tcW w:type="dxa" w:w="8064"/>
            <w:vAlign w:val="center"/>
            <w:tcMar>
              <w:top w:w="80" w:type="dxa"/>
              <w:start w:w="100" w:type="dxa"/>
              <w:bottom w:w="80" w:type="dxa"/>
              <w:end w:w="100" w:type="dxa"/>
            </w:tcMar>
          </w:tcPr>
          <w:p>
            <w:pPr>
              <w:spacing w:after="0" w:before="0" w:line="252" w:lineRule="auto"/>
              <w:jc w:val="left"/>
            </w:pPr>
            <w:r/>
            <w:r>
              <w:rPr>
                <w:rFonts w:ascii="Aptos" w:hAnsi="Aptos"/>
                <w:b w:val="0"/>
                <w:color w:val="222222"/>
                <w:sz w:val="18"/>
              </w:rPr>
              <w:t>HP-003 - /house-party/ideas/</w:t>
            </w:r>
          </w:p>
        </w:tc>
      </w:tr>
      <w:tr>
        <w:tc>
          <w:tcPr>
            <w:tcW w:type="dxa" w:w="2232"/>
            <w:vAlign w:val="center"/>
            <w:tcMar>
              <w:top w:w="80" w:type="dxa"/>
              <w:start w:w="100" w:type="dxa"/>
              <w:bottom w:w="80" w:type="dxa"/>
              <w:end w:w="100" w:type="dxa"/>
            </w:tcMar>
            <w:shd w:fill="E8EEF7"/>
          </w:tcPr>
          <w:p>
            <w:pPr>
              <w:spacing w:after="0" w:before="0" w:line="252" w:lineRule="auto"/>
              <w:jc w:val="left"/>
            </w:pPr>
            <w:r/>
            <w:r>
              <w:rPr>
                <w:rFonts w:ascii="Aptos" w:hAnsi="Aptos"/>
                <w:b/>
                <w:color w:val="17365D"/>
                <w:sz w:val="18"/>
              </w:rPr>
              <w:t>Planned page type</w:t>
            </w:r>
          </w:p>
        </w:tc>
        <w:tc>
          <w:tcPr>
            <w:tcW w:type="dxa" w:w="8064"/>
            <w:vAlign w:val="center"/>
            <w:tcMar>
              <w:top w:w="80" w:type="dxa"/>
              <w:start w:w="100" w:type="dxa"/>
              <w:bottom w:w="80" w:type="dxa"/>
              <w:end w:w="100" w:type="dxa"/>
            </w:tcMar>
          </w:tcPr>
          <w:p>
            <w:pPr>
              <w:spacing w:after="0" w:before="0" w:line="252" w:lineRule="auto"/>
              <w:jc w:val="left"/>
            </w:pPr>
            <w:r/>
            <w:r>
              <w:rPr>
                <w:rFonts w:ascii="Aptos" w:hAnsi="Aptos"/>
                <w:b w:val="0"/>
                <w:color w:val="222222"/>
                <w:sz w:val="18"/>
              </w:rPr>
              <w:t>P2 editorial planning guide</w:t>
            </w:r>
          </w:p>
        </w:tc>
      </w:tr>
      <w:tr>
        <w:tc>
          <w:tcPr>
            <w:tcW w:type="dxa" w:w="2232"/>
            <w:vAlign w:val="center"/>
            <w:tcMar>
              <w:top w:w="80" w:type="dxa"/>
              <w:start w:w="100" w:type="dxa"/>
              <w:bottom w:w="80" w:type="dxa"/>
              <w:end w:w="100" w:type="dxa"/>
            </w:tcMar>
            <w:shd w:fill="E8EEF7"/>
          </w:tcPr>
          <w:p>
            <w:pPr>
              <w:spacing w:after="0" w:before="0" w:line="252" w:lineRule="auto"/>
              <w:jc w:val="left"/>
            </w:pPr>
            <w:r/>
            <w:r>
              <w:rPr>
                <w:rFonts w:ascii="Aptos" w:hAnsi="Aptos"/>
                <w:b/>
                <w:color w:val="17365D"/>
                <w:sz w:val="18"/>
              </w:rPr>
              <w:t>Primary purpose</w:t>
            </w:r>
          </w:p>
        </w:tc>
        <w:tc>
          <w:tcPr>
            <w:tcW w:type="dxa" w:w="8064"/>
            <w:vAlign w:val="center"/>
            <w:tcMar>
              <w:top w:w="80" w:type="dxa"/>
              <w:start w:w="100" w:type="dxa"/>
              <w:bottom w:w="80" w:type="dxa"/>
              <w:end w:w="100" w:type="dxa"/>
            </w:tcMar>
          </w:tcPr>
          <w:p>
            <w:pPr>
              <w:spacing w:after="0" w:before="0" w:line="252" w:lineRule="auto"/>
              <w:jc w:val="left"/>
            </w:pPr>
            <w:r/>
            <w:r>
              <w:rPr>
                <w:rFonts w:ascii="Aptos" w:hAnsi="Aptos"/>
                <w:b w:val="0"/>
                <w:color w:val="222222"/>
                <w:sz w:val="18"/>
              </w:rPr>
              <w:t>Help organisers compare house-party formats by audience, space, effort, budget, weather and desired energy, then choose a practical next step.</w:t>
            </w:r>
          </w:p>
        </w:tc>
      </w:tr>
      <w:tr>
        <w:tc>
          <w:tcPr>
            <w:tcW w:type="dxa" w:w="2232"/>
            <w:vAlign w:val="center"/>
            <w:tcMar>
              <w:top w:w="80" w:type="dxa"/>
              <w:start w:w="100" w:type="dxa"/>
              <w:bottom w:w="80" w:type="dxa"/>
              <w:end w:w="100" w:type="dxa"/>
            </w:tcMar>
            <w:shd w:fill="E8EEF7"/>
          </w:tcPr>
          <w:p>
            <w:pPr>
              <w:spacing w:after="0" w:before="0" w:line="252" w:lineRule="auto"/>
              <w:jc w:val="left"/>
            </w:pPr>
            <w:r/>
            <w:r>
              <w:rPr>
                <w:rFonts w:ascii="Aptos" w:hAnsi="Aptos"/>
                <w:b/>
                <w:color w:val="17365D"/>
                <w:sz w:val="18"/>
              </w:rPr>
              <w:t>Authority scope</w:t>
            </w:r>
          </w:p>
        </w:tc>
        <w:tc>
          <w:tcPr>
            <w:tcW w:type="dxa" w:w="8064"/>
            <w:vAlign w:val="center"/>
            <w:tcMar>
              <w:top w:w="80" w:type="dxa"/>
              <w:start w:w="100" w:type="dxa"/>
              <w:bottom w:w="80" w:type="dxa"/>
              <w:end w:w="100" w:type="dxa"/>
            </w:tcMar>
          </w:tcPr>
          <w:p>
            <w:pPr>
              <w:spacing w:after="0" w:before="0" w:line="252" w:lineRule="auto"/>
              <w:jc w:val="left"/>
            </w:pPr>
            <w:r/>
            <w:r>
              <w:rPr>
                <w:rFonts w:ascii="Aptos" w:hAnsi="Aptos"/>
                <w:b w:val="0"/>
                <w:color w:val="222222"/>
                <w:sz w:val="18"/>
              </w:rPr>
              <w:t>Preliminary Authority, Trust, Evidence and Brand analysis; identify evidence needs, dependencies and route specialist work.</w:t>
            </w:r>
          </w:p>
        </w:tc>
      </w:tr>
      <w:tr>
        <w:tc>
          <w:tcPr>
            <w:tcW w:type="dxa" w:w="2232"/>
            <w:vAlign w:val="center"/>
            <w:tcMar>
              <w:top w:w="80" w:type="dxa"/>
              <w:start w:w="100" w:type="dxa"/>
              <w:bottom w:w="80" w:type="dxa"/>
              <w:end w:w="100" w:type="dxa"/>
            </w:tcMar>
            <w:shd w:fill="E8EEF7"/>
          </w:tcPr>
          <w:p>
            <w:pPr>
              <w:spacing w:after="0" w:before="0" w:line="252" w:lineRule="auto"/>
              <w:jc w:val="left"/>
            </w:pPr>
            <w:r/>
            <w:r>
              <w:rPr>
                <w:rFonts w:ascii="Aptos" w:hAnsi="Aptos"/>
                <w:b/>
                <w:color w:val="17365D"/>
                <w:sz w:val="18"/>
              </w:rPr>
              <w:t>Source priority</w:t>
            </w:r>
          </w:p>
        </w:tc>
        <w:tc>
          <w:tcPr>
            <w:tcW w:type="dxa" w:w="8064"/>
            <w:vAlign w:val="center"/>
            <w:tcMar>
              <w:top w:w="80" w:type="dxa"/>
              <w:start w:w="100" w:type="dxa"/>
              <w:bottom w:w="80" w:type="dxa"/>
              <w:end w:w="100" w:type="dxa"/>
            </w:tcMar>
          </w:tcPr>
          <w:p>
            <w:pPr>
              <w:spacing w:after="0" w:before="0" w:line="252" w:lineRule="auto"/>
              <w:jc w:val="left"/>
            </w:pPr>
            <w:r/>
            <w:r>
              <w:rPr>
                <w:rFonts w:ascii="Aptos" w:hAnsi="Aptos"/>
                <w:b w:val="0"/>
                <w:color w:val="222222"/>
                <w:sz w:val="18"/>
              </w:rPr>
              <w:t>S1 Handbook &gt; S2 Authority Manager Specification &gt; S3 Audit Criteria Framework &gt; S4 approved architecture and Project Sources.</w:t>
            </w:r>
          </w:p>
        </w:tc>
      </w:tr>
    </w:tbl>
    <w:p/>
    <w:p>
      <w:pPr>
        <w:pStyle w:val="Heading1"/>
        <w:keepNext/>
        <w:spacing w:before="200" w:after="80"/>
      </w:pPr>
      <w:r>
        <w:t>1. Source Basis and Role Boundary</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64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396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Approved source</w:t>
            </w:r>
          </w:p>
        </w:tc>
        <w:tc>
          <w:tcPr>
            <w:tcW w:type="dxa" w:w="56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Use in this handoff</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7"/>
              </w:rPr>
              <w:t>S1</w:t>
            </w:r>
          </w:p>
        </w:tc>
        <w:tc>
          <w:tcPr>
            <w:tcW w:type="dxa" w:w="3960"/>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Digital Marketing Centre of Excellence Graduate Handbook, v1.0, Aug 2026</w:t>
            </w:r>
          </w:p>
        </w:tc>
        <w:tc>
          <w:tcPr>
            <w:tcW w:type="dxa" w:w="5688"/>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Authority review purpose; Authority Manager charter; specialist boundaries; controlled handoffs and escalation.</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7"/>
              </w:rPr>
              <w:t>S2</w:t>
            </w:r>
          </w:p>
        </w:tc>
        <w:tc>
          <w:tcPr>
            <w:tcW w:type="dxa" w:w="3960"/>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Authority Manager Agent Specification, updated 16 Sep 2026</w:t>
            </w:r>
          </w:p>
        </w:tc>
        <w:tc>
          <w:tcPr>
            <w:tcW w:type="dxa" w:w="5688"/>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Evidence/claim validation, Brand Stewardship, governance, specialist routing and escalation.</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7"/>
              </w:rPr>
              <w:t>S3</w:t>
            </w:r>
          </w:p>
        </w:tc>
        <w:tc>
          <w:tcPr>
            <w:tcW w:type="dxa" w:w="3960"/>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Authority Manager Audit Criteria Framework v1, 16 Sep 2026</w:t>
            </w:r>
          </w:p>
        </w:tc>
        <w:tc>
          <w:tcPr>
            <w:tcW w:type="dxa" w:w="5688"/>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Working analysis lens for authority, trust, evidence/provenance, claim verification, brand, links, safety and escalation. Used here as a pre-development lens, not pass/fail audit criteria.</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7"/>
              </w:rPr>
              <w:t>S4</w:t>
            </w:r>
          </w:p>
        </w:tc>
        <w:tc>
          <w:tcPr>
            <w:tcW w:type="dxa" w:w="3960"/>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Viri_VR_House_Party_Content_Authority_Architecture_v1</w:t>
            </w:r>
          </w:p>
        </w:tc>
        <w:tc>
          <w:tcPr>
            <w:tcW w:type="dxa" w:w="5688"/>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HP-003 page brief, keywords, evidence requirements, internal relationships, legacy-content migration, existing evidence, SERP/competitor observations and measurement plan.</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7"/>
              </w:rPr>
              <w:t>S5</w:t>
            </w:r>
          </w:p>
        </w:tc>
        <w:tc>
          <w:tcPr>
            <w:tcW w:type="dxa" w:w="3960"/>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Human-approved project instruction, 22 Sep 2026</w:t>
            </w:r>
          </w:p>
        </w:tc>
        <w:tc>
          <w:tcPr>
            <w:tcW w:type="dxa" w:w="5688"/>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Ajith Ratnarajah is ViriVr CEO, authorised operational owner and an approved source of operational evidence. Used for operational ownership, confirmation and evidence routing only.</w:t>
            </w:r>
          </w:p>
        </w:tc>
      </w:tr>
    </w:tbl>
    <w:p>
      <w:pPr>
        <w:spacing w:after="40"/>
      </w:pPr>
    </w:p>
    <w:p>
      <w:pPr>
        <w:spacing w:after="100" w:line="259" w:lineRule="auto"/>
      </w:pPr>
      <w:r>
        <w:rPr>
          <w:rFonts w:ascii="Aptos" w:hAnsi="Aptos"/>
          <w:b/>
          <w:color w:val="232323"/>
          <w:sz w:val="21"/>
        </w:rPr>
        <w:t>Role boundary:</w:t>
      </w:r>
      <w:r>
        <w:rPr>
          <w:rFonts w:ascii="Aptos" w:hAnsi="Aptos"/>
          <w:color w:val="232323"/>
          <w:sz w:val="21"/>
        </w:rPr>
        <w:t xml:space="preserve"> The Authority Manager may identify preliminary authority, trust, evidence and brand gaps and coordinate handoffs. Detailed backlink-quality/referring-domain work belongs to the Backlink Auditor; Digital PR opportunity development belongs to the Digital PR Specialist; deeper proof/citation/brand-presence work belongs to the Brand Authority Builder. Adjacent Content, Technical SEO, Strategy/Search and Analytics work remains with those departments.</w:t>
      </w:r>
    </w:p>
    <w:p>
      <w:pPr>
        <w:spacing w:after="100" w:line="259" w:lineRule="auto"/>
      </w:pPr>
      <w:r>
        <w:rPr>
          <w:rFonts w:ascii="Aptos" w:hAnsi="Aptos"/>
          <w:b/>
          <w:color w:val="232323"/>
          <w:sz w:val="21"/>
        </w:rPr>
        <w:t>Approved operational owner evidence:</w:t>
      </w:r>
      <w:r>
        <w:rPr>
          <w:rFonts w:ascii="Aptos" w:hAnsi="Aptos"/>
          <w:color w:val="232323"/>
          <w:sz w:val="21"/>
        </w:rPr>
        <w:t xml:space="preserve"> Ajith Ratnarajah is the authorised operational owner for ViriVr, the CEO of ViriVr and an approved source of operational evidence. Ajith may provide or confirm ViriVr-specific operational facts and identify operational source material. This does not make unsupplied facts verified, does not make Ajith the automatic privacy/legal/safety specialist owner, and does not replace documentary proof or existing governance gates.</w:t>
      </w:r>
    </w:p>
    <w:p>
      <w:pPr>
        <w:pStyle w:val="Heading1"/>
        <w:keepNext/>
        <w:spacing w:before="200" w:after="80"/>
      </w:pPr>
      <w:r>
        <w:t>2. Development Readiness Status</w:t>
      </w:r>
    </w:p>
    <w:tbl>
      <w:tblPr>
        <w:tblW w:type="auto" w:w="0"/>
        <w:jc w:val="center"/>
        <w:tblLook w:firstColumn="1" w:firstRow="1" w:lastColumn="0" w:lastRow="0" w:noHBand="0" w:noVBand="1" w:val="04A0"/>
      </w:tblPr>
      <w:tblGrid>
        <w:gridCol w:w="10656"/>
      </w:tblGrid>
      <w:tr>
        <w:tc>
          <w:tcPr>
            <w:tcW w:type="dxa" w:w="10296"/>
            <w:shd w:fill="FFF2CC"/>
            <w:tcMar>
              <w:top w:w="120" w:type="dxa"/>
              <w:start w:w="140" w:type="dxa"/>
              <w:bottom w:w="120" w:type="dxa"/>
              <w:end w:w="140" w:type="dxa"/>
            </w:tcMar>
          </w:tcPr>
          <w:p>
            <w:pPr>
              <w:spacing w:after="60"/>
            </w:pPr>
            <w:r>
              <w:rPr>
                <w:rFonts w:ascii="Aptos" w:hAnsi="Aptos"/>
                <w:b/>
                <w:color w:val="9C6500"/>
                <w:sz w:val="22"/>
              </w:rPr>
              <w:t>READY FOR DEVELOPMENT WITH CONDITIONS - EVIDENCE AND OWNER INPUT REQUIRED</w:t>
            </w:r>
          </w:p>
          <w:p>
            <w:pPr>
              <w:spacing w:after="0" w:line="259" w:lineRule="auto"/>
            </w:pPr>
            <w:r>
              <w:rPr>
                <w:rFonts w:ascii="Aptos" w:hAnsi="Aptos"/>
                <w:color w:val="232323"/>
                <w:sz w:val="19"/>
              </w:rPr>
              <w:t>HP-003 has a clear approved informational/commercial-investigation role and can progress into structured development. Comparative factual claims should remain conditional until the evidence required by the architecture is supplied: an original comparison methodology, ViriVr event-planner input, tested space/group-size ranges, real run sheets, original party images and approved authoritative safety guidance where relevant. Ajith Ratnarajah may provide or identify ViriVr operational evidence, but broader comparison and safety claims still require their own traceable support.</w:t>
            </w:r>
          </w:p>
        </w:tc>
      </w:tr>
    </w:tbl>
    <w:p>
      <w:pPr>
        <w:spacing w:after="20"/>
      </w:pPr>
    </w:p>
    <w:p>
      <w:pPr>
        <w:spacing w:after="100" w:line="259" w:lineRule="auto"/>
      </w:pPr>
      <w:r>
        <w:rPr>
          <w:rFonts w:ascii="Aptos" w:hAnsi="Aptos"/>
          <w:color w:val="232323"/>
          <w:sz w:val="21"/>
        </w:rPr>
        <w:t>This readiness status is a development-handoff control only. It does not change publication approval, specialist ownership, or any existing governance gate.</w:t>
      </w:r>
    </w:p>
    <w:p>
      <w:pPr>
        <w:pStyle w:val="Heading1"/>
        <w:keepNext/>
        <w:spacing w:before="200" w:after="80"/>
      </w:pPr>
      <w:r>
        <w:t>3. Operational Findings Register</w:t>
      </w:r>
    </w:p>
    <w:tbl>
      <w:tblPr>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57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108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Issue type</w:t>
            </w:r>
          </w:p>
        </w:tc>
        <w:tc>
          <w:tcPr>
            <w:tcW w:type="dxa" w:w="20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Finding</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Evidence source</w:t>
            </w:r>
          </w:p>
        </w:tc>
        <w:tc>
          <w:tcPr>
            <w:tcW w:type="dxa" w:w="108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Status</w:t>
            </w:r>
          </w:p>
        </w:tc>
        <w:tc>
          <w:tcPr>
            <w:tcW w:type="dxa" w:w="201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Required action</w:t>
            </w:r>
          </w:p>
        </w:tc>
        <w:tc>
          <w:tcPr>
            <w:tcW w:type="dxa" w:w="165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Owner</w:t>
            </w:r>
          </w:p>
        </w:tc>
        <w:tc>
          <w:tcPr>
            <w:tcW w:type="dxa" w:w="504"/>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Priority</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F-01</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Authority / scope</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HP-003 has a clear broad informational comparison job and is intentionally separate from HP-001. The architecture requires an evidence-led, neutral comparison that is useful before it sells, with qualified readers routed to HP-001 rather than turning HP-003 into another commercial service page.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Content Briefs</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Supported</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Preserve the neutral comparison role, answer the planning questions first and use HP-001 only as the hosted-VR commercial next step.</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Content/page-development team</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F-02</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Authority / evidence gap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page is expected to compare formats by age, space, budget, effort, weather and participation, but the required original comparison methodology is not supplied. Without it, rankings such as “best”, suitability judgements and trade-off labels risk appearing subjective or promotional.</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Create and retain the comparison methodology, including the criteria used and the evidence/input behind each comparative judgement, before finalising evidence-led comparison claims.</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 Strategy owner; Authority Manager evidence oversight</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F-03</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input / evidence gap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ViriVr event-planner input and real run sheets are explicit evidence requirements, but neither is present in the approved source pack. Ajith Ratnarajah can provide or identify the relevant ViriVr operational material without being treated as the event-planner expert unless that is separately evidenced.</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Owner Input</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Ask Ajith to provide or identify dated ViriVr event-planner input and real run sheets; retain provenance and use only what is actually supplied or confirmed.</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F-04</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Trust / evidence gap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Tested space/group-size ranges are required, but no tested ranges are supplied. Claims that an activity suits a particular space, guest number or age group therefore need evidence rather than inference. ViriVr-specific operational ranges may be confirmed through Ajith; broader non-VR suitability still requires the comparison methodology or other approved evidence.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tested ranges and distinguish ViriVr-specific operational evidence from general party-format comparison evidence. Do not generalise ViriVr operating limits to unrelated activities.</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for ViriVr operational ranges; Content/Strategy for broader comparison evidence</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Trust / safety evidence</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brief calls for links to authoritative safety guidance where relevant, but no approved safety source is named. A new external source cannot be silently adopted, and Ajith is not automatically the legal/safety specialist owner.</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S1-S3 governance</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Requires Human Clarification</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Identify and approve the appropriate authoritative safety source before safety guidance is relied on. Route any specialist safety/legal interpretation to the authorised owner rather than resolving it within Authority Management.</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Human Authority Manager to approve/clarify source; authorised safety/legal owner if required</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F-06</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Authority / proof asset gap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party images are a required proof asset, but approved images and permission records are not supplied. Ajith may provide or identify operational assets; that does not by itself prove customer consent or usage rights.</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Specialist Follow-up</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original relevant images with provenance and permission records. Once approved, hand the proof set to the Brand Authority Builder for deeper proof-asset/trust-signal assessment.</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business asset/consent owner + Brand Authority Builder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F-07</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Keyword evidence limitation</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“house party ideas” is mapped to HP-003 with 50 nominal average monthly searches and Low competition in the supplied Melbourne-segmented export. The secondary HP-003 keywords are approved architecture inputs but are not separately measured rows in the supplied Keyword Map.</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Keyword Map + Evidence</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Verified input with limitation</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the supplied keywords as inputs only. Do not present 50 as national demand, forecast performance, or independently change/finalise keyword strategy.</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Strategy/Search owner if further validation or change is required</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Medium</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F-08</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Legacy content / brand credibility</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old /top-virtual-reality-party-ideas/ URL currently redirects to /vr-party/ and is assigned for transfer to HP-003 after archived content review. It recorded 19 organic sessions and 0 configured conversions in the reviewed period. Copying legacy material without review could carry stale, weak or untraceable claims into the new guide.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Consolidation + Evidence</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Verified evidence with migration dependency</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should review the archived material for uniqueness, factual currency and provenance before reuse. Technical SEO should implement a direct redirect to HP-003 after launch and avoid a redirect chain.</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 Technical SEO; Authority Manager evidence/brand review</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F-09</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Dependency / internal relationships</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HP-003 content brief lists HP-001, HP-004, HP-005 and VRP-001 as internal-link targets, while the dedicated Internal Links tab explicitly defines HP-001 -&gt; HP-003 and HP-003 -&gt; HP-001 only. The final supporting-link implementation is therefore not fully specified in the link table.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 Internal Links</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Department Clarification</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Technical SEO should confirm the final source-target plan and preserve HP-003 as the broad ideas owner while HP-001 remains the hosted-service commercial owner.</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Technical SEO Manager / Internal Linking Architect + Content</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Medium</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F-10</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Competitor / SERP evidence limitation</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Approved evidence says the relevant SERP pattern includes informational listicles and mobile entertainment providers and that live results for the HP-003 concept are predominantly detailed informational guides. The named KaptureVR observation concerns mobile-service clarity and is relevant only to the hosted-VR option, not proof that any comparison format, competitor or authority position will perform better.</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Summary + Architecture + Evidence</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Verified observation / limited scope</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the observation only to support a useful, detailed and operationally clear format. Route deeper competitor coverage, backlink or proof analysis to the correct Authority specialist; do not infer competitor performance.</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Authority Manager routing; Digital PR / Backlink Auditor / Brand Authority Builder as applicable</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Medium</w:t>
            </w:r>
          </w:p>
        </w:tc>
      </w:tr>
      <w:tr>
        <w:trPr>
          <w:cantSplit/>
        </w:trP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F-11</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Measurement dependency</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Existing Search Console/GA4 evidence is site-level or legacy-page evidence, not HP-003 performance. Configured conversions are not verified as leads/bookings. The approved measurement plan separately states that if informational pages gain sessions but fewer than 10% continue to a commercial owner after three months, decision modules and links should be strengthened.</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Evidence + Measurement Plan</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Verified limitation / post-launch dependency</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Analytics should validate governed events and measure HP-003 after launch using the approved plan. Do not use legacy sessions or configured conversions as proof that HP-003 will rank, convert or create authority.</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Analytics owner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Medium</w:t>
            </w:r>
          </w:p>
        </w:tc>
      </w:tr>
    </w:tbl>
    <w:p>
      <w:pPr>
        <w:spacing w:after="40"/>
      </w:pPr>
    </w:p>
    <w:p>
      <w:pPr>
        <w:spacing w:after="100" w:line="259" w:lineRule="auto"/>
      </w:pPr>
      <w:r>
        <w:rPr>
          <w:rFonts w:ascii="Aptos" w:hAnsi="Aptos"/>
          <w:color w:val="232323"/>
          <w:sz w:val="21"/>
        </w:rPr>
        <w:t>Priority is used only for implementation sequencing in this handoff. It is not a formal Minor/Major/Critical governance severity rating; those thresholds remain not formally defined in the approved Authority Manager framework.</w:t>
      </w:r>
    </w:p>
    <w:p>
      <w:pPr>
        <w:pStyle w:val="Heading1"/>
        <w:keepNext/>
        <w:spacing w:before="200" w:after="80"/>
      </w:pPr>
      <w:r>
        <w:t>4. Claim-to-Evidence Table</w:t>
      </w:r>
    </w:p>
    <w:tbl>
      <w:tblPr>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64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216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Planned factual claim</w:t>
            </w:r>
          </w:p>
        </w:tc>
        <w:tc>
          <w:tcPr>
            <w:tcW w:type="dxa" w:w="25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Evidence required</w:t>
            </w:r>
          </w:p>
        </w:tc>
        <w:tc>
          <w:tcPr>
            <w:tcW w:type="dxa" w:w="1224"/>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Status</w:t>
            </w:r>
          </w:p>
        </w:tc>
        <w:tc>
          <w:tcPr>
            <w:tcW w:type="dxa" w:w="180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Source / responsible owner</w:t>
            </w:r>
          </w:p>
        </w:tc>
        <w:tc>
          <w:tcPr>
            <w:tcW w:type="dxa" w:w="20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Downstream instruction</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C-01</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 particular house-party format is “best” or most suitable for a stated age group.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comparison methodology plus approved evidence/input supporting the age-fit judgement.</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 Strategy evidence owner; Ajith only for ViriVr-specific operational input</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Do not use “best” as an unsupported conclusion. Tie the recommendation to explicit criteria and approved evidence.</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C-02</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 particular format is suitable for a stated space size or group-size band.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Tested space/group-size ranges plus comparison methodology; ViriVr-specific operational ranges may be confirmed by Ajith.</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Owner Input</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for ViriVr operational ranges; Content/Strategy for non-VR formats</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only tested or otherwise approved ranges and clearly separate ViriVr limits from general-party advice.</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C-03</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DIY and hosted entertainment differ in host effort as described.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methodology, ViriVr event-planner input and/or real run sheets showing the basis for the comparison.</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to provide/identify ViriVr event-planner evidence; Content/Strategy methodology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transparent comparison criteria; avoid unsupported claims that hosted entertainment always reduces effort.</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C-04</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Indoor-ready formats are more resilient to weather or reduce weather risk in the stated way.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Comparison methodology plus approved evidence describing the conditions and limitations behind the judgement.</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Content/Strategy evidence owner; operational source where a ViriVr service claim is involved</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qualified wording and do not promise weather outcomes that are not evidenced.</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C-05</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 format keeps all guests involved or improves participation/engagement.</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comparison methodology, real run sheets and relevant event-planner observations or other approved evidence.</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Content/Strategy; Ajith to provide/identify ViriVr operational evidence where relevant</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Avoid guarantees about engagement. Describe the evidence-backed participation design and its limits.</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C-06</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 sample event flow or run-sheet timing works as described.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Real run sheets plus dated ViriVr event-planner/operational input for any ViriVr-specific timing.</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Owner Input</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to provide/identify operational run sheets; Content owner for presentation</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real, traceable examples or label scenarios clearly; do not invent operational timings.</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C-07</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Hosted VR suits stated ages, groups or spaces and has specific operational characteristics.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Current ViriVr operational evidence for any hosted-VR age, group, space, setup or service claim.</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 HP-001 evidence pack where approved</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Keep HP-003 concise and route service detail to HP-001. Do not import unverified HP-001 claims into the comparison guide.</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C-08</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 format belongs in a particular budget/cost band or hosted VR compares to DIY by price/cost.</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methodology and current approved cost inputs. Any ViriVr price used requires dated owner-confirmed pricing; non-ViriVr cost claims require their own approved source.</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Content/Strategy; Ajith Ratnarajah for ViriVr pricing if used</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relative budget categories only if the methodology supports them; do not invent dollar values or market costs.</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C-09</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Safety guidance or a claim that an activity is safe under stated conditions.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Approved authoritative safety guidance and any applicable current ViriVr operational safety evidence.</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Requires Human Clarification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Human Authority Manager to approve/clarify source; authorised safety/legal owner where required; Ajith for operational facts only</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Do not publish safety assurances until the relevant source is approved and traceable.</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C-10</w:t>
            </w:r>
          </w:p>
        </w:tc>
        <w:tc>
          <w:tcPr>
            <w:tcW w:type="dxa" w:w="216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party images/examples depict real events or customers and may be used as proof.</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asset, event/customer provenance and required permission/consent records.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may provide/identify assets; business asset/consent owner; Brand Authority Builder follow-up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only attributable, permissioned proof. Do not treat asset identification alone as consent or authority proof.</w:t>
            </w:r>
          </w:p>
        </w:tc>
      </w:tr>
    </w:tbl>
    <w:p>
      <w:pPr>
        <w:spacing w:after="40"/>
      </w:pPr>
    </w:p>
    <w:p>
      <w:pPr>
        <w:pStyle w:val="Heading1"/>
        <w:keepNext/>
        <w:spacing w:before="200" w:after="80"/>
      </w:pPr>
      <w:r>
        <w:t>5. Outstanding Issues and Handoffs Register</w:t>
      </w:r>
    </w:p>
    <w:tbl>
      <w:tblPr>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64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Refs</w:t>
            </w:r>
          </w:p>
        </w:tc>
        <w:tc>
          <w:tcPr>
            <w:tcW w:type="dxa" w:w="144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Issue type</w:t>
            </w:r>
          </w:p>
        </w:tc>
        <w:tc>
          <w:tcPr>
            <w:tcW w:type="dxa" w:w="25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Outstanding item</w:t>
            </w:r>
          </w:p>
        </w:tc>
        <w:tc>
          <w:tcPr>
            <w:tcW w:type="dxa" w:w="223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Owner / handoff</w:t>
            </w:r>
          </w:p>
        </w:tc>
        <w:tc>
          <w:tcPr>
            <w:tcW w:type="dxa" w:w="237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When required / next step</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O-01</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F-02; C-01, C-03 to C-05, C-08</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gap / department handoff</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comparison methodology and evidence basis for comparative judgements have not been supplied.</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 Strategy owner</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Build the methodology and evidence map before final comparative claims are locked. Authority Manager retains provenance checking, issue tracking and review; it does not author the comparison strategy on the department's behalf.</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O-02</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F-03, F-04; C-02, C-03, C-05 to C-08</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input / evidence gap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ViriVr event-planner input, real run sheets and tested ViriVr ranges are required but not supplied.</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CEO / authorised operational owner / approved operational evidence source</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should provide or identify the actual operational material. Authority Manager records the source/date and prevents unsupplied operational assumptions from becoming facts.</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O-03</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F-05; C-09</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Human clarification + evidence gap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No approved authoritative safety source is named for the guidance envisaged by HP-003.</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Human Authority Manager to approve/clarify source; authorised safety/legal owner if specialist interpretation is needed</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Resolve before safety guidance is finalised. Authority Manager tracks the evidence and escalation but does not make safety/legal determinations.</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O-04</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F-06; C-10</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gap + specialist follow-up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party proof assets and permission/provenance records are outstanding.</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business asset-consent owner -&gt; Brand Authority Builder</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permissioned assets first, then hand the approved set to the Brand Authority Builder for proof/citation/trust-signal analysis. Authority Manager reviews the returned output and evidence trail.</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O-05</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F-08</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Department dependency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legacy ideas URL and archived content require review and redirect migration.</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 Technical SEO; Backlink Auditor only if detailed link-value/risk analysis is needed</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 reviews what is safe/useful to retain; Technical SEO owns the direct redirect. If external-link value needs assessment, route that bounded question to the Backlink Auditor. Authority Manager checks provenance and brand risk.</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O-06</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F-09</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Department dependency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complete HP-003 internal-link implementation is not fully enumerated in the Internal Links tab.</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Technical SEO + Content</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Confirm final source-target links while preserving page ownership. Authority Manager records the dependency and later reviews alignment; it does not design the technical link architecture.</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O-07</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F-10</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Specialist follow-up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No approved detailed competitor PR, backlink/referring-domain or brand-authority dataset exists for HP-003.</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Digital PR Specialist / Backlink Auditor / Brand Authority Builder as applicable</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Only hand off if deeper competitor authority analysis is required. Authority Manager retains scope control and must not convert the limited SERP observation into a performance conclusion.</w:t>
            </w:r>
          </w:p>
        </w:tc>
      </w:tr>
      <w:tr>
        <w:trPr>
          <w:cantSplit/>
        </w:trP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O-08</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F-07, F-11</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Department dependency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Keyword validation beyond the supplied inputs and governed post-launch measurement sit outside Authority Manager ownership.</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Strategy/Search + Analytics</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supplied keywords unchanged for this handoff. Strategy/Search owns any revalidation/change; Analytics owns event validation and post-launch reporting. Authority Manager uses the returned evidence for later authority review.</w:t>
            </w:r>
          </w:p>
        </w:tc>
      </w:tr>
    </w:tbl>
    <w:p>
      <w:pPr>
        <w:spacing w:after="40"/>
      </w:pPr>
    </w:p>
    <w:p>
      <w:pPr>
        <w:pStyle w:val="Heading1"/>
        <w:keepNext/>
        <w:spacing w:before="200" w:after="80"/>
      </w:pPr>
      <w:r>
        <w:t>6. Supporting Evidence Register</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7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345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Verified evidence</w:t>
            </w:r>
          </w:p>
        </w:tc>
        <w:tc>
          <w:tcPr>
            <w:tcW w:type="dxa" w:w="223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Source / provenance</w:t>
            </w:r>
          </w:p>
        </w:tc>
        <w:tc>
          <w:tcPr>
            <w:tcW w:type="dxa" w:w="38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Use / limitation</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SE-01</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HP-003 is a planned P2 editorial planning guide at /house-party/ideas/ with Informational; Commercial investigation intent and a Discovery; Consideration role.</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Supports the page purpose and scope; it does not prove the future page will perform.</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SE-02</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HP-003 brief explicitly requires an original comparison methodology, ViriVr event-planner input, tested space/group-size ranges, real run sheets, original party images and links to authoritative safety guidance where relevant.</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These are evidence requirements, not evidence that the underlying material has already been supplied.</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SE-03</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“house party ideas” is mapped to HP-003 with 50 nominal average monthly searches, Low competition and competition index 0 in the supplied Melbourne-segmented Keyword Planner export.</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Keyword Map + Evidence</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Approved keyword input only; not national demand, forecast traffic or guaranteed opportunity.</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SE-04</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architecture says live results for the HP-003 concept are predominantly detailed informational guides; the Summary records a broader SERP pattern of informational listicles plus mobile entertainment providers.</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Summary</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Supports an answer-first, useful-before-selling format; does not prove a particular structure will rank.</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SE-05</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old /top-virtual-reality-party-ideas/ path currently redirects to /vr-party/ and is assigned to HP-003 after archived-content review. GA4 recorded 19 organic sessions and 0 configured conversions for the old ideas path in the reviewed period.</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Consolidation + Evidence</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Useful migration context only. Configured conversions are not verified as leads/bookings and legacy content must be reviewed before reuse.</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SE-06</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Site-level GSC house/home/teen party visibility was 47 impressions and 0 clicks in the reviewed period.</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Evidence</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Shows early topic relevance only; it is not HP-003 performance evidence.</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SE-07</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measurement plan states that if informational pages gain sessions but fewer than 10% continue to a commercial owner after three months, in-content decision modules and links should be strengthened. It also requires verified facts/original proof before publication and treats AI-answer visibility as volatile.</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Measurement Plan</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Approved post-launch decision rule and content-quality control; not a pre-launch performance guarantee.</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SE-08</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KaptureVR observation (reviewed 2 Sep 2026): prominent we-come-to-you, setup, supervision, safety and flexible-package messaging.</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Evidence</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Relevant only as a content-pattern signal for the hosted-VR option; no competitor ranking, backlink, coverage, conversion or authority inference.</w:t>
            </w:r>
          </w:p>
        </w:tc>
      </w:tr>
      <w:tr>
        <w:trPr>
          <w:cantSplit/>
        </w:trP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SE-09</w:t>
            </w:r>
          </w:p>
        </w:tc>
        <w:tc>
          <w:tcPr>
            <w:tcW w:type="dxa" w:w="34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is ViriVr CEO, authorised operational owner and an approved source of operational evidence.</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S5 Human-approved project instruction, 22 Sep 2026</w:t>
            </w:r>
          </w:p>
        </w:tc>
        <w:tc>
          <w:tcPr>
            <w:tcW w:type="dxa" w:w="38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may confirm or identify ViriVr operational evidence; this does not verify unsupplied facts or replace non-operational specialist evidence.</w:t>
            </w:r>
          </w:p>
        </w:tc>
      </w:tr>
    </w:tbl>
    <w:p>
      <w:pPr>
        <w:spacing w:after="40"/>
      </w:pPr>
    </w:p>
    <w:p>
      <w:pPr>
        <w:pStyle w:val="Heading1"/>
        <w:keepNext/>
        <w:spacing w:before="200" w:after="80"/>
      </w:pPr>
      <w:r>
        <w:t>7. Handoff Summary</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44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Handoff category</w:t>
            </w:r>
          </w:p>
        </w:tc>
        <w:tc>
          <w:tcPr>
            <w:tcW w:type="dxa" w:w="403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What the next role needs to know</w:t>
            </w:r>
          </w:p>
        </w:tc>
        <w:tc>
          <w:tcPr>
            <w:tcW w:type="dxa" w:w="237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Owner</w:t>
            </w:r>
          </w:p>
        </w:tc>
        <w:tc>
          <w:tcPr>
            <w:tcW w:type="dxa" w:w="25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Next step</w:t>
            </w:r>
          </w:p>
        </w:tc>
      </w:tr>
      <w:tr>
        <w:trPr>
          <w:cantSplit/>
        </w:trP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Can use now</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Approved HP-003 page purpose and neutral comparison role; supplied keywords as inputs; explicit evidence categories; HP-001 commercial relationship; legacy ideas-page migration instruction; approved measurement controls; Ajith Ratnarajah as ViriVr operational evidence source.</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Content/page-development team; Strategy/Technical SEO as relevant</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Proceed with page structure and evidence-led drafting. Treat the approved architecture as requirements, not proof of the comparison claims it calls for.</w:t>
            </w:r>
          </w:p>
        </w:tc>
      </w:tr>
      <w:tr>
        <w:trPr>
          <w:cantSplit/>
        </w:trP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Evidence / owner input</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Comparison methodology, ViriVr event-planner input, tested ranges, real run sheets, original permissioned images, and evidence for age/space/budget/effort/weather/participation judgements. ViriVr-specific operational facts may be confirmed or sourced through Ajith.</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Content/Strategy for methodology; Ajith Ratnarajah for ViriVr operational evidence; asset owner for permissions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Collect and retain the actual evidence before finalising the affected factual comparisons or examples.</w:t>
            </w:r>
          </w:p>
        </w:tc>
      </w:tr>
      <w:tr>
        <w:trPr>
          <w:cantSplit/>
        </w:trP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Human clarification</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The authoritative safety source is not identified. Any new external safety source or specialist legal/safety interpretation requires the appropriate approval/owner rather than assumption.</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Human Authority Manager; authorised safety/legal owner if required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Approve/clarify the source before safety guidance is relied on in the page.</w:t>
            </w:r>
          </w:p>
        </w:tc>
      </w:tr>
      <w:tr>
        <w:trPr>
          <w:cantSplit/>
        </w:trP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Specialist / department follow-up</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Proof/citation depth; legacy redirect and internal links; optional competitor authority analysis; keyword changes if any; analytics/event validation.</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Brand Authority Builder; Content; Technical SEO; Digital PR Specialist; Backlink Auditor; Strategy/Search; Analytics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Authority Manager prepares/routs bounded work, preserves provenance, reviews returned outputs and escalates unresolved conflicts without taking over specialist implementation.</w:t>
            </w:r>
          </w:p>
        </w:tc>
      </w:tr>
    </w:tbl>
    <w:p>
      <w:pPr>
        <w:spacing w:after="40"/>
      </w:pPr>
    </w:p>
    <w:tbl>
      <w:tblPr>
        <w:tblW w:type="auto" w:w="0"/>
        <w:jc w:val="center"/>
        <w:tblLook w:firstColumn="1" w:firstRow="1" w:lastColumn="0" w:lastRow="0" w:noHBand="0" w:noVBand="1" w:val="04A0"/>
      </w:tblPr>
      <w:tblGrid>
        <w:gridCol w:w="10656"/>
      </w:tblGrid>
      <w:tr>
        <w:tc>
          <w:tcPr>
            <w:tcW w:type="dxa" w:w="10296"/>
            <w:shd w:fill="EAF2F8"/>
            <w:tcMar>
              <w:top w:w="120" w:type="dxa"/>
              <w:start w:w="140" w:type="dxa"/>
              <w:bottom w:w="120" w:type="dxa"/>
              <w:end w:w="140" w:type="dxa"/>
            </w:tcMar>
          </w:tcPr>
          <w:p>
            <w:pPr>
              <w:spacing w:after="60"/>
            </w:pPr>
            <w:r>
              <w:rPr>
                <w:rFonts w:ascii="Aptos" w:hAnsi="Aptos"/>
                <w:b/>
                <w:color w:val="17365D"/>
                <w:sz w:val="22"/>
              </w:rPr>
              <w:t>Authority Manager conclusion</w:t>
            </w:r>
          </w:p>
          <w:p>
            <w:pPr>
              <w:spacing w:after="0" w:line="259" w:lineRule="auto"/>
            </w:pPr>
            <w:r>
              <w:rPr>
                <w:rFonts w:ascii="Aptos" w:hAnsi="Aptos"/>
                <w:color w:val="232323"/>
                <w:sz w:val="19"/>
              </w:rPr>
              <w:t>HP-003 has a clear approved informational role and is suitable to progress with evidence and owner-input conditions. The key next inputs are the comparison methodology, ViriVr event-planner material, tested ranges, real run sheets, original permissioned images and an approved authoritative safety source where relevant. Ajith Ratnarajah should provide or identify ViriVr operational evidence and any confirmations should be retained with provenance; those confirmations should not be extended to general non-ViriVr claims without separate support. Department and specialist handoffs should proceed as recorded above. No audit result has been assigned.</w:t>
            </w:r>
          </w:p>
        </w:tc>
      </w:tr>
    </w:tbl>
    <w:p>
      <w:pPr>
        <w:spacing w:after="20"/>
      </w:pP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ViriVr | HP-003 Pre-Development Authority Analysis | 22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HP-003 Pre-Development Authority Analysis and Recommendation Report</dc:title>
  <dc:subject>Authority Manager pre-development operational handoff for HP-003</dc:subject>
  <dc:creator>ViriVr Authority Manager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