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before="1240"/>
      </w:pPr>
      <w:r>
        <w:rPr>
          <w:rFonts w:ascii="Liberation Sans" w:hAnsi="Liberation Sans"/>
          <w:b/>
          <w:color w:val="17365D"/>
          <w:sz w:val="52"/>
        </w:rPr>
        <w:t>HP-002 Pre Development</w:t>
      </w:r>
    </w:p>
    <w:p>
      <w:pPr>
        <w:spacing w:after="240"/>
      </w:pPr>
      <w:r>
        <w:rPr>
          <w:rFonts w:ascii="Liberation Sans" w:hAnsi="Liberation Sans"/>
          <w:b/>
          <w:color w:val="365F91"/>
          <w:sz w:val="46"/>
        </w:rPr>
        <w:t>Authority Manager Recommendation Report</w:t>
      </w:r>
    </w:p>
    <w:p>
      <w:pPr>
        <w:spacing w:after="360"/>
      </w:pPr>
      <w:r>
        <w:rPr>
          <w:rFonts w:ascii="Liberation Sans" w:hAnsi="Liberation Sans"/>
          <w:b/>
          <w:color w:val="1F2937"/>
          <w:sz w:val="30"/>
        </w:rPr>
        <w:t>Melbourne house party</w:t>
      </w:r>
    </w:p>
    <w:tbl>
      <w:tblPr>
        <w:tblW w:type="auto" w:w="0"/>
        <w:tblLayout w:type="fixed"/>
        <w:tblLook w:firstColumn="1" w:firstRow="1" w:lastColumn="0" w:lastRow="0" w:noHBand="0" w:noVBand="1" w:val="04A0"/>
      </w:tblPr>
      <w:tblGrid>
        <w:gridCol w:w="5069"/>
        <w:gridCol w:w="5558"/>
      </w:tblGrid>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Recipient</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Content Manager</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Reviewer</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Authority Manager</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Page / Workstream</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HP-002 — Melbourne house party</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Approved proposed URL</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https://virivr.com.au/house-party/melbourne/</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Stage</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Pre-development Authority handoff</w:t>
            </w:r>
          </w:p>
        </w:tc>
      </w:tr>
    </w:tbl>
    <w:p>
      <w:pPr>
        <w:spacing w:after="200"/>
      </w:pPr>
    </w:p>
    <w:tbl>
      <w:tblPr>
        <w:tblW w:type="auto" w:w="0"/>
        <w:tblLook w:firstColumn="1" w:firstRow="1" w:lastColumn="0" w:lastRow="0" w:noHBand="0" w:noVBand="1" w:val="04A0"/>
      </w:tblPr>
      <w:tblGrid>
        <w:gridCol w:w="10656"/>
      </w:tblGrid>
      <w:tr>
        <w:tc>
          <w:tcPr>
            <w:tcW w:type="dxa" w:w="10656"/>
            <w:shd w:fill="E2F0D9"/>
            <w:tcMar>
              <w:top w:w="130" w:type="dxa"/>
              <w:bottom w:w="130" w:type="dxa"/>
              <w:start w:w="100" w:type="dxa"/>
              <w:end w:w="100" w:type="dxa"/>
            </w:tcMar>
          </w:tcPr>
          <w:p>
            <w:pPr>
              <w:spacing w:after="60"/>
            </w:pPr>
            <w:r>
              <w:rPr>
                <w:b/>
                <w:color w:val="17365D"/>
                <w:sz w:val="22"/>
              </w:rPr>
              <w:t>Handoff status: READY FOR DEVELOPMENT WITH CONDITIONS</w:t>
            </w:r>
          </w:p>
          <w:p>
            <w:pPr>
              <w:spacing w:after="0"/>
            </w:pPr>
            <w:r>
              <w:t>The approved HP-002 role and question plan permit evidence-controlled structure development. Melbourne coverage, availability, fees, fulfilment, safety and local proof require current owner evidence before factual copy is finalised.</w:t>
            </w:r>
          </w:p>
        </w:tc>
      </w:tr>
    </w:tbl>
    <w:p>
      <w:pPr>
        <w:spacing w:before="340"/>
      </w:pPr>
      <w:r>
        <w:rPr>
          <w:b/>
          <w:color w:val="8F2626"/>
        </w:rPr>
        <w:t>This is a pre-development Authority handoff. It is not a completed-page audit, operational-claim approval, editorial approval or publication approval.</w:t>
      </w:r>
    </w:p>
    <w:p>
      <w:r>
        <w:br w:type="page"/>
      </w:r>
    </w:p>
    <w:p>
      <w:pPr>
        <w:pStyle w:val="Heading1"/>
      </w:pPr>
      <w:r>
        <w:t>1 Report Purpose Scope and Source Basis</w:t>
      </w:r>
    </w:p>
    <w:tbl>
      <w:tblPr>
        <w:tblW w:type="auto" w:w="0"/>
        <w:jc w:val="center"/>
        <w:tblLayout w:type="fixed"/>
        <w:tblLook w:firstColumn="1" w:firstRow="1" w:lastColumn="0" w:lastRow="0" w:noHBand="0" w:noVBand="1" w:val="04A0"/>
      </w:tblPr>
      <w:tblGrid>
        <w:gridCol w:w="2189"/>
        <w:gridCol w:w="8424"/>
      </w:tblGrid>
      <w:tr>
        <w:trPr>
          <w:cantSplit/>
          <w:tblHeader/>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Field</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HP-002 basis</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Page and stage</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HP-002; proposed /house-party/melbourne/ local service page. Pre-development analysis only; no completed page or content audit.</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Purpose and recipient</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Give the Content Manager evidence-aware authority, trust, brand and governance guidance for the Melbourne page.</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Approved planning</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Architecture v1, Architecture row 3 and Content Briefs row 3 (E05); Internal Links rows 4–5 and sibling ownership (E06).</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Upstream inputs</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Market Research Pack v1.0, 4 Oct 2026, research draft pending Strategy Manager review (E08); AI Visibility Specialist keyword/AEO preparation, undated in file (E09).</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Authority basis</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Graduate Handbook Part V p.24 and Part VI pp.43–45 (E02); Authority Manager Specification (E03); Audit Criteria Framework v1 (E04).</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Assessment boundary</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Review planning provenance, factual-claim support, local trust, brand accuracy, authority opportunities and routing. No new keyword research, backlink audit, outreach, schema implementation or published-page scoring.</w:t>
            </w:r>
          </w:p>
        </w:tc>
      </w:tr>
    </w:tbl>
    <w:p>
      <w:pPr>
        <w:spacing w:after="0"/>
      </w:pPr>
    </w:p>
    <w:p>
      <w:r>
        <w:t>Evidence key: VERIFIED means the stated planning or governance fact is directly supported by E02–E07. RECOMMENDED means an Authority Manager structural judgement with a confirming question, never a substitute for operational policy. NEEDS SOURCE means an unresolved business fact with an owner named in Section 8. E08–E09 are supplied specialist analyses, not Viri VR fulfilment proof.</w:t>
      </w:r>
    </w:p>
    <w:p>
      <w:pPr>
        <w:pStyle w:val="Heading1"/>
      </w:pPr>
      <w:r>
        <w:t>2 Development Readiness Assessment</w:t>
      </w:r>
    </w:p>
    <w:p>
      <w:pPr>
        <w:spacing w:after="30" w:line="245" w:lineRule="auto"/>
      </w:pPr>
      <w:r>
        <w:rPr>
          <w:b/>
        </w:rPr>
        <w:t xml:space="preserve">Status  </w:t>
      </w:r>
      <w:r>
        <w:t>Ready for Development with Conditions.</w:t>
      </w:r>
    </w:p>
    <w:p>
      <w:pPr>
        <w:spacing w:after="30" w:line="245" w:lineRule="auto"/>
      </w:pPr>
      <w:r>
        <w:rPr>
          <w:b/>
        </w:rPr>
        <w:t xml:space="preserve">Why  </w:t>
      </w:r>
      <w:r>
        <w:t>The approved local page job and three briefed questions are clear (F01, F10), but the core service and proof inputs remain open (F02–F09). The status authorises a conditional content outline and evidence collection; it does not clear operational copy or publication.</w:t>
      </w:r>
    </w:p>
    <w:p>
      <w:pPr>
        <w:spacing w:after="30" w:line="245" w:lineRule="auto"/>
      </w:pPr>
      <w:r>
        <w:rPr>
          <w:b/>
        </w:rPr>
        <w:t xml:space="preserve">Begin now  </w:t>
      </w:r>
      <w:r>
        <w:t>Map the local question sequence, plan an address/date enquiry explanation as a placeholder, preserve HP-001 and HP-003 boundaries, prepare proof requests and the claim register (F01, F10–F11).</w:t>
      </w:r>
    </w:p>
    <w:p>
      <w:pPr>
        <w:spacing w:after="30" w:line="245" w:lineRule="auto"/>
      </w:pPr>
      <w:r>
        <w:rPr>
          <w:b/>
        </w:rPr>
        <w:t xml:space="preserve">Not verified  </w:t>
      </w:r>
      <w:r>
        <w:t>Any particular suburb or date, travel rule or fee, price/inclusions, lead time, capacity, site requirement, safety/insurance statement, local customer proof, or working checker (C02–C12).</w:t>
      </w:r>
    </w:p>
    <w:p>
      <w:pPr>
        <w:spacing w:after="30" w:line="245" w:lineRule="auto"/>
      </w:pPr>
      <w:r>
        <w:rPr>
          <w:b/>
        </w:rPr>
        <w:t xml:space="preserve">Main dependencies  </w:t>
      </w:r>
      <w:r>
        <w:t>Ajith and delegated operational/pricing/safety owners (I01–I05); privacy and proof approvals (I06–I07); Strategy/Search, Technical SEO and Analytics handoffs (I08–I10).</w:t>
      </w:r>
    </w:p>
    <w:p>
      <w:pPr>
        <w:sectPr>
          <w:headerReference w:type="default" r:id="rId9"/>
          <w:footerReference w:type="default" r:id="rId10"/>
          <w:pgSz w:w="12240" w:h="15840"/>
          <w:pgMar w:top="936" w:right="792" w:bottom="936" w:left="792" w:header="360" w:footer="360" w:gutter="0"/>
          <w:cols w:space="720"/>
          <w:docGrid w:linePitch="360"/>
        </w:sectPr>
      </w:pPr>
    </w:p>
    <w:p>
      <w:pPr>
        <w:pStyle w:val="Heading1"/>
      </w:pPr>
      <w:r>
        <w:t>3 AI Search Analyst Input Review</w:t>
      </w:r>
    </w:p>
    <w:p>
      <w:pPr>
        <w:keepNext/>
      </w:pPr>
      <w:r>
        <w:t>This review uses the supplied Market Research Pack as upstream search research and the AI Visibility preparation as a separate upstream visibility input. It records their authority implications without repeating the research.</w:t>
      </w:r>
    </w:p>
    <w:tbl>
      <w:tblPr>
        <w:tblW w:type="auto" w:w="0"/>
        <w:jc w:val="center"/>
        <w:tblLayout w:type="fixed"/>
        <w:tblLook w:firstColumn="1" w:firstRow="1" w:lastColumn="0" w:lastRow="0" w:noHBand="0" w:noVBand="1" w:val="04A0"/>
      </w:tblPr>
      <w:tblGrid>
        <w:gridCol w:w="1309"/>
        <w:gridCol w:w="3224"/>
        <w:gridCol w:w="2325"/>
        <w:gridCol w:w="5725"/>
        <w:gridCol w:w="1817"/>
      </w:tblGrid>
      <w:tr>
        <w:trPr>
          <w:cantSplit/>
          <w:tblHeader/>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Search Input ID</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AI Search Analyst Finding</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Manager Disposition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 Content Implication</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Linked Finding</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S01</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E08 §1–3; E09: HP-002 owns local transactional Melbourne intent; primary phrase in architecture.</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page ownership and supplied phrase as planning input. No HP-002-specific volume, rank or lead baseline is established.</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 F10</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S02</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and E08 §2/§5; E09: three briefed questions on home delivery, suburbs and preparation.</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as supplied input</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the questions as an answer plan; factual answers remain gated by claims C02–C08.</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F02–F06</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S03</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E08 §5/§9; E09: postcode/date eligibility-check approach and proposed CTA.</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 enquiry shape is useful, but checker functionality, response and booking status need owner and privacy confirmation.</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F03, F08–F09</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S04</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E08 §7–8: 15 prioritised local questions; most beyond three briefed questions are inferred.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Treat extras as editorial hypotheses, not measured customer or People Also Ask demand; prioritise only evidenced answers.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S05</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E08 §2/§11: competitor mobile-provider presentation observations, dated 4 Oct 2026.</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Question-format signal only. No competitor coverage, fee, technical rule, authority or performance transfers to Viri VR.</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F10, F12</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S06</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E08 §6/§8; E09: HP-001 model link, HP-002 local execution; HP-003 broad ideas and PVH-001 venue sourcing.</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Direct HP-001 pair is in E06; extra link targets and venue wording need Strategy/Search alignment.</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F01, F11</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S07</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E09 says postcode and date can be used to determine eligibility; the process is not evidenced.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clarification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Treat as a proposed intake design only until Ajith confirms map, exceptions, inventory, response and what the form actually does.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 F09</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S08</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E08 §6/§14; E09: Service/FAQ possibilities and future AI visibility tests.</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Requires supporting evidence</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Visible approved answers first; Technical SEO owns markup. Analytics/AI Visibility owns a measured baseline and later observation log.</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 F13</w:t>
            </w:r>
          </w:p>
        </w:tc>
      </w:tr>
    </w:tbl>
    <w:p>
      <w:pPr>
        <w:spacing w:after="0"/>
      </w:pPr>
    </w:p>
    <w:p>
      <w:pPr>
        <w:pStyle w:val="Heading1"/>
      </w:pPr>
      <w:r>
        <w:t>4 Operational Findings Register</w:t>
      </w:r>
    </w:p>
    <w:p>
      <w:pPr>
        <w:keepNext/>
      </w:pPr>
      <w:r>
        <w:t>Each material issue has one primary record here. Priority is only an implementation sequencing aid, not a formal governance severity rating. Source IDs resolve in Section 11.</w:t>
      </w:r>
    </w:p>
    <w:tbl>
      <w:tblPr>
        <w:tblW w:type="auto" w:w="0"/>
        <w:jc w:val="center"/>
        <w:tblLayout w:type="fixed"/>
        <w:tblLook w:firstColumn="1" w:firstRow="1" w:lastColumn="0" w:lastRow="0" w:noHBand="0" w:noVBand="1" w:val="04A0"/>
      </w:tblPr>
      <w:tblGrid>
        <w:gridCol w:w="996"/>
        <w:gridCol w:w="1368"/>
        <w:gridCol w:w="1739"/>
        <w:gridCol w:w="1465"/>
        <w:gridCol w:w="2227"/>
        <w:gridCol w:w="1133"/>
        <w:gridCol w:w="2423"/>
        <w:gridCol w:w="1798"/>
        <w:gridCol w:w="1250"/>
      </w:tblGrid>
      <w:tr>
        <w:trPr>
          <w:cantSplit/>
          <w:tblHeader/>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Finding ID</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Issue Type</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Finding</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Basis / Evidence</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Manager Assessment</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Status</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Required Action</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Owner / Handoff</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Priority</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F01</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Dependency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HP-002 has a distinct Melbourne eligibility job and parent HP-001 model relationship.</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3; E06 rows 4–5; S01/S06</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planning. HP-003 owns broader ideas; no general service-model duplication or blanket coverage.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Supported plan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Build a local decision path and the approved HP-002→HP-001 link; route broad idea/venue detail to its owner.</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Manager; Strategy/Search for extra routes</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F02</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 current eligible postcode/suburb map, exceptions or service-area policy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row 3/brief; E08 §12; E09</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 Melbourne page or postcode label must not imply every suburb or address is served.</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Request dated map, exception rule and review owner; withhold coverage lists and affirmative eligibility until verified.</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 operations</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F03</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 verified date inventory, lead time, response standard or working eligibility route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3; E08 §5/§12; E09</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Form submission cannot be equated with an available date or accepted booking.</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Confirm address/date decision steps, capacity check, response wording and feature behaviour; hold live availability claims.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 operations; product</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F04</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Melbourne travel charges, mobile price/package and inclusions lack current approved terms.</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row 3/brief; E08 §9/§12</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 generic venue offer or competitor tariff cannot support local mobile commercial copy.</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Obtain dated fee rule and signed mobile package/quote basis; separate enquiry from confirmed quote.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 pricing owner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F05</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Trust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Access, safe space, setup timing, power/connectivity, equipment, host ratios and contingencies are proposed without local run sheet.</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3; E08 §5/§12</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Specific thresholds, counts and fallback promises could mislead an organiser.</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Get tested mobile site/checklist, run sheet and equipment-specific technical limits; use only a conditional prep structure meanwhile.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 operations; technical owner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F06</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 Credibility Issue</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Age, supervision, safety and public-liability statements have no current mobile policy or cover evidence here.</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brief; E08 §5/§12; E04 AM-05/13</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High-trust claims must match applicable documents and approved wording.</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Route exact proposed claims and relevant current documents to safety/insurance owner; exclude assurances until approved.</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routes to safety/insurance owner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F07</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Trust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Permissioned Melbourne home-event photos, reviews and case records are absent.</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3/brief; E08 §12; E09</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Venue or stock assets do not demonstrate a local mobile event or continuing coverage.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Collect event provenance and usage permission; use a local proof module only for validated assets.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 evidence owner; Brand Authority Builder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F08</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Governance / Clarification</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Proposed address/date and space-photo collection lacks approved privacy flow and tested implementation.</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row 3/brief; E08 §12</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The workbook's address-use relationship presupposes a policy not supplied.</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Confirm data fields, consent, retention, access and fallback with privacy/product owners before enabling forms or uploads.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Privacy/product owner via Content Manager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F09</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Brand / Credibility Issue</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Architecture meta and some proposed headings/CTA presume mobile fulfilment and a usable checker.</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3 title/meta/CTA; E08 §13; S07</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for operational promise. Approved planning copy is not fulfilment evidence.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Keep asserted capability and availability language conditional; replace only after F02–F08 evidence and flow review.</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Manager; Ajith</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F10</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Search / Authority Opportunity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Search questions are useful but local demand, AI citations and page outcomes are unmeasured for HP-002.</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E07 Keyword Map/Evidence/Measurement; E08 §3/§14; E09</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VERIFIED limitation. Upstream inferred variants and competitor patterns are not performance evidence.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Qualified</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approved phrase/three questions; request local query and AI test baselines from owning teams before numerical claims.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Strategy/Search; Analytics; AI Visibility</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F11</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Dependency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HP-001 pair is specified; extra briefed links and home/own-venue/partner-venue routes lack final placement/policy.</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brief; E06 rows 4–5; E08 §6/§8</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planning discrepancy; delivery options still NEED SOURCE. HP-003 and PVH-001 have separate jobs.</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Preserve approved pair; ask Strategy/Search to settle extras and Ajith/PVH owner to verify venue options.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Strategy/Search; Ajith; PVH owner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F12</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Authority Opportunity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 owned-profile, local citation or review consistency audit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E08 §14; E09 source basis; E04 AM-07</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RECOMMENDED audit, not a finding of bad listings or a measured authority gap. Local wording depends on F02/F07.</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Route a bounded profile/citation/proof review after owner facts are confirmed; record corrections only from actual evidence.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Authority Builder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F13</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Specialist Dependency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Schema, indexation, conversion definitions and AI observation need specialist checks; no implementation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3; E07 Measurement 3–9; E08 §13–14; E09</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planning dependency. Markup or configured conversions cannot certify service facts, leads or citations.</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Pass final visible answers to Technical SEO; ask Analytics/AI Visibility for instrumented baselines and test log.</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Technical SEO; Analytics; AI Visibility</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F14</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Governance / Clarification</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Market pack is a Strategy review draft; visibility preparation is evidence-dependent; no HP-002 draft was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E08 header/§13/§15; E09 header; E03 §7</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VERIFIED source status. Upstream recommendations are usable inputs, not approvals or a completed-page audit.</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Route search choices to Strategy Manager; later return completed copy and claim map for Authority Manager review.</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Strategy/Search; Content Manager; human Authority Manager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P2</w:t>
            </w:r>
          </w:p>
        </w:tc>
      </w:tr>
    </w:tbl>
    <w:p>
      <w:pPr>
        <w:spacing w:after="0"/>
      </w:pPr>
    </w:p>
    <w:p>
      <w:pPr>
        <w:pStyle w:val="Heading1"/>
      </w:pPr>
      <w:r>
        <w:t>5 Claim to Evidence and Content Guidance Table</w:t>
      </w:r>
    </w:p>
    <w:p>
      <w:pPr>
        <w:keepNext/>
      </w:pPr>
      <w:r>
        <w:t>This table controls factual copy. Search interest and competitor observations identify questions, not proof of Viri VR's own capability. VERIFIED below refers only to an approved planning relationship, never to an unverified operating fact.</w:t>
      </w:r>
    </w:p>
    <w:tbl>
      <w:tblPr>
        <w:tblW w:type="auto" w:w="0"/>
        <w:jc w:val="center"/>
        <w:tblLayout w:type="fixed"/>
        <w:tblLook w:firstColumn="1" w:firstRow="1" w:lastColumn="0" w:lastRow="0" w:noHBand="0" w:noVBand="1" w:val="04A0"/>
      </w:tblPr>
      <w:tblGrid>
        <w:gridCol w:w="977"/>
        <w:gridCol w:w="2345"/>
        <w:gridCol w:w="1973"/>
        <w:gridCol w:w="2345"/>
        <w:gridCol w:w="2091"/>
        <w:gridCol w:w="1329"/>
        <w:gridCol w:w="3341"/>
      </w:tblGrid>
      <w:tr>
        <w:trPr>
          <w:cantSplit/>
          <w:tblHeader/>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Claim ID</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Proposed / Expected Content Claim</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Search / User Relevance</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Required Evidence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Current Evidence Status</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Linked Finding</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Content Manager Guidance</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C01</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HP-002 is the planned Melbourne eligibility page; HP-001 explains the broader service model.</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S01/S06; local decision job</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and E06 page ownership</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as planning only</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F01/F11</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the page distinction and internal link now; do not convert it into a coverage claim.</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C02</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visitor can obtain an eligibility check for a specific address and date.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S02/S03; core local question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Current workflow, active form, decision rule, response/booking wording</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Ajith; product</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F02/F03/F08</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Keep as a placeholder; use qualified enquiry wording only after process and privacy approval.</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C03</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Named Melbourne suburbs/postcodes or all-Melbourne service are eligible.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S02; suburb question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Dated approved map, exceptions, owner review</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Ajith</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Exclude coverage lists and blanket claims until evidence is provided.</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C04</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requested date is available, or a set lead/response time applies.</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S03; date decision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Current inventory/capacity and lead-time/response policy</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Ajith</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F03</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Exclude availability and timing promises until verified; an enquiry is not a booking.</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C05</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Travel is free or charged at a specified rate/zone.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S02/S04; local cost</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Signed travel policy, zone exceptions and quote treatment</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Ajith/pricing</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F04</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Exclude fee amounts or no-fee claims; request address for a quote only if process exists.</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C06</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Melbourne package price, duration, inclusions or equipment quantity.</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S04; commercial decision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Dated approved mobile package/price sheet and capacity rules</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Ajith/pricing</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F04/F05</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Exclude until evidence is provided; do not reuse venue package terms.</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C07</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Space/access needs, arrival/setup/pack-down, power/Wi-Fi and host/guest limits.</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S02/S04; preparation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Tested local run sheet, safety/site checklist, technical limits</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operations/technical</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F05</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only after verification; a non-numeric organiser-prep section may be planned now.</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C08</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Safety, supervision, age suitability or public-liability coverage.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S04; sensitive trust</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Current mobile safety policy, role limits and applicable cover document</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safety/insurance owner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F06</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Exclude factual assurances until authorised review and exact wording approval.</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C09</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Indoor/weather, relocation or offline/power fallback is guaranteed.</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S04; contingency</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Current operational remedy terms and tested technical procedure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Ajith/technical</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F05</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Exclude guaranteed outcomes; keep a contingency question placeholder.</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C10</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Melbourne customer review/photo/case study demonstrates the service.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S04; local proof</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Original event record, consent, location/date and claim scope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evidence/privacy owner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F07/F08</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Exclude named proof until permission and provenance are documented.</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C11</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Viri VR attends homes, customer-selected venues or sources partner venues locally.</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S06; location choice</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Current delivery-option policy, access/venue responsibilities</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Ajith/PVH owner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F11</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only after verification; route private-hire detail to PVH-001.</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C12</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Viri VR brings headsets, games, setup and support to a Melbourne home; the checker confirms availability.</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S03; architecture meta/CTA</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Current local fulfilment scope plus tested availability process</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Ajith/product</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F03/F09</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Exclude this affirmative architecture wording until evidence and implementation are confirmed.</w:t>
            </w:r>
          </w:p>
        </w:tc>
      </w:tr>
    </w:tbl>
    <w:p>
      <w:pPr>
        <w:spacing w:after="0"/>
      </w:pPr>
    </w:p>
    <w:p>
      <w:pPr>
        <w:pStyle w:val="Heading1"/>
      </w:pPr>
      <w:r>
        <w:t>6 Content Authority Opportunities</w:t>
      </w:r>
    </w:p>
    <w:p>
      <w:pPr>
        <w:keepNext/>
      </w:pPr>
      <w:r>
        <w:t>These are content applications of the linked findings, not separate gap records. Each structural recommendation has a confirming decision; none approves an operational fact.</w:t>
      </w:r>
    </w:p>
    <w:tbl>
      <w:tblPr>
        <w:tblW w:type="auto" w:w="0"/>
        <w:jc w:val="center"/>
        <w:tblLayout w:type="fixed"/>
        <w:tblLook w:firstColumn="1" w:firstRow="1" w:lastColumn="0" w:lastRow="0" w:noHBand="0" w:noVBand="1" w:val="04A0"/>
      </w:tblPr>
      <w:tblGrid>
        <w:gridCol w:w="1329"/>
        <w:gridCol w:w="2462"/>
        <w:gridCol w:w="2638"/>
        <w:gridCol w:w="3068"/>
        <w:gridCol w:w="3380"/>
        <w:gridCol w:w="1524"/>
      </w:tblGrid>
      <w:tr>
        <w:trPr>
          <w:cantSplit/>
          <w:tblHeader/>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Opportunity ID</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Opportunity</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Why It Strengthens the Page</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Content Application</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Evidence / Approval Needed</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Linked Finding</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O01</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Clear address/date eligibility explanation</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Answers the local decision without inventing service areas.</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Place a short conditional answer and enquiry route before any location detail.</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Ajith's policy and actual form. Confirming question: What outcome does the current enquiry return?</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F02/F03/F09</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O02</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Tested organiser preparation guide</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First-hand access/setup detail is more useful than generic mobile-VR copy.</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a brief checklist or annotated setup example; avoid numeric thresholds until approved.</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Run sheet/safety/technical approvals. Confirming question: Which requirements are mandatory for every local setup?</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F05/F06</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O03</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Permissioned Melbourne home-event case</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Provides local, first-party proof of a real setting and the specific decision process.</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Show a dated image/caption or concise case only for what the record proves.</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Event record and consent. Confirming question: Which assets and location detail may be public?</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F07/F08</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O04</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Transparent quote and review provenance</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named fact reviewer and dated rules make changes traceable.</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Display current travel/quote basis and last reviewed date once approved.</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Signed policies. Confirming question: Who maintains and reapproves local terms?</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F04/F14</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O05</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Three answer-first local questions</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The supplied questions meet distinct eligibility and preparation needs.</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visible, concise answers tied to the exact approved evidence; link HP-001 for the general model.</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S02 and claim approvals. Confirming question: Which answer can be factual at draft review?</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F01/F10</w:t>
            </w:r>
          </w:p>
        </w:tc>
      </w:tr>
    </w:tbl>
    <w:p>
      <w:pPr>
        <w:spacing w:after="0"/>
      </w:pPr>
    </w:p>
    <w:p>
      <w:pPr>
        <w:pStyle w:val="Heading1"/>
      </w:pPr>
      <w:r>
        <w:t>7 Backlink and External Authority Opportunities</w:t>
      </w:r>
    </w:p>
    <w:p>
      <w:pPr>
        <w:keepNext/>
      </w:pPr>
      <w:r>
        <w:t>These are bounded specialist handoffs inferred from the approved page job and missing proof. No backlinks, prospects, referring domains or coverage outcomes were audited.</w:t>
      </w:r>
    </w:p>
    <w:tbl>
      <w:tblPr>
        <w:tblW w:type="auto" w:w="0"/>
        <w:jc w:val="center"/>
        <w:tblLayout w:type="fixed"/>
        <w:tblLook w:firstColumn="1" w:firstRow="1" w:lastColumn="0" w:lastRow="0" w:noHBand="0" w:noVBand="1" w:val="04A0"/>
      </w:tblPr>
      <w:tblGrid>
        <w:gridCol w:w="1368"/>
        <w:gridCol w:w="2970"/>
        <w:gridCol w:w="3224"/>
        <w:gridCol w:w="4005"/>
        <w:gridCol w:w="2833"/>
      </w:tblGrid>
      <w:tr>
        <w:trPr>
          <w:cantSplit/>
          <w:tblHeader/>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Opportunity ID</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Observation</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Opportunity</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Recommended Next Step</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Specialist Handoff</w:t>
            </w:r>
          </w:p>
        </w:tc>
      </w:tr>
      <w:tr>
        <w:trPr>
          <w:cantSplit/>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X01</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F05/F07: an approved, first-hand local preparation resource does not yet exist in the supplied pack.</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 tested organiser guide with original diagrams or photos could merit relevant references.</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After owner approval, assess asset quality and appropriate link context; no target list or outreach here.</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Backlink Auditor</w:t>
            </w:r>
          </w:p>
        </w:tc>
      </w:tr>
      <w:tr>
        <w:trPr>
          <w:cantSplit/>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X02</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F07: a permissioned Melbourne event record could support more than on-page proof.</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distinctive case or original local insight may support earned coverage if newsworthy.</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First validate consent and claims; ask for angle/fit assessment and campaign decision separately.</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Digital PR Specialist</w:t>
            </w:r>
          </w:p>
        </w:tc>
      </w:tr>
      <w:tr>
        <w:trPr>
          <w:cantSplit/>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X03</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F12: external profiles, listings and local reviews were not audited.</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Consistent owned profiles and accurate citations could corroborate the local brand entity.</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Review actual profiles against approved name, service wording and map; log verified discrepancies.</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Brand Authority Builder</w:t>
            </w:r>
          </w:p>
        </w:tc>
      </w:tr>
    </w:tbl>
    <w:p>
      <w:pPr>
        <w:spacing w:after="0"/>
      </w:pPr>
    </w:p>
    <w:p>
      <w:pPr>
        <w:pStyle w:val="Heading1"/>
      </w:pPr>
      <w:r>
        <w:t>8 Outstanding Issues and Handoffs Register</w:t>
      </w:r>
    </w:p>
    <w:p>
      <w:pPr>
        <w:keepNext/>
      </w:pPr>
      <w:r>
        <w:t>Only unresolved work appears here. The requirement cell begins with its routing type. Effects distinguish drafting of the overall page from the affected factual claim or feature.</w:t>
      </w:r>
    </w:p>
    <w:tbl>
      <w:tblPr>
        <w:tblW w:type="auto" w:w="0"/>
        <w:jc w:val="center"/>
        <w:tblLayout w:type="fixed"/>
        <w:tblLook w:firstColumn="1" w:firstRow="1" w:lastColumn="0" w:lastRow="0" w:noHBand="0" w:noVBand="1" w:val="04A0"/>
      </w:tblPr>
      <w:tblGrid>
        <w:gridCol w:w="1036"/>
        <w:gridCol w:w="1778"/>
        <w:gridCol w:w="2853"/>
        <w:gridCol w:w="2442"/>
        <w:gridCol w:w="3517"/>
        <w:gridCol w:w="2774"/>
      </w:tblGrid>
      <w:tr>
        <w:trPr>
          <w:cantSplit/>
          <w:tblHeader/>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Issue ID</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Related Finding(s)</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Outstanding Requirement</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Handoff /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Required Output or Decision</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Effect on Content</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I01</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F02/F09</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Required: local service map and exceptions.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 operations</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Dated eligible postcode/address policy, exception rule and public wording owner.</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affected coverage claim; skeleton may proceed.</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I02</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F03/F09</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availability, lead time and enquiry decision.</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 operations; product</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Capacity/date and response rules; tested flow; enquiry versus booking language.</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availability claims and live checker/CTA.</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I03</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F04</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Required: fee and mobile package commercial terms.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 pricing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Signed travel, price, inclusions/exclusions and quote basis with date.</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affected commercial claims.</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I04</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F05</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setup, access, capacity and contingency.</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 operations; technical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Tested run sheet, site/technical checklist and remedy policy.</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affected operational claims.</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I05</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F06</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Required: safety, age/supervision and insurance.</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routes to safety/insurance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Current applicable documents and approved claim wording/limits.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affected sensitive claims.</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I06</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F07</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local first-party proof and permission.</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 evidence owner; privacy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Event record, asset rights, consent and permitted location/date detail.</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affected testimonial/photo/case module.</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I07</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F08</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Human Clarification: address/photo data handling.</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Privacy/product owner via Content Manager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Approved fields, consent, retention, access and tested fallback.</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photo upload and form launch; drafting can proceed.</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I08</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F10/F11/F14</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Requires Human Clarification: research status, extra link targets and venue boundary.</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 Manager / Strategy/Search; Ajith for options</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Sign-off on source use, contextual links/anchors and home/venue responsibility wording.</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Can be completed later before publication; affected routes conditional.</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I09</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F13</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Technical Implementation: visible Q&amp;A and schema/indexation.</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Technical SEO</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Review final approved content and decide Service/FAQ properties, crawl/index controls.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Can be completed later before publication; no unsupported markup.</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I10</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F10/F13</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Specialist Follow-up: local metrics and AI observations.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Analytics; AI Visibility</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Local query/page export, event definitions and dated controlled prompt log.</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Can be completed later before publication for baseline; no performance claim now.</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I11</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F12</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Specialist Follow-up: actual off-site proof and link opportunities.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Brand Authority Builder; Backlink Auditor; Digital PR Specialist</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Bounded profile/citation audit and asset viability/angle assessments after proof exists.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Can be completed later before publication; not a drafting blocker.</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I12</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F14</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Specialist Follow-up: later Authority review of developed page.</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Content Manager → Authority Manager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Completed content/staged page, claim map, source versions and resolved issue decisions.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Can be completed later before publication; release still gated.</w:t>
            </w:r>
          </w:p>
        </w:tc>
      </w:tr>
    </w:tbl>
    <w:p>
      <w:pPr>
        <w:spacing w:after="0"/>
      </w:pPr>
    </w:p>
    <w:p>
      <w:pPr>
        <w:pStyle w:val="Heading1"/>
      </w:pPr>
      <w:r>
        <w:t>9 Authority Manager Validation Results</w:t>
      </w:r>
    </w:p>
    <w:p>
      <w:pPr>
        <w:keepNext/>
      </w:pPr>
      <w:r>
        <w:t>Results cover the available pre-development inputs. No completed-page quality pass, numerical authority score or approval is assigned.</w:t>
      </w:r>
    </w:p>
    <w:tbl>
      <w:tblPr>
        <w:tblW w:type="auto" w:w="0"/>
        <w:jc w:val="center"/>
        <w:tblLayout w:type="fixed"/>
        <w:tblLook w:firstColumn="1" w:firstRow="1" w:lastColumn="0" w:lastRow="0" w:noHBand="0" w:noVBand="1" w:val="04A0"/>
      </w:tblPr>
      <w:tblGrid>
        <w:gridCol w:w="4982"/>
        <w:gridCol w:w="3361"/>
        <w:gridCol w:w="6057"/>
      </w:tblGrid>
      <w:tr>
        <w:trPr>
          <w:cantSplit/>
          <w:tblHeader/>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Validation Area</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Result</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Relevant Reference</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Page purpose and HP-001 distinction</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Validated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E05–E06; F01</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Upstream search and visibility provenance</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Validated with Qualification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E07–E09; S01–S08; F10/F14</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Melbourne geography and date eligibility</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Human Clarification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 C02–C04; I01/I02</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Travel, package and operational claims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F04/F05; C05–C07/C09/C12; I03/I04</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Safety, insurance and privacy claims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F06/F08; C08; I05/I07</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Permissioned local proof</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F07; C10; I06</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External authority opportunity status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Validated with Qualification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F12; X01–X03; I11</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Schema and measurement readiness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Requires Human Clarification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F13; I09/I10</w:t>
            </w:r>
          </w:p>
        </w:tc>
      </w:tr>
    </w:tbl>
    <w:p>
      <w:pPr>
        <w:spacing w:after="0"/>
      </w:pPr>
    </w:p>
    <w:p>
      <w:pPr>
        <w:sectPr>
          <w:pgSz w:w="15840" w:h="12240" w:orient="landscape"/>
          <w:pgMar w:top="720" w:right="720" w:bottom="720" w:left="720" w:header="288" w:footer="360" w:gutter="0"/>
          <w:cols w:space="720"/>
          <w:docGrid w:linePitch="360"/>
        </w:sectPr>
      </w:pPr>
    </w:p>
    <w:p>
      <w:pPr>
        <w:pStyle w:val="Heading1"/>
      </w:pPr>
      <w:r>
        <w:t>10 Final Recommendations to the Content Manager</w:t>
      </w:r>
    </w:p>
    <w:p>
      <w:pPr>
        <w:pStyle w:val="Heading2"/>
      </w:pPr>
      <w:r>
        <w:t>Can be used during drafting now</w:t>
      </w:r>
    </w:p>
    <w:p>
      <w:r>
        <w:t>Use the approved HP-002 local decision job, proposed URL, primary phrase and three briefed questions as planning inputs (F01, S01–S02). Outline eligibility, travel, preparation, proof and enquiry sections with conditional placeholders; include the HP-002→HP-001 relationship in E06. Keep broad ideas with HP-003 and venue sourcing with PVH-001 (F11).</w:t>
      </w:r>
    </w:p>
    <w:p>
      <w:pPr>
        <w:pStyle w:val="Heading2"/>
      </w:pPr>
      <w:r>
        <w:t>Must remain conditional or unverified</w:t>
      </w:r>
    </w:p>
    <w:p>
      <w:r>
        <w:t>Do not finalise C02–C12 as business facts until their issue owners return current, claim-matched evidence. In particular, no named postcode/suburb, date, fee, package, capacity, safety, insurance or local customer proof can be inferred from the city label, competitor pages, search demand or the architecture's draft marketing copy (F02–F09).</w:t>
      </w:r>
    </w:p>
    <w:p>
      <w:pPr>
        <w:pStyle w:val="Heading2"/>
      </w:pPr>
      <w:r>
        <w:t>Authority and trust improvements to incorporate</w:t>
      </w:r>
    </w:p>
    <w:p>
      <w:r>
        <w:t>Build the page around a truthful address/date decision, tested organiser guidance and permissioned first-party local proof once approved (O01–O05). Keep external profile/citation and link-worthy asset analysis with the authority specialists (F12, X01–X03).</w:t>
      </w:r>
    </w:p>
    <w:p>
      <w:pPr>
        <w:pStyle w:val="Heading2"/>
      </w:pPr>
      <w:r>
        <w:t>Before content is considered complete</w:t>
      </w:r>
    </w:p>
    <w:p>
      <w:r>
        <w:t>Resolve I01–I08 with owner evidence and Strategy/Search decisions, obtain privacy and technical sign-off for proposed tools/markup (I07/I09), document a baseline without converting old sitewide metrics into HP-002 results (I10), and return staged content with a claim map for Authority Manager review (I12). Publication approval remains separate.</w:t>
      </w:r>
    </w:p>
    <w:p>
      <w:pPr>
        <w:pStyle w:val="Heading1"/>
      </w:pPr>
      <w:r>
        <w:t>11 Supporting Evidence and Provenance Register</w:t>
      </w:r>
    </w:p>
    <w:p>
      <w:pPr>
        <w:keepNext/>
      </w:pPr>
      <w:r>
        <w:t>The source hierarchy is Handbook, Authority Manager Specification, Audit Criteria Framework, then approved architecture/project evidence. A specialist report is an upstream interpretation, not an operational policy. Missing source records make the remaining proof requests traceable.</w:t>
      </w:r>
    </w:p>
    <w:tbl>
      <w:tblPr>
        <w:tblW w:type="auto" w:w="0"/>
        <w:jc w:val="center"/>
        <w:tblLayout w:type="fixed"/>
        <w:tblLook w:firstColumn="1" w:firstRow="1" w:lastColumn="0" w:lastRow="0" w:noHBand="0" w:noVBand="1" w:val="04A0"/>
      </w:tblPr>
      <w:tblGrid>
        <w:gridCol w:w="907"/>
        <w:gridCol w:w="3082"/>
        <w:gridCol w:w="1613"/>
        <w:gridCol w:w="1944"/>
        <w:gridCol w:w="3067"/>
      </w:tblGrid>
      <w:tr>
        <w:trPr>
          <w:cantSplit/>
          <w:tblHeader/>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5"/>
              </w:rPr>
              <w:t>Evidence ID</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5"/>
              </w:rPr>
              <w:t>Source</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5"/>
              </w:rPr>
              <w:t>Provider / Owner</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5"/>
              </w:rPr>
              <w:t>Used For</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5"/>
              </w:rPr>
              <w:t>Status / Limitation</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E01</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Attached Authority Manager Pre Development Analysis and Recommendation Report Layout, 12 sections.</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Human-provided template</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Report structure and record-once rules</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Required framework; not evidence of HP-002 fulfilment.</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5"/>
              </w:rPr>
              <w:t>E02</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Digital Marketing Centre of Excellence Graduate Handbook Updated, Part V p.24; Part VI pp.43–45.</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Project source</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Authority role, specialist boundaries and gates</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Highest-priority governance, directly reviewed.</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E03</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Authority Manager Agent Specification, updated 16 Sep 2026, §§5 and 7.</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Project source</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DoR, quality review, provenance, escalation</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Directly reviewed; older audit wording is applied to pre-development only.</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5"/>
              </w:rPr>
              <w:t>E04</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Authority Manager Audit Criteria Framework v1, §§2–5.</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Project source</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Evidence, trust, claim and specialist criteria</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Directly reviewed; no invented scores or severity thresholds.</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E05</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Viri_VR_House_Party_Content_Authority_Architecture_v1.xlsm, Architecture row 3; Content Briefs row 3.</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Approved planning workbook</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HP-002 purpose, questions, proposed modules, evidence needs</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Directly reviewed; planned copy/modules are not current policy.</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5"/>
              </w:rPr>
              <w:t>E06</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Same workbook, Internal Links rows 4–5; Architecture sibling-owner rows 2–4 and 9; Content Briefs row 3.</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Approved planning workbook</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HP-001 pair and HP-003/PVH boundary</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Directly reviewed; extra targets require Strategy alignment.</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E07</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Same workbook, Keyword Map rows 2–9; Evidence rows 2–17; Measurement Plan rows 3–10.</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Approved planning workbook</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Search/analytics limitations and launch checks</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Directly reviewed. Raw exports and event dictionary not supplied; no HP-002 baseline.</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5"/>
              </w:rPr>
              <w:t>E08</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HP-002 Market Research Pack v1.0, 4 Oct 2026, §§1–15 and source register.</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Market Research Analyst; supplied as AI Search input</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Upstream intent, questions, competitor presentation, gaps</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Research draft pending Strategy review; recommendations and assumptions are not business facts.</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E09</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vdvr-hp-002-corrected-keyword-aeo-prep.md, sections Purpose–Handoff.</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AI Visibility Specialist</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Upstream local query/AEO preparation</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Supplied preparation; no dated volume/rank/citation results or operational policy.</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5"/>
              </w:rPr>
              <w:t>E10</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Competitor pages listed in E08: https://kapturevr.com.au/faqs/ ; https://www.bhvr.com.au/services/events ; https://www.extremevr.com.au/interactive-games-hire/Virtual-Reality/Mobile-VR-Party-Hire/ .</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Market Research Analyst observations</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External presentation pattern only</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Reported read 4 Oct 2026 by specialist; not independently rechecked here or approved Viri VR evidence.</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E11</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Human project clarification identifying Ajith Ratnarajah as CEO and authorised operational evidence owner.</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Human Authority Manager</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Operational evidence routing</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Approved owner identification; no underlying service fact is verified by the designation.</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5"/>
              </w:rPr>
              <w:t>E12</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Current local map, travel/price/package, availability, run sheet, technical and safety/insurance documents.</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Ajith / delegated owners</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C02–C09/C11–C12</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5"/>
              </w:rPr>
              <w:t>Not supplied for this review; requested in I01–I05.</w:t>
            </w:r>
          </w:p>
        </w:tc>
      </w:tr>
      <w:tr>
        <w:trPr>
          <w:cantSplit/>
        </w:trPr>
        <w:tc>
          <w:tcPr>
            <w:tcW w:type="dxa" w:w="90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5"/>
              </w:rPr>
              <w:t>E13</w:t>
            </w:r>
          </w:p>
        </w:tc>
        <w:tc>
          <w:tcPr>
            <w:tcW w:type="dxa" w:w="30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Permissioned local event assets, privacy/form policy, revised HP-002 copy and live implementation.</w:t>
            </w:r>
          </w:p>
        </w:tc>
        <w:tc>
          <w:tcPr>
            <w:tcW w:type="dxa" w:w="161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Evidence/privacy/product owners; Content Manager</w:t>
            </w:r>
          </w:p>
        </w:tc>
        <w:tc>
          <w:tcPr>
            <w:tcW w:type="dxa" w:w="194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C02/C10; later page review</w:t>
            </w:r>
          </w:p>
        </w:tc>
        <w:tc>
          <w:tcPr>
            <w:tcW w:type="dxa" w:w="306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5"/>
              </w:rPr>
              <w:t>Not supplied for this review; requested in I06–I07/I12.</w:t>
            </w:r>
          </w:p>
        </w:tc>
      </w:tr>
    </w:tbl>
    <w:p>
      <w:pPr>
        <w:spacing w:after="0"/>
      </w:pPr>
    </w:p>
    <w:p>
      <w:pPr>
        <w:pStyle w:val="Heading1"/>
      </w:pPr>
      <w:r>
        <w:t>12 Content Manager Handoff Summary</w:t>
      </w:r>
    </w:p>
    <w:p>
      <w:pPr>
        <w:spacing w:after="30" w:line="245" w:lineRule="auto"/>
      </w:pPr>
      <w:r>
        <w:rPr>
          <w:b/>
        </w:rPr>
        <w:t xml:space="preserve">Development readiness  </w:t>
      </w:r>
      <w:r>
        <w:t>Ready for Development with Conditions. Structure and source collection may begin; Ajith's owner input is required for local operating facts.</w:t>
      </w:r>
    </w:p>
    <w:p>
      <w:pPr>
        <w:spacing w:after="30" w:line="245" w:lineRule="auto"/>
      </w:pPr>
      <w:r>
        <w:rPr>
          <w:b/>
        </w:rPr>
        <w:t xml:space="preserve">Begin now  </w:t>
      </w:r>
      <w:r>
        <w:t>Draft the HP-002 local decision structure, three briefed answer slots, the approved HP-001 relationship, and evidence requests (F01, F10–F11).</w:t>
      </w:r>
    </w:p>
    <w:p>
      <w:pPr>
        <w:spacing w:after="30" w:line="245" w:lineRule="auto"/>
      </w:pPr>
      <w:r>
        <w:rPr>
          <w:b/>
        </w:rPr>
        <w:t xml:space="preserve">Hold  </w:t>
      </w:r>
      <w:r>
        <w:t>Do not finalise C02–C12 until the relevant evidence and approvals arrive; especially location/date, fees, safety, package and local proof.</w:t>
      </w:r>
    </w:p>
    <w:p>
      <w:pPr>
        <w:spacing w:after="30" w:line="245" w:lineRule="auto"/>
      </w:pPr>
      <w:r>
        <w:rPr>
          <w:b/>
        </w:rPr>
        <w:t xml:space="preserve">Highest priority  </w:t>
      </w:r>
      <w:r>
        <w:t>I01–I07: dated service and availability rules, mobile commercial/operational/safety documents, permissioned proof and privacy decisions.</w:t>
      </w:r>
    </w:p>
    <w:p>
      <w:pPr>
        <w:spacing w:after="30" w:line="245" w:lineRule="auto"/>
      </w:pPr>
      <w:r>
        <w:rPr>
          <w:b/>
        </w:rPr>
        <w:t xml:space="preserve">Authority and trust  </w:t>
      </w:r>
      <w:r>
        <w:t>Use O01–O05 when supported; route external presence and link/PR assessment through X01–X03 and I11.</w:t>
      </w:r>
    </w:p>
    <w:p>
      <w:pPr>
        <w:spacing w:after="30" w:line="245" w:lineRule="auto"/>
      </w:pPr>
      <w:r>
        <w:rPr>
          <w:b/>
        </w:rPr>
        <w:t xml:space="preserve">Specialist dependencies  </w:t>
      </w:r>
      <w:r>
        <w:t>Strategy/Search I08; Technical SEO I09; Analytics and AI Visibility I10; authority specialists I11.</w:t>
      </w:r>
    </w:p>
    <w:p>
      <w:pPr>
        <w:spacing w:after="30" w:line="245" w:lineRule="auto"/>
      </w:pPr>
      <w:r>
        <w:rPr>
          <w:b/>
        </w:rPr>
        <w:t xml:space="preserve">Return for review  </w:t>
      </w:r>
      <w:r>
        <w:t>Send the completed content or staged page, claim-to-source map and resolution record to the Authority Manager (I12). AWAITING PUBLICATION GATE — NOT APPROVED FOR RELEASE.</w:t>
      </w:r>
    </w:p>
    <w:sectPr w:rsidR="00FC693F" w:rsidRPr="0006063C" w:rsidSect="00034616">
      <w:pgSz w:w="12240" w:h="15840"/>
      <w:pgMar w:top="936" w:right="792" w:bottom="93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3F4752"/>
        <w:sz w:val="15"/>
      </w:rPr>
      <w:t xml:space="preserve">Pre-Development Authority Handoff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65F91"/>
        <w:sz w:val="17"/>
      </w:rPr>
      <w:t>Viri VR  |  HP-002 Authority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365F9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Liberation Sans" w:hAnsi="Liberation Sans"/>
      <w:i w:val="0"/>
      <w:iCs/>
      <w:color w:val="365F9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HP-002 Pre Development Authority Analysis and Recommendation Report</dc:title>
  <dc:subject>Authority Manager handoff to Content Manager</dc:subject>
  <dc:creator>Viri VR Authority Manager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