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180"/>
      </w:pPr>
      <w:r>
        <w:rPr>
          <w:rFonts w:ascii="Liberation Sans" w:hAnsi="Liberation Sans"/>
          <w:b/>
          <w:color w:val="17365D"/>
          <w:sz w:val="48"/>
        </w:rPr>
        <w:t>HP-001 Pre Development</w:t>
      </w:r>
    </w:p>
    <w:p>
      <w:pPr>
        <w:spacing w:after="200"/>
      </w:pPr>
      <w:r>
        <w:rPr>
          <w:rFonts w:ascii="Liberation Sans" w:hAnsi="Liberation Sans"/>
          <w:b/>
          <w:color w:val="2F5597"/>
          <w:sz w:val="42"/>
        </w:rPr>
        <w:t>Authority Manager Recommendation Report</w:t>
      </w:r>
    </w:p>
    <w:p>
      <w:pPr>
        <w:spacing w:after="360" w:before="0" w:line="259" w:lineRule="auto"/>
      </w:pPr>
      <w:r>
        <w:rPr>
          <w:rFonts w:ascii="Liberation Sans" w:hAnsi="Liberation Sans"/>
          <w:b/>
          <w:color w:val="1F2937"/>
          <w:sz w:val="26"/>
        </w:rPr>
        <w:t>VR Party at Home</w:t>
      </w:r>
    </w:p>
    <w:tbl>
      <w:tblPr>
        <w:tblStyle w:val="TableGrid"/>
        <w:tblW w:type="auto" w:w="0"/>
        <w:jc w:val="left"/>
        <w:tblLayout w:type="fixed"/>
        <w:tblLook w:firstColumn="1" w:firstRow="1" w:lastColumn="0" w:lastRow="0" w:noHBand="0" w:noVBand="1" w:val="04A0"/>
      </w:tblPr>
      <w:tblGrid>
        <w:gridCol w:w="5184"/>
        <w:gridCol w:w="5184"/>
      </w:tblGrid>
      <w:tr>
        <w:tc>
          <w:tcPr>
            <w:tcW w:type="dxa" w:w="2376"/>
            <w:shd w:fill="EEF3F8"/>
            <w:tcMar>
              <w:top w:w="90" w:type="dxa"/>
              <w:start w:w="100" w:type="dxa"/>
              <w:bottom w:w="90" w:type="dxa"/>
              <w:end w:w="100" w:type="dxa"/>
            </w:tcMar>
          </w:tcPr>
          <w:p>
            <w:r>
              <w:rPr>
                <w:rFonts w:ascii="Liberation Sans" w:hAnsi="Liberation Sans"/>
                <w:b/>
                <w:color w:val="17365D"/>
                <w:sz w:val="18"/>
              </w:rPr>
              <w:t>Recipient</w:t>
            </w:r>
          </w:p>
        </w:tc>
        <w:tc>
          <w:tcPr>
            <w:tcW w:type="dxa" w:w="7488"/>
            <w:tcMar>
              <w:top w:w="90" w:type="dxa"/>
              <w:start w:w="100" w:type="dxa"/>
              <w:bottom w:w="90" w:type="dxa"/>
              <w:end w:w="100" w:type="dxa"/>
            </w:tcMar>
          </w:tcPr>
          <w:p>
            <w:r>
              <w:rPr>
                <w:rFonts w:ascii="Liberation Sans" w:hAnsi="Liberation Sans"/>
                <w:b w:val="0"/>
                <w:color w:val="1F2937"/>
                <w:sz w:val="18"/>
              </w:rPr>
              <w:t>Content Manager</w:t>
            </w:r>
          </w:p>
        </w:tc>
      </w:tr>
      <w:tr>
        <w:tc>
          <w:tcPr>
            <w:tcW w:type="dxa" w:w="2376"/>
            <w:shd w:fill="EEF3F8"/>
            <w:tcMar>
              <w:top w:w="90" w:type="dxa"/>
              <w:start w:w="100" w:type="dxa"/>
              <w:bottom w:w="90" w:type="dxa"/>
              <w:end w:w="100" w:type="dxa"/>
            </w:tcMar>
          </w:tcPr>
          <w:p>
            <w:r>
              <w:rPr>
                <w:rFonts w:ascii="Liberation Sans" w:hAnsi="Liberation Sans"/>
                <w:b/>
                <w:color w:val="17365D"/>
                <w:sz w:val="18"/>
              </w:rPr>
              <w:t>Reviewer</w:t>
            </w:r>
          </w:p>
        </w:tc>
        <w:tc>
          <w:tcPr>
            <w:tcW w:type="dxa" w:w="7488"/>
            <w:tcMar>
              <w:top w:w="90" w:type="dxa"/>
              <w:start w:w="100" w:type="dxa"/>
              <w:bottom w:w="90" w:type="dxa"/>
              <w:end w:w="100" w:type="dxa"/>
            </w:tcMar>
          </w:tcPr>
          <w:p>
            <w:r>
              <w:rPr>
                <w:rFonts w:ascii="Liberation Sans" w:hAnsi="Liberation Sans"/>
                <w:b w:val="0"/>
                <w:color w:val="1F2937"/>
                <w:sz w:val="18"/>
              </w:rPr>
              <w:t>Authority Manager</w:t>
            </w:r>
          </w:p>
        </w:tc>
      </w:tr>
      <w:tr>
        <w:tc>
          <w:tcPr>
            <w:tcW w:type="dxa" w:w="2376"/>
            <w:shd w:fill="EEF3F8"/>
            <w:tcMar>
              <w:top w:w="90" w:type="dxa"/>
              <w:start w:w="100" w:type="dxa"/>
              <w:bottom w:w="90" w:type="dxa"/>
              <w:end w:w="100" w:type="dxa"/>
            </w:tcMar>
          </w:tcPr>
          <w:p>
            <w:r>
              <w:rPr>
                <w:rFonts w:ascii="Liberation Sans" w:hAnsi="Liberation Sans"/>
                <w:b/>
                <w:color w:val="17365D"/>
                <w:sz w:val="18"/>
              </w:rPr>
              <w:t>Page / Workstream</w:t>
            </w:r>
          </w:p>
        </w:tc>
        <w:tc>
          <w:tcPr>
            <w:tcW w:type="dxa" w:w="7488"/>
            <w:tcMar>
              <w:top w:w="90" w:type="dxa"/>
              <w:start w:w="100" w:type="dxa"/>
              <w:bottom w:w="90" w:type="dxa"/>
              <w:end w:w="100" w:type="dxa"/>
            </w:tcMar>
          </w:tcPr>
          <w:p>
            <w:r>
              <w:rPr>
                <w:rFonts w:ascii="Liberation Sans" w:hAnsi="Liberation Sans"/>
                <w:b w:val="0"/>
                <w:color w:val="1F2937"/>
                <w:sz w:val="18"/>
              </w:rPr>
              <w:t>HP-001 - VR Party at Home</w:t>
            </w:r>
          </w:p>
        </w:tc>
      </w:tr>
      <w:tr>
        <w:tc>
          <w:tcPr>
            <w:tcW w:type="dxa" w:w="2376"/>
            <w:shd w:fill="EEF3F8"/>
            <w:tcMar>
              <w:top w:w="90" w:type="dxa"/>
              <w:start w:w="100" w:type="dxa"/>
              <w:bottom w:w="90" w:type="dxa"/>
              <w:end w:w="100" w:type="dxa"/>
            </w:tcMar>
          </w:tcPr>
          <w:p>
            <w:r>
              <w:rPr>
                <w:rFonts w:ascii="Liberation Sans" w:hAnsi="Liberation Sans"/>
                <w:b/>
                <w:color w:val="17365D"/>
                <w:sz w:val="18"/>
              </w:rPr>
              <w:t>Approved proposed URL</w:t>
            </w:r>
          </w:p>
        </w:tc>
        <w:tc>
          <w:tcPr>
            <w:tcW w:type="dxa" w:w="7488"/>
            <w:tcMar>
              <w:top w:w="90" w:type="dxa"/>
              <w:start w:w="100" w:type="dxa"/>
              <w:bottom w:w="90" w:type="dxa"/>
              <w:end w:w="100" w:type="dxa"/>
            </w:tcMar>
          </w:tcPr>
          <w:p>
            <w:r>
              <w:rPr>
                <w:rFonts w:ascii="Liberation Sans" w:hAnsi="Liberation Sans"/>
                <w:b w:val="0"/>
                <w:color w:val="1F2937"/>
                <w:sz w:val="18"/>
              </w:rPr>
              <w:t>https://virivr.com.au/house-party/</w:t>
            </w:r>
          </w:p>
        </w:tc>
      </w:tr>
      <w:tr>
        <w:tc>
          <w:tcPr>
            <w:tcW w:type="dxa" w:w="2376"/>
            <w:shd w:fill="EEF3F8"/>
            <w:tcMar>
              <w:top w:w="90" w:type="dxa"/>
              <w:start w:w="100" w:type="dxa"/>
              <w:bottom w:w="90" w:type="dxa"/>
              <w:end w:w="100" w:type="dxa"/>
            </w:tcMar>
          </w:tcPr>
          <w:p>
            <w:r>
              <w:rPr>
                <w:rFonts w:ascii="Liberation Sans" w:hAnsi="Liberation Sans"/>
                <w:b/>
                <w:color w:val="17365D"/>
                <w:sz w:val="18"/>
              </w:rPr>
              <w:t>Stage</w:t>
            </w:r>
          </w:p>
        </w:tc>
        <w:tc>
          <w:tcPr>
            <w:tcW w:type="dxa" w:w="7488"/>
            <w:tcMar>
              <w:top w:w="90" w:type="dxa"/>
              <w:start w:w="100" w:type="dxa"/>
              <w:bottom w:w="90" w:type="dxa"/>
              <w:end w:w="100" w:type="dxa"/>
            </w:tcMar>
          </w:tcPr>
          <w:p>
            <w:r>
              <w:rPr>
                <w:rFonts w:ascii="Liberation Sans" w:hAnsi="Liberation Sans"/>
                <w:b w:val="0"/>
                <w:color w:val="1F2937"/>
                <w:sz w:val="18"/>
              </w:rPr>
              <w:t>Pre-development Authority handoff</w:t>
            </w:r>
          </w:p>
        </w:tc>
      </w:tr>
    </w:tbl>
    <w:p>
      <w:pPr>
        <w:spacing w:after="160" w:before="0" w:line="259" w:lineRule="auto"/>
      </w:pPr>
    </w:p>
    <w:tbl>
      <w:tblPr>
        <w:tblW w:type="auto" w:w="0"/>
        <w:jc w:val="center"/>
        <w:tblLayout w:type="fixed"/>
        <w:tblLook w:firstColumn="1" w:firstRow="1" w:lastColumn="0" w:lastRow="0" w:noHBand="0" w:noVBand="1" w:val="04A0"/>
      </w:tblPr>
      <w:tblGrid>
        <w:gridCol w:w="10368"/>
      </w:tblGrid>
      <w:tr>
        <w:tc>
          <w:tcPr>
            <w:tcW w:type="dxa" w:w="10224"/>
            <w:shd w:fill="E2F0D9"/>
            <w:tcMar>
              <w:top w:w="120" w:type="dxa"/>
              <w:start w:w="140" w:type="dxa"/>
              <w:bottom w:w="120" w:type="dxa"/>
              <w:end w:w="140" w:type="dxa"/>
            </w:tcMar>
          </w:tcPr>
          <w:p>
            <w:pPr>
              <w:spacing w:after="60"/>
            </w:pPr>
            <w:r>
              <w:rPr>
                <w:rFonts w:ascii="Liberation Sans" w:hAnsi="Liberation Sans"/>
                <w:b/>
                <w:color w:val="17365D"/>
                <w:sz w:val="23"/>
              </w:rPr>
              <w:t>Handoff status: READY FOR CONTENT DEVELOPMENT WITH CONDITIONS</w:t>
            </w:r>
          </w:p>
          <w:p>
            <w:pPr>
              <w:spacing w:after="0" w:line="252" w:lineRule="auto"/>
            </w:pPr>
            <w:r>
              <w:rPr>
                <w:rFonts w:ascii="Liberation Sans" w:hAnsi="Liberation Sans"/>
                <w:b w:val="0"/>
                <w:color w:val="1F2937"/>
                <w:sz w:val="20"/>
              </w:rPr>
              <w:t>Content development may begin using the supported HP-001 page role, search intent, approved keyword inputs and evidence-aware AEO structure. Evidence-dependent operational claims must remain conditional until the required source or owner confirmation is recorded.</w:t>
            </w:r>
          </w:p>
        </w:tc>
      </w:tr>
    </w:tbl>
    <w:p>
      <w:pPr>
        <w:spacing w:after="0"/>
      </w:pPr>
    </w:p>
    <w:p>
      <w:pPr>
        <w:spacing w:after="100" w:before="80" w:line="259" w:lineRule="auto"/>
      </w:pPr>
      <w:r>
        <w:rPr>
          <w:rFonts w:ascii="Liberation Sans" w:hAnsi="Liberation Sans"/>
          <w:b/>
          <w:color w:val="7A1E1E"/>
          <w:sz w:val="19"/>
        </w:rPr>
        <w:t>This report is a pre-development Authority handoff. It is not a completed-page audit, publication-readiness decision, editorial approval or publication approval.</w:t>
      </w:r>
    </w:p>
    <w:p>
      <w:r>
        <w:br w:type="page"/>
      </w:r>
    </w:p>
    <w:p>
      <w:pPr>
        <w:pStyle w:val="Heading1"/>
        <w:keepNext/>
        <w:spacing w:before="200" w:after="100"/>
      </w:pPr>
      <w:r>
        <w:rPr>
          <w:rFonts w:ascii="Liberation Sans" w:hAnsi="Liberation Sans"/>
          <w:b/>
          <w:color w:val="17365D"/>
          <w:sz w:val="30"/>
        </w:rPr>
        <w:t>1. Purpose, Scope and Source Basis</w:t>
      </w:r>
    </w:p>
    <w:p>
      <w:pPr>
        <w:spacing w:after="100" w:before="0" w:line="259" w:lineRule="auto"/>
      </w:pPr>
      <w:r>
        <w:rPr>
          <w:rFonts w:ascii="Liberation Sans" w:hAnsi="Liberation Sans"/>
          <w:b w:val="0"/>
          <w:color w:val="1F2937"/>
          <w:sz w:val="21"/>
        </w:rPr>
        <w:t>This report converts the controlled HP-001 Authority, Trust and Evidence findings into an implementation handoff for the Content Manager. It defines what can be used now, what remains conditional, what evidence is still required, and what must be routed to another owner or specialist.</w:t>
      </w:r>
    </w:p>
    <w:p>
      <w:pPr>
        <w:spacing w:after="100" w:before="0" w:line="259" w:lineRule="auto"/>
      </w:pPr>
      <w:r>
        <w:rPr>
          <w:rFonts w:ascii="Liberation Sans" w:hAnsi="Liberation Sans"/>
          <w:b w:val="0"/>
          <w:color w:val="1F2937"/>
          <w:sz w:val="21"/>
        </w:rPr>
        <w:t>The current combined Keyword, AEO &amp; Authority Framework defines the HP-001 search and AEO inputs while explicitly treating keywords as visibility targets rather than verified ranking or volume data. It also requires operational claims such as pricing, capacity, availability, service area, package inclusions and safety requirements to be confirmed before publication.</w:t>
      </w:r>
    </w:p>
    <w:p>
      <w:pPr>
        <w:spacing w:after="60" w:before="0" w:line="259" w:lineRule="auto"/>
      </w:pPr>
      <w:r>
        <w:rPr>
          <w:rFonts w:ascii="Liberation Sans" w:hAnsi="Liberation Sans"/>
          <w:b/>
          <w:color w:val="17365D"/>
          <w:sz w:val="21"/>
        </w:rPr>
        <w:t>Primary source basis:</w:t>
      </w:r>
    </w:p>
    <w:p>
      <w:pPr>
        <w:pStyle w:val="ListBullet"/>
        <w:spacing w:after="40" w:line="252" w:lineRule="auto"/>
      </w:pPr>
      <w:r>
        <w:rPr>
          <w:rFonts w:ascii="Liberation Sans" w:hAnsi="Liberation Sans"/>
          <w:b w:val="0"/>
          <w:color w:val="1F2937"/>
          <w:sz w:val="20"/>
        </w:rPr>
        <w:t>Digital Marketing Centre of Excellence Graduate Handbook - highest-priority governance source.</w:t>
      </w:r>
    </w:p>
    <w:p>
      <w:pPr>
        <w:pStyle w:val="ListBullet"/>
        <w:spacing w:after="40" w:line="252" w:lineRule="auto"/>
      </w:pPr>
      <w:r>
        <w:rPr>
          <w:rFonts w:ascii="Liberation Sans" w:hAnsi="Liberation Sans"/>
          <w:b w:val="0"/>
          <w:color w:val="1F2937"/>
          <w:sz w:val="20"/>
        </w:rPr>
        <w:t>Authority Manager Agent Specification.</w:t>
      </w:r>
    </w:p>
    <w:p>
      <w:pPr>
        <w:pStyle w:val="ListBullet"/>
        <w:spacing w:after="40" w:line="252" w:lineRule="auto"/>
      </w:pPr>
      <w:r>
        <w:rPr>
          <w:rFonts w:ascii="Liberation Sans" w:hAnsi="Liberation Sans"/>
          <w:b w:val="0"/>
          <w:color w:val="1F2937"/>
          <w:sz w:val="20"/>
        </w:rPr>
        <w:t>Authority Manager Audit Criteria Framework.</w:t>
      </w:r>
    </w:p>
    <w:p>
      <w:pPr>
        <w:pStyle w:val="ListBullet"/>
        <w:spacing w:after="40" w:line="252" w:lineRule="auto"/>
      </w:pPr>
      <w:r>
        <w:rPr>
          <w:rFonts w:ascii="Liberation Sans" w:hAnsi="Liberation Sans"/>
          <w:b w:val="0"/>
          <w:color w:val="1F2937"/>
          <w:sz w:val="20"/>
        </w:rPr>
        <w:t>Viri_VR_House_Party_Content_Authority_Architecture_v1 workbook.</w:t>
      </w:r>
    </w:p>
    <w:p>
      <w:pPr>
        <w:pStyle w:val="ListBullet"/>
        <w:spacing w:after="40" w:line="252" w:lineRule="auto"/>
      </w:pPr>
      <w:r>
        <w:rPr>
          <w:rFonts w:ascii="Liberation Sans" w:hAnsi="Liberation Sans"/>
          <w:b w:val="0"/>
          <w:color w:val="1F2937"/>
          <w:sz w:val="20"/>
        </w:rPr>
        <w:t>Approved project instructions, including the established operational-evidence role for Ajith Ratnarajah.</w:t>
      </w:r>
    </w:p>
    <w:p>
      <w:pPr>
        <w:pStyle w:val="ListBullet"/>
        <w:spacing w:after="40" w:line="252" w:lineRule="auto"/>
      </w:pPr>
      <w:r>
        <w:rPr>
          <w:rFonts w:ascii="Liberation Sans" w:hAnsi="Liberation Sans"/>
          <w:b w:val="0"/>
          <w:color w:val="1F2937"/>
          <w:sz w:val="20"/>
        </w:rPr>
        <w:t>Current combined Keyword, AEO &amp; Authority Framework as an upstream search/AEO/content input, not independent verification of embedded Authority statements.</w:t>
      </w:r>
    </w:p>
    <w:p>
      <w:pPr>
        <w:spacing w:after="40" w:before="80" w:line="259" w:lineRule="auto"/>
      </w:pPr>
      <w:r>
        <w:rPr>
          <w:rFonts w:ascii="Liberation Sans" w:hAnsi="Liberation Sans"/>
          <w:b/>
          <w:color w:val="17365D"/>
          <w:sz w:val="21"/>
        </w:rPr>
        <w:t>Role boundary:</w:t>
      </w:r>
    </w:p>
    <w:p>
      <w:pPr>
        <w:spacing w:after="100" w:before="0" w:line="259" w:lineRule="auto"/>
      </w:pPr>
      <w:r>
        <w:rPr>
          <w:rFonts w:ascii="Liberation Sans" w:hAnsi="Liberation Sans"/>
          <w:b w:val="0"/>
          <w:color w:val="1F2937"/>
          <w:sz w:val="21"/>
        </w:rPr>
        <w:t>The Authority Manager reviews evidence, credibility, trust, claim verification, brand consistency, proof/citation requirements, authority opportunities, risk and specialist routing. Content drafting, keyword-strategy changes, Technical SEO implementation, detailed backlink analysis, Digital PR campaigns and specialist Brand Authority analysis remain with the relevant owners.</w:t>
      </w:r>
    </w:p>
    <w:p>
      <w:pPr>
        <w:pStyle w:val="Heading1"/>
        <w:keepNext/>
        <w:spacing w:before="200" w:after="100"/>
      </w:pPr>
      <w:r>
        <w:rPr>
          <w:rFonts w:ascii="Liberation Sans" w:hAnsi="Liberation Sans"/>
          <w:b/>
          <w:color w:val="17365D"/>
          <w:sz w:val="30"/>
        </w:rPr>
        <w:t>2. Authority / Evidence Handoff Status</w:t>
      </w:r>
    </w:p>
    <w:tbl>
      <w:tblPr>
        <w:tblW w:type="auto" w:w="0"/>
        <w:jc w:val="center"/>
        <w:tblLayout w:type="fixed"/>
        <w:tblLook w:firstColumn="1" w:firstRow="1" w:lastColumn="0" w:lastRow="0" w:noHBand="0" w:noVBand="1" w:val="04A0"/>
      </w:tblPr>
      <w:tblGrid>
        <w:gridCol w:w="10368"/>
      </w:tblGrid>
      <w:tr>
        <w:tc>
          <w:tcPr>
            <w:tcW w:type="dxa" w:w="10224"/>
            <w:shd w:fill="E2F0D9"/>
            <w:tcMar>
              <w:top w:w="120" w:type="dxa"/>
              <w:start w:w="140" w:type="dxa"/>
              <w:bottom w:w="120" w:type="dxa"/>
              <w:end w:w="140" w:type="dxa"/>
            </w:tcMar>
          </w:tcPr>
          <w:p>
            <w:pPr>
              <w:spacing w:after="60"/>
            </w:pPr>
            <w:r>
              <w:rPr>
                <w:rFonts w:ascii="Liberation Sans" w:hAnsi="Liberation Sans"/>
                <w:b/>
                <w:color w:val="17365D"/>
                <w:sz w:val="23"/>
              </w:rPr>
              <w:t>READY FOR CONTENT DEVELOPMENT WITH CONDITIONS</w:t>
            </w:r>
          </w:p>
          <w:p>
            <w:pPr>
              <w:spacing w:after="0" w:line="252" w:lineRule="auto"/>
            </w:pPr>
            <w:r>
              <w:rPr>
                <w:rFonts w:ascii="Liberation Sans" w:hAnsi="Liberation Sans"/>
                <w:b w:val="0"/>
                <w:color w:val="1F2937"/>
                <w:sz w:val="20"/>
              </w:rPr>
              <w:t>The supported page role, search intent, Architecture-backed keywords and AEO question structure are sufficient for controlled Content development. Final factual wording remains conditional for package details, age/capacity, rotations, space, safety, insurance, technical requirements, contingencies, pricing, availability, travel, response commitments and customer proof.</w:t>
            </w:r>
          </w:p>
        </w:tc>
      </w:tr>
    </w:tbl>
    <w:p>
      <w:pPr>
        <w:spacing w:after="0"/>
      </w:pPr>
    </w:p>
    <w:p>
      <w:pPr>
        <w:spacing w:after="40" w:before="0" w:line="259" w:lineRule="auto"/>
      </w:pPr>
      <w:r>
        <w:rPr>
          <w:rFonts w:ascii="Liberation Sans" w:hAnsi="Liberation Sans"/>
          <w:b/>
          <w:color w:val="17365D"/>
          <w:sz w:val="21"/>
        </w:rPr>
        <w:t>Two structural matters remain open:</w:t>
      </w:r>
    </w:p>
    <w:p>
      <w:pPr>
        <w:pStyle w:val="ListBullet"/>
        <w:spacing w:after="40" w:line="252" w:lineRule="auto"/>
      </w:pPr>
      <w:r>
        <w:rPr>
          <w:rFonts w:ascii="Liberation Sans" w:hAnsi="Liberation Sans"/>
          <w:b w:val="0"/>
          <w:color w:val="1F2937"/>
          <w:sz w:val="20"/>
        </w:rPr>
        <w:t>Cross-page ownership: the new three-service framework may overlap the approved Architecture because HP-001 itself is already defined as a fully hosted at-home/private-space service.</w:t>
      </w:r>
    </w:p>
    <w:p>
      <w:pPr>
        <w:pStyle w:val="ListBullet"/>
        <w:spacing w:after="40" w:line="252" w:lineRule="auto"/>
      </w:pPr>
      <w:r>
        <w:rPr>
          <w:rFonts w:ascii="Liberation Sans" w:hAnsi="Liberation Sans"/>
          <w:b w:val="0"/>
          <w:color w:val="1F2937"/>
          <w:sz w:val="20"/>
        </w:rPr>
        <w:t>Brand/entity naming: project materials contain inconsistent naming. Final public-facing content must use the human-approved brand/entity form. For this report, all references are standardised to Viri VR as instructed.</w:t>
      </w:r>
    </w:p>
    <w:p>
      <w:pPr>
        <w:spacing w:after="100" w:before="0" w:line="259" w:lineRule="auto"/>
      </w:pPr>
      <w:r>
        <w:rPr>
          <w:rFonts w:ascii="Liberation Sans" w:hAnsi="Liberation Sans"/>
          <w:b w:val="0"/>
          <w:color w:val="1F2937"/>
          <w:sz w:val="21"/>
        </w:rPr>
        <w:t>These issues do not prevent evidence-controlled structure development, but affected public-facing positioning must not be finalised until the relevant owner confirms the decision.</w:t>
      </w:r>
    </w:p>
    <w:p>
      <w:pPr>
        <w:sectPr>
          <w:headerReference w:type="default" r:id="rId9"/>
          <w:footerReference w:type="default" r:id="rId10"/>
          <w:pgSz w:w="12240" w:h="15840"/>
          <w:pgMar w:top="936" w:right="936" w:bottom="936" w:left="936" w:header="432" w:footer="432" w:gutter="0"/>
          <w:cols w:space="720"/>
          <w:docGrid w:linePitch="360"/>
        </w:sectPr>
      </w:pPr>
    </w:p>
    <w:p>
      <w:pPr>
        <w:pStyle w:val="Heading1"/>
        <w:keepNext/>
        <w:spacing w:before="200" w:after="100"/>
      </w:pPr>
      <w:r>
        <w:rPr>
          <w:rFonts w:ascii="Liberation Sans" w:hAnsi="Liberation Sans"/>
          <w:b/>
          <w:color w:val="17365D"/>
          <w:sz w:val="30"/>
        </w:rPr>
        <w:t>3. Authority, Brand Presence and Growth Recommendations</w:t>
      </w:r>
    </w:p>
    <w:tbl>
      <w:tblPr>
        <w:tblStyle w:val="TableGrid"/>
        <w:tblW w:type="auto" w:w="0"/>
        <w:jc w:val="center"/>
        <w:tblLayout w:type="fixed"/>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892"/>
            <w:shd w:fill="17365D"/>
            <w:tcMar>
              <w:top w:w="90" w:type="dxa"/>
              <w:start w:w="75" w:type="dxa"/>
              <w:bottom w:w="90" w:type="dxa"/>
              <w:end w:w="75" w:type="dxa"/>
            </w:tcMar>
            <w:vAlign w:val="center"/>
          </w:tcPr>
          <w:p>
            <w:pPr>
              <w:spacing w:after="0" w:line="240" w:lineRule="auto"/>
              <w:jc w:val="center"/>
            </w:pPr>
            <w:r>
              <w:rPr>
                <w:rFonts w:ascii="Liberation Sans" w:hAnsi="Liberation Sans"/>
                <w:b/>
                <w:color w:val="FFFFFF"/>
                <w:sz w:val="16"/>
              </w:rPr>
              <w:t>ID</w:t>
            </w:r>
          </w:p>
        </w:tc>
        <w:tc>
          <w:tcPr>
            <w:tcW w:type="dxa" w:w="1728"/>
            <w:shd w:fill="17365D"/>
            <w:tcMar>
              <w:top w:w="90" w:type="dxa"/>
              <w:start w:w="75" w:type="dxa"/>
              <w:bottom w:w="90" w:type="dxa"/>
              <w:end w:w="75" w:type="dxa"/>
            </w:tcMar>
            <w:vAlign w:val="center"/>
          </w:tcPr>
          <w:p>
            <w:pPr>
              <w:spacing w:after="0" w:line="240" w:lineRule="auto"/>
              <w:jc w:val="center"/>
            </w:pPr>
            <w:r>
              <w:rPr>
                <w:rFonts w:ascii="Liberation Sans" w:hAnsi="Liberation Sans"/>
                <w:b/>
                <w:color w:val="FFFFFF"/>
                <w:sz w:val="16"/>
              </w:rPr>
              <w:t>Area / Opportunity</w:t>
            </w:r>
          </w:p>
        </w:tc>
        <w:tc>
          <w:tcPr>
            <w:tcW w:type="dxa" w:w="2376"/>
            <w:shd w:fill="17365D"/>
            <w:tcMar>
              <w:top w:w="90" w:type="dxa"/>
              <w:start w:w="75" w:type="dxa"/>
              <w:bottom w:w="90" w:type="dxa"/>
              <w:end w:w="75" w:type="dxa"/>
            </w:tcMar>
            <w:vAlign w:val="center"/>
          </w:tcPr>
          <w:p>
            <w:pPr>
              <w:spacing w:after="0" w:line="240" w:lineRule="auto"/>
              <w:jc w:val="center"/>
            </w:pPr>
            <w:r>
              <w:rPr>
                <w:rFonts w:ascii="Liberation Sans" w:hAnsi="Liberation Sans"/>
                <w:b/>
                <w:color w:val="FFFFFF"/>
                <w:sz w:val="16"/>
              </w:rPr>
              <w:t>Authority / Evidence Finding</w:t>
            </w:r>
          </w:p>
        </w:tc>
        <w:tc>
          <w:tcPr>
            <w:tcW w:type="dxa" w:w="2476"/>
            <w:shd w:fill="17365D"/>
            <w:tcMar>
              <w:top w:w="90" w:type="dxa"/>
              <w:start w:w="75" w:type="dxa"/>
              <w:bottom w:w="90" w:type="dxa"/>
              <w:end w:w="75" w:type="dxa"/>
            </w:tcMar>
            <w:vAlign w:val="center"/>
          </w:tcPr>
          <w:p>
            <w:pPr>
              <w:spacing w:after="0" w:line="240" w:lineRule="auto"/>
              <w:jc w:val="center"/>
            </w:pPr>
            <w:r>
              <w:rPr>
                <w:rFonts w:ascii="Liberation Sans" w:hAnsi="Liberation Sans"/>
                <w:b/>
                <w:color w:val="FFFFFF"/>
                <w:sz w:val="16"/>
              </w:rPr>
              <w:t>Authority Manager Recommendation</w:t>
            </w:r>
          </w:p>
        </w:tc>
        <w:tc>
          <w:tcPr>
            <w:tcW w:type="dxa" w:w="2332"/>
            <w:shd w:fill="17365D"/>
            <w:tcMar>
              <w:top w:w="90" w:type="dxa"/>
              <w:start w:w="75" w:type="dxa"/>
              <w:bottom w:w="90" w:type="dxa"/>
              <w:end w:w="75" w:type="dxa"/>
            </w:tcMar>
            <w:vAlign w:val="center"/>
          </w:tcPr>
          <w:p>
            <w:pPr>
              <w:spacing w:after="0" w:line="240" w:lineRule="auto"/>
              <w:jc w:val="center"/>
            </w:pPr>
            <w:r>
              <w:rPr>
                <w:rFonts w:ascii="Liberation Sans" w:hAnsi="Liberation Sans"/>
                <w:b/>
                <w:color w:val="FFFFFF"/>
                <w:sz w:val="16"/>
              </w:rPr>
              <w:t>Content Manager Action</w:t>
            </w:r>
          </w:p>
        </w:tc>
        <w:tc>
          <w:tcPr>
            <w:tcW w:type="dxa" w:w="2232"/>
            <w:shd w:fill="17365D"/>
            <w:tcMar>
              <w:top w:w="90" w:type="dxa"/>
              <w:start w:w="75" w:type="dxa"/>
              <w:bottom w:w="90" w:type="dxa"/>
              <w:end w:w="75" w:type="dxa"/>
            </w:tcMar>
            <w:vAlign w:val="center"/>
          </w:tcPr>
          <w:p>
            <w:pPr>
              <w:spacing w:after="0" w:line="240" w:lineRule="auto"/>
              <w:jc w:val="center"/>
            </w:pPr>
            <w:r>
              <w:rPr>
                <w:rFonts w:ascii="Liberation Sans" w:hAnsi="Liberation Sans"/>
                <w:b/>
                <w:color w:val="FFFFFF"/>
                <w:sz w:val="16"/>
              </w:rPr>
              <w:t>Evidence / Owner / Specialist</w:t>
            </w:r>
          </w:p>
        </w:tc>
        <w:tc>
          <w:tcPr>
            <w:tcW w:type="dxa" w:w="921"/>
            <w:shd w:fill="17365D"/>
            <w:tcMar>
              <w:top w:w="90" w:type="dxa"/>
              <w:start w:w="75" w:type="dxa"/>
              <w:bottom w:w="90" w:type="dxa"/>
              <w:end w:w="75" w:type="dxa"/>
            </w:tcMar>
            <w:vAlign w:val="center"/>
          </w:tcPr>
          <w:p>
            <w:pPr>
              <w:spacing w:after="0" w:line="240" w:lineRule="auto"/>
              <w:jc w:val="center"/>
            </w:pPr>
            <w:r>
              <w:rPr>
                <w:rFonts w:ascii="Liberation Sans" w:hAnsi="Liberation Sans"/>
                <w:b/>
                <w:color w:val="FFFFFF"/>
                <w:sz w:val="16"/>
              </w:rPr>
              <w:t>Priority</w:t>
            </w:r>
          </w:p>
        </w:tc>
      </w:tr>
      <w:tr>
        <w:trPr>
          <w:trHeight w:hRule="atLeast"/>
          <w:cantSplit/>
        </w:trPr>
        <w:tc>
          <w:tcPr>
            <w:tcW w:type="dxa" w:w="892"/>
            <w:tcMar>
              <w:top w:w="80" w:type="dxa"/>
              <w:start w:w="75" w:type="dxa"/>
              <w:bottom w:w="80" w:type="dxa"/>
              <w:end w:w="75" w:type="dxa"/>
            </w:tcMar>
            <w:vAlign w:val="center"/>
          </w:tcPr>
          <w:p>
            <w:pPr>
              <w:spacing w:after="0" w:line="240" w:lineRule="auto"/>
              <w:jc w:val="center"/>
            </w:pPr>
            <w:r>
              <w:rPr>
                <w:rFonts w:ascii="Liberation Sans" w:hAnsi="Liberation Sans"/>
                <w:b/>
                <w:color w:val="1F2937"/>
                <w:sz w:val="16"/>
              </w:rPr>
              <w:t>R-01</w:t>
            </w:r>
          </w:p>
        </w:tc>
        <w:tc>
          <w:tcPr>
            <w:tcW w:type="dxa" w:w="1728"/>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HP-001 service definition</w:t>
            </w:r>
          </w:p>
        </w:tc>
        <w:tc>
          <w:tcPr>
            <w:tcW w:type="dxa" w:w="2376"/>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F-01/F-04: the at-home commercial role is supported, but the detailed meaning of hosted/fully hosted is evidence-dependent.</w:t>
            </w:r>
          </w:p>
        </w:tc>
        <w:tc>
          <w:tcPr>
            <w:tcW w:type="dxa" w:w="2476"/>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Build around the approved at-home role without expanding the service definition beyond verified facts.</w:t>
            </w:r>
          </w:p>
        </w:tc>
        <w:tc>
          <w:tcPr>
            <w:tcW w:type="dxa" w:w="2332"/>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Use the approved page purpose now; keep detailed hosting/equipment/service-entitlement wording conditional.</w:t>
            </w:r>
          </w:p>
        </w:tc>
        <w:tc>
          <w:tcPr>
            <w:tcW w:type="dxa" w:w="2232"/>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Current service/package definition from Ajith.</w:t>
            </w:r>
          </w:p>
        </w:tc>
        <w:tc>
          <w:tcPr>
            <w:tcW w:type="dxa" w:w="921"/>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High</w:t>
            </w:r>
          </w:p>
        </w:tc>
      </w:tr>
      <w:tr>
        <w:trPr>
          <w:trHeight w:hRule="atLeast"/>
          <w:cantSplit/>
        </w:trPr>
        <w:tc>
          <w:tcPr>
            <w:tcW w:type="dxa" w:w="892"/>
            <w:tcMar>
              <w:top w:w="80" w:type="dxa"/>
              <w:start w:w="75" w:type="dxa"/>
              <w:bottom w:w="80" w:type="dxa"/>
              <w:end w:w="75" w:type="dxa"/>
            </w:tcMar>
            <w:vAlign w:val="center"/>
            <w:shd w:fill="FAFBFC"/>
          </w:tcPr>
          <w:p>
            <w:pPr>
              <w:spacing w:after="0" w:line="240" w:lineRule="auto"/>
              <w:jc w:val="center"/>
            </w:pPr>
            <w:r>
              <w:rPr>
                <w:rFonts w:ascii="Liberation Sans" w:hAnsi="Liberation Sans"/>
                <w:b/>
                <w:color w:val="1F2937"/>
                <w:sz w:val="16"/>
              </w:rPr>
              <w:t>R-02</w:t>
            </w:r>
          </w:p>
        </w:tc>
        <w:tc>
          <w:tcPr>
            <w:tcW w:type="dxa" w:w="1728"/>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Package, equipment, setup and hosting</w:t>
            </w:r>
          </w:p>
        </w:tc>
        <w:tc>
          <w:tcPr>
            <w:tcW w:type="dxa" w:w="2376"/>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F-05/F-06: these details are required but not verified.</w:t>
            </w:r>
          </w:p>
        </w:tc>
        <w:tc>
          <w:tcPr>
            <w:tcW w:type="dxa" w:w="2476"/>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Do not infer quantities, timings, staffing, session structures or inclusions from search questions or generic VR practice.</w:t>
            </w:r>
          </w:p>
        </w:tc>
        <w:tc>
          <w:tcPr>
            <w:tcW w:type="dxa" w:w="2332"/>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Create placeholders/evidence notes rather than inserting assumed facts.</w:t>
            </w:r>
          </w:p>
        </w:tc>
        <w:tc>
          <w:tcPr>
            <w:tcW w:type="dxa" w:w="2232"/>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Current package sheet; equipment allocation; setup/pack-down; staffing/rotation rules. Ajith + technical owner where applicable.</w:t>
            </w:r>
          </w:p>
        </w:tc>
        <w:tc>
          <w:tcPr>
            <w:tcW w:type="dxa" w:w="921"/>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High</w:t>
            </w:r>
          </w:p>
        </w:tc>
      </w:tr>
      <w:tr>
        <w:trPr>
          <w:trHeight w:hRule="atLeast"/>
          <w:cantSplit/>
        </w:trPr>
        <w:tc>
          <w:tcPr>
            <w:tcW w:type="dxa" w:w="892"/>
            <w:tcMar>
              <w:top w:w="80" w:type="dxa"/>
              <w:start w:w="75" w:type="dxa"/>
              <w:bottom w:w="80" w:type="dxa"/>
              <w:end w:w="75" w:type="dxa"/>
            </w:tcMar>
            <w:vAlign w:val="center"/>
          </w:tcPr>
          <w:p>
            <w:pPr>
              <w:spacing w:after="0" w:line="240" w:lineRule="auto"/>
              <w:jc w:val="center"/>
            </w:pPr>
            <w:r>
              <w:rPr>
                <w:rFonts w:ascii="Liberation Sans" w:hAnsi="Liberation Sans"/>
                <w:b/>
                <w:color w:val="1F2937"/>
                <w:sz w:val="16"/>
              </w:rPr>
              <w:t>R-03</w:t>
            </w:r>
          </w:p>
        </w:tc>
        <w:tc>
          <w:tcPr>
            <w:tcW w:type="dxa" w:w="1728"/>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Safety, space and technical trust</w:t>
            </w:r>
          </w:p>
        </w:tc>
        <w:tc>
          <w:tcPr>
            <w:tcW w:type="dxa" w:w="2376"/>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F-07-F-10: space, supervision, safety, liability, connectivity and contingencies are trust-sensitive and evidence-dependent.</w:t>
            </w:r>
          </w:p>
        </w:tc>
        <w:tc>
          <w:tcPr>
            <w:tcW w:type="dxa" w:w="2476"/>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Give these topics prominent evidence-led treatment once verified because they address high-intent customer concerns.</w:t>
            </w:r>
          </w:p>
        </w:tc>
        <w:tc>
          <w:tcPr>
            <w:tcW w:type="dxa" w:w="2332"/>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Structure the sections now, but do not finalise thresholds, assurances or contingency commitments without evidence.</w:t>
            </w:r>
          </w:p>
        </w:tc>
        <w:tc>
          <w:tcPr>
            <w:tcW w:type="dxa" w:w="2232"/>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Ajith for operational process; authorised safety/insurance/legal/technical owners where required.</w:t>
            </w:r>
          </w:p>
        </w:tc>
        <w:tc>
          <w:tcPr>
            <w:tcW w:type="dxa" w:w="921"/>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High</w:t>
            </w:r>
          </w:p>
        </w:tc>
      </w:tr>
      <w:tr>
        <w:trPr>
          <w:trHeight w:hRule="atLeast"/>
          <w:cantSplit/>
        </w:trPr>
        <w:tc>
          <w:tcPr>
            <w:tcW w:type="dxa" w:w="892"/>
            <w:tcMar>
              <w:top w:w="80" w:type="dxa"/>
              <w:start w:w="75" w:type="dxa"/>
              <w:bottom w:w="80" w:type="dxa"/>
              <w:end w:w="75" w:type="dxa"/>
            </w:tcMar>
            <w:vAlign w:val="center"/>
            <w:shd w:fill="FAFBFC"/>
          </w:tcPr>
          <w:p>
            <w:pPr>
              <w:spacing w:after="0" w:line="240" w:lineRule="auto"/>
              <w:jc w:val="center"/>
            </w:pPr>
            <w:r>
              <w:rPr>
                <w:rFonts w:ascii="Liberation Sans" w:hAnsi="Liberation Sans"/>
                <w:b/>
                <w:color w:val="1F2937"/>
                <w:sz w:val="16"/>
              </w:rPr>
              <w:t>R-04</w:t>
            </w:r>
          </w:p>
        </w:tc>
        <w:tc>
          <w:tcPr>
            <w:tcW w:type="dxa" w:w="1728"/>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Pricing, availability and travel transparency</w:t>
            </w:r>
          </w:p>
        </w:tc>
        <w:tc>
          <w:tcPr>
            <w:tcW w:type="dxa" w:w="2376"/>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F-11/F-12: customers need these answers, but approved facts are not yet available.</w:t>
            </w:r>
          </w:p>
        </w:tc>
        <w:tc>
          <w:tcPr>
            <w:tcW w:type="dxa" w:w="2476"/>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Use transparent commercial information once approved; unsupported pricing or coverage would weaken trust.</w:t>
            </w:r>
          </w:p>
        </w:tc>
        <w:tc>
          <w:tcPr>
            <w:tcW w:type="dxa" w:w="2332"/>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Keep price, coverage, travel, availability and response claims conditional. Use enquiry framing meanwhile.</w:t>
            </w:r>
          </w:p>
        </w:tc>
        <w:tc>
          <w:tcPr>
            <w:tcW w:type="dxa" w:w="2232"/>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Ajith / authorised pricing owner; privacy owner where relevant.</w:t>
            </w:r>
          </w:p>
        </w:tc>
        <w:tc>
          <w:tcPr>
            <w:tcW w:type="dxa" w:w="921"/>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High</w:t>
            </w:r>
          </w:p>
        </w:tc>
      </w:tr>
      <w:tr>
        <w:trPr>
          <w:trHeight w:hRule="atLeast"/>
          <w:cantSplit/>
        </w:trPr>
        <w:tc>
          <w:tcPr>
            <w:tcW w:type="dxa" w:w="892"/>
            <w:tcMar>
              <w:top w:w="80" w:type="dxa"/>
              <w:start w:w="75" w:type="dxa"/>
              <w:bottom w:w="80" w:type="dxa"/>
              <w:end w:w="75" w:type="dxa"/>
            </w:tcMar>
            <w:vAlign w:val="center"/>
          </w:tcPr>
          <w:p>
            <w:pPr>
              <w:spacing w:after="0" w:line="240" w:lineRule="auto"/>
              <w:jc w:val="center"/>
            </w:pPr>
            <w:r>
              <w:rPr>
                <w:rFonts w:ascii="Liberation Sans" w:hAnsi="Liberation Sans"/>
                <w:b/>
                <w:color w:val="1F2937"/>
                <w:sz w:val="16"/>
              </w:rPr>
              <w:t>R-05</w:t>
            </w:r>
          </w:p>
        </w:tc>
        <w:tc>
          <w:tcPr>
            <w:tcW w:type="dxa" w:w="1728"/>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First-party proof</w:t>
            </w:r>
          </w:p>
        </w:tc>
        <w:tc>
          <w:tcPr>
            <w:tcW w:type="dxa" w:w="2376"/>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F-13/F-17: original house-party proof is a major missing authority signal.</w:t>
            </w:r>
          </w:p>
        </w:tc>
        <w:tc>
          <w:tcPr>
            <w:tcW w:type="dxa" w:w="2476"/>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Prioritise genuine Viri VR house-party proof over generic third-party evidence for service-specific claims.</w:t>
            </w:r>
          </w:p>
        </w:tc>
        <w:tc>
          <w:tcPr>
            <w:tcW w:type="dxa" w:w="2332"/>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Reserve proof positions for permissioned photos, attributable testimonials/reviews and case evidence once supplied.</w:t>
            </w:r>
          </w:p>
        </w:tc>
        <w:tc>
          <w:tcPr>
            <w:tcW w:type="dxa" w:w="2232"/>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Original assets + provenance + permission. Brand Authority Builder for deeper proof strategy.</w:t>
            </w:r>
          </w:p>
        </w:tc>
        <w:tc>
          <w:tcPr>
            <w:tcW w:type="dxa" w:w="921"/>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High</w:t>
            </w:r>
          </w:p>
        </w:tc>
      </w:tr>
      <w:tr>
        <w:trPr>
          <w:trHeight w:hRule="atLeast"/>
          <w:cantSplit/>
        </w:trPr>
        <w:tc>
          <w:tcPr>
            <w:tcW w:type="dxa" w:w="892"/>
            <w:tcMar>
              <w:top w:w="80" w:type="dxa"/>
              <w:start w:w="75" w:type="dxa"/>
              <w:bottom w:w="80" w:type="dxa"/>
              <w:end w:w="75" w:type="dxa"/>
            </w:tcMar>
            <w:vAlign w:val="center"/>
            <w:shd w:fill="FAFBFC"/>
          </w:tcPr>
          <w:p>
            <w:pPr>
              <w:spacing w:after="0" w:line="240" w:lineRule="auto"/>
              <w:jc w:val="center"/>
            </w:pPr>
            <w:r>
              <w:rPr>
                <w:rFonts w:ascii="Liberation Sans" w:hAnsi="Liberation Sans"/>
                <w:b/>
                <w:color w:val="1F2937"/>
                <w:sz w:val="16"/>
              </w:rPr>
              <w:t>R-06</w:t>
            </w:r>
          </w:p>
        </w:tc>
        <w:tc>
          <w:tcPr>
            <w:tcW w:type="dxa" w:w="1728"/>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Documented original service knowledge</w:t>
            </w:r>
          </w:p>
        </w:tc>
        <w:tc>
          <w:tcPr>
            <w:tcW w:type="dxa" w:w="2376"/>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F-17/F-18: verified first-party operational information could become useful authority material.</w:t>
            </w:r>
          </w:p>
        </w:tc>
        <w:tc>
          <w:tcPr>
            <w:tcW w:type="dxa" w:w="2476"/>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Turn approved service/process evidence into clear original information explaining how the service works and how suitability is assessed.</w:t>
            </w:r>
          </w:p>
        </w:tc>
        <w:tc>
          <w:tcPr>
            <w:tcW w:type="dxa" w:w="2332"/>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Make room for concise evidence-led process explanations/checklists after verification.</w:t>
            </w:r>
          </w:p>
        </w:tc>
        <w:tc>
          <w:tcPr>
            <w:tcW w:type="dxa" w:w="2232"/>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Approved operational documentation. Brand Authority Builder; Backlink Auditor if an asset merits link assessment.</w:t>
            </w:r>
          </w:p>
        </w:tc>
        <w:tc>
          <w:tcPr>
            <w:tcW w:type="dxa" w:w="921"/>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Medium-High</w:t>
            </w:r>
          </w:p>
        </w:tc>
      </w:tr>
      <w:tr>
        <w:trPr>
          <w:trHeight w:hRule="atLeast"/>
          <w:cantSplit/>
        </w:trPr>
        <w:tc>
          <w:tcPr>
            <w:tcW w:type="dxa" w:w="892"/>
            <w:tcMar>
              <w:top w:w="80" w:type="dxa"/>
              <w:start w:w="75" w:type="dxa"/>
              <w:bottom w:w="80" w:type="dxa"/>
              <w:end w:w="75" w:type="dxa"/>
            </w:tcMar>
            <w:vAlign w:val="center"/>
          </w:tcPr>
          <w:p>
            <w:pPr>
              <w:spacing w:after="0" w:line="240" w:lineRule="auto"/>
              <w:jc w:val="center"/>
            </w:pPr>
            <w:r>
              <w:rPr>
                <w:rFonts w:ascii="Liberation Sans" w:hAnsi="Liberation Sans"/>
                <w:b/>
                <w:color w:val="1F2937"/>
                <w:sz w:val="16"/>
              </w:rPr>
              <w:t>R-07</w:t>
            </w:r>
          </w:p>
        </w:tc>
        <w:tc>
          <w:tcPr>
            <w:tcW w:type="dxa" w:w="1728"/>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Link-worthy proof assets</w:t>
            </w:r>
          </w:p>
        </w:tc>
        <w:tc>
          <w:tcPr>
            <w:tcW w:type="dxa" w:w="2376"/>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F-18: strong original evidence may have value beyond the landing page.</w:t>
            </w:r>
          </w:p>
        </w:tc>
        <w:tc>
          <w:tcPr>
            <w:tcW w:type="dxa" w:w="2476"/>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Treat robust setup guidance, preparation material or attributable case evidence as potential authority assets, not guaranteed link earners.</w:t>
            </w:r>
          </w:p>
        </w:tc>
        <w:tc>
          <w:tcPr>
            <w:tcW w:type="dxa" w:w="2332"/>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Where evidence exists, make page elements useful, specific and independently understandable.</w:t>
            </w:r>
          </w:p>
        </w:tc>
        <w:tc>
          <w:tcPr>
            <w:tcW w:type="dxa" w:w="2232"/>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First-party evidence/assets. Backlink Auditor for deeper opportunity assessment.</w:t>
            </w:r>
          </w:p>
        </w:tc>
        <w:tc>
          <w:tcPr>
            <w:tcW w:type="dxa" w:w="921"/>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Medium</w:t>
            </w:r>
          </w:p>
        </w:tc>
      </w:tr>
      <w:tr>
        <w:trPr>
          <w:trHeight w:hRule="atLeast"/>
          <w:cantSplit/>
        </w:trPr>
        <w:tc>
          <w:tcPr>
            <w:tcW w:type="dxa" w:w="892"/>
            <w:tcMar>
              <w:top w:w="80" w:type="dxa"/>
              <w:start w:w="75" w:type="dxa"/>
              <w:bottom w:w="80" w:type="dxa"/>
              <w:end w:w="75" w:type="dxa"/>
            </w:tcMar>
            <w:vAlign w:val="center"/>
            <w:shd w:fill="FAFBFC"/>
          </w:tcPr>
          <w:p>
            <w:pPr>
              <w:spacing w:after="0" w:line="240" w:lineRule="auto"/>
              <w:jc w:val="center"/>
            </w:pPr>
            <w:r>
              <w:rPr>
                <w:rFonts w:ascii="Liberation Sans" w:hAnsi="Liberation Sans"/>
                <w:b/>
                <w:color w:val="1F2937"/>
                <w:sz w:val="16"/>
              </w:rPr>
              <w:t>R-08</w:t>
            </w:r>
          </w:p>
        </w:tc>
        <w:tc>
          <w:tcPr>
            <w:tcW w:type="dxa" w:w="1728"/>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External brand-presence / PR opportunity</w:t>
            </w:r>
          </w:p>
        </w:tc>
        <w:tc>
          <w:tcPr>
            <w:tcW w:type="dxa" w:w="2376"/>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F-18: original evidence, case material or distinctive service expertise may support future external stories.</w:t>
            </w:r>
          </w:p>
        </w:tc>
        <w:tc>
          <w:tcPr>
            <w:tcW w:type="dxa" w:w="2476"/>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Preserve strong evidence and customer proof in reusable form so specialist PR assessment is possible.</w:t>
            </w:r>
          </w:p>
        </w:tc>
        <w:tc>
          <w:tcPr>
            <w:tcW w:type="dxa" w:w="2332"/>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Do not create PR claims in HP-001; retain traceable provenance for strong proof.</w:t>
            </w:r>
          </w:p>
        </w:tc>
        <w:tc>
          <w:tcPr>
            <w:tcW w:type="dxa" w:w="2232"/>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Verified evidence. Digital PR Specialist for campaign/angle/outreach work.</w:t>
            </w:r>
          </w:p>
        </w:tc>
        <w:tc>
          <w:tcPr>
            <w:tcW w:type="dxa" w:w="921"/>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Medium</w:t>
            </w:r>
          </w:p>
        </w:tc>
      </w:tr>
      <w:tr>
        <w:trPr>
          <w:trHeight w:hRule="atLeast"/>
          <w:cantSplit/>
        </w:trPr>
        <w:tc>
          <w:tcPr>
            <w:tcW w:type="dxa" w:w="892"/>
            <w:tcMar>
              <w:top w:w="80" w:type="dxa"/>
              <w:start w:w="75" w:type="dxa"/>
              <w:bottom w:w="80" w:type="dxa"/>
              <w:end w:w="75" w:type="dxa"/>
            </w:tcMar>
            <w:vAlign w:val="center"/>
          </w:tcPr>
          <w:p>
            <w:pPr>
              <w:spacing w:after="0" w:line="240" w:lineRule="auto"/>
              <w:jc w:val="center"/>
            </w:pPr>
            <w:r>
              <w:rPr>
                <w:rFonts w:ascii="Liberation Sans" w:hAnsi="Liberation Sans"/>
                <w:b/>
                <w:color w:val="1F2937"/>
                <w:sz w:val="16"/>
              </w:rPr>
              <w:t>R-09</w:t>
            </w:r>
          </w:p>
        </w:tc>
        <w:tc>
          <w:tcPr>
            <w:tcW w:type="dxa" w:w="1728"/>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Cross-page service clarity</w:t>
            </w:r>
          </w:p>
        </w:tc>
        <w:tc>
          <w:tcPr>
            <w:tcW w:type="dxa" w:w="2376"/>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F-14/F-15: the three-service framework may overlap the approved Architecture.</w:t>
            </w:r>
          </w:p>
        </w:tc>
        <w:tc>
          <w:tcPr>
            <w:tcW w:type="dxa" w:w="2476"/>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Do not solve ownership by duplicating fully hosted, package, setup or suitability copy across pages.</w:t>
            </w:r>
          </w:p>
        </w:tc>
        <w:tc>
          <w:tcPr>
            <w:tcW w:type="dxa" w:w="2332"/>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Continue HP-001 at-home structure, but hold overlapping positioning until Strategy/Search confirms ownership.</w:t>
            </w:r>
          </w:p>
        </w:tc>
        <w:tc>
          <w:tcPr>
            <w:tcW w:type="dxa" w:w="2232"/>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Strategy/Search clarification.</w:t>
            </w:r>
          </w:p>
        </w:tc>
        <w:tc>
          <w:tcPr>
            <w:tcW w:type="dxa" w:w="921"/>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High</w:t>
            </w:r>
          </w:p>
        </w:tc>
      </w:tr>
      <w:tr>
        <w:trPr>
          <w:trHeight w:hRule="atLeast"/>
          <w:cantSplit/>
        </w:trPr>
        <w:tc>
          <w:tcPr>
            <w:tcW w:type="dxa" w:w="892"/>
            <w:tcMar>
              <w:top w:w="80" w:type="dxa"/>
              <w:start w:w="75" w:type="dxa"/>
              <w:bottom w:w="80" w:type="dxa"/>
              <w:end w:w="75" w:type="dxa"/>
            </w:tcMar>
            <w:vAlign w:val="center"/>
            <w:shd w:fill="FAFBFC"/>
          </w:tcPr>
          <w:p>
            <w:pPr>
              <w:spacing w:after="0" w:line="240" w:lineRule="auto"/>
              <w:jc w:val="center"/>
            </w:pPr>
            <w:r>
              <w:rPr>
                <w:rFonts w:ascii="Liberation Sans" w:hAnsi="Liberation Sans"/>
                <w:b/>
                <w:color w:val="1F2937"/>
                <w:sz w:val="16"/>
              </w:rPr>
              <w:t>R-10</w:t>
            </w:r>
          </w:p>
        </w:tc>
        <w:tc>
          <w:tcPr>
            <w:tcW w:type="dxa" w:w="1728"/>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Brand/entity consistency</w:t>
            </w:r>
          </w:p>
        </w:tc>
        <w:tc>
          <w:tcPr>
            <w:tcW w:type="dxa" w:w="2376"/>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F-19: naming is unresolved across sources.</w:t>
            </w:r>
          </w:p>
        </w:tc>
        <w:tc>
          <w:tcPr>
            <w:tcW w:type="dxa" w:w="2476"/>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Use one approved public-facing brand/entity representation consistently once confirmed.</w:t>
            </w:r>
          </w:p>
        </w:tc>
        <w:tc>
          <w:tcPr>
            <w:tcW w:type="dxa" w:w="2332"/>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Use Viri VR in this handoff; obtain formal confirmation before downstream publication if governance requires it.</w:t>
            </w:r>
          </w:p>
        </w:tc>
        <w:tc>
          <w:tcPr>
            <w:tcW w:type="dxa" w:w="2232"/>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Human Authority Manager / approved brand owner.</w:t>
            </w:r>
          </w:p>
        </w:tc>
        <w:tc>
          <w:tcPr>
            <w:tcW w:type="dxa" w:w="921"/>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High</w:t>
            </w:r>
          </w:p>
        </w:tc>
      </w:tr>
      <w:tr>
        <w:trPr>
          <w:trHeight w:hRule="atLeast"/>
          <w:cantSplit/>
        </w:trPr>
        <w:tc>
          <w:tcPr>
            <w:tcW w:type="dxa" w:w="892"/>
            <w:tcMar>
              <w:top w:w="80" w:type="dxa"/>
              <w:start w:w="75" w:type="dxa"/>
              <w:bottom w:w="80" w:type="dxa"/>
              <w:end w:w="75" w:type="dxa"/>
            </w:tcMar>
            <w:vAlign w:val="center"/>
          </w:tcPr>
          <w:p>
            <w:pPr>
              <w:spacing w:after="0" w:line="240" w:lineRule="auto"/>
              <w:jc w:val="center"/>
            </w:pPr>
            <w:r>
              <w:rPr>
                <w:rFonts w:ascii="Liberation Sans" w:hAnsi="Liberation Sans"/>
                <w:b/>
                <w:color w:val="1F2937"/>
                <w:sz w:val="16"/>
              </w:rPr>
              <w:t>R-11</w:t>
            </w:r>
          </w:p>
        </w:tc>
        <w:tc>
          <w:tcPr>
            <w:tcW w:type="dxa" w:w="1728"/>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Competitor context</w:t>
            </w:r>
          </w:p>
        </w:tc>
        <w:tc>
          <w:tcPr>
            <w:tcW w:type="dxa" w:w="2376"/>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F-16: verified Extreme VR evidence is absent.</w:t>
            </w:r>
          </w:p>
        </w:tc>
        <w:tc>
          <w:tcPr>
            <w:tcW w:type="dxa" w:w="2476"/>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Keep competitor material out of factual HP-001 claims unless separately verified and approved.</w:t>
            </w:r>
          </w:p>
        </w:tc>
        <w:tc>
          <w:tcPr>
            <w:tcW w:type="dxa" w:w="2332"/>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Do not write comparative or superiority claims from current competitor context.</w:t>
            </w:r>
          </w:p>
        </w:tc>
        <w:tc>
          <w:tcPr>
            <w:tcW w:type="dxa" w:w="2232"/>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Strategy/research owner; specialists only if later required.</w:t>
            </w:r>
          </w:p>
        </w:tc>
        <w:tc>
          <w:tcPr>
            <w:tcW w:type="dxa" w:w="921"/>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Medium</w:t>
            </w:r>
          </w:p>
        </w:tc>
      </w:tr>
    </w:tbl>
    <w:p>
      <w:pPr>
        <w:spacing w:after="0"/>
      </w:pPr>
    </w:p>
    <w:p>
      <w:pPr>
        <w:pStyle w:val="Heading1"/>
        <w:keepNext/>
        <w:spacing w:before="200" w:after="100"/>
      </w:pPr>
      <w:r>
        <w:rPr>
          <w:rFonts w:ascii="Liberation Sans" w:hAnsi="Liberation Sans"/>
          <w:b/>
          <w:color w:val="17365D"/>
          <w:sz w:val="30"/>
        </w:rPr>
        <w:t>4. AI Search / AEO / SEO Authority Review</w:t>
      </w:r>
    </w:p>
    <w:tbl>
      <w:tblPr>
        <w:tblStyle w:val="TableGrid"/>
        <w:tblW w:type="auto" w:w="0"/>
        <w:jc w:val="center"/>
        <w:tblLayout w:type="fixed"/>
        <w:tblLook w:firstColumn="1" w:firstRow="1" w:lastColumn="0" w:lastRow="0" w:noHBand="0" w:noVBand="1" w:val="04A0"/>
      </w:tblPr>
      <w:tblGrid>
        <w:gridCol w:w="2880"/>
        <w:gridCol w:w="2880"/>
        <w:gridCol w:w="2880"/>
        <w:gridCol w:w="2880"/>
        <w:gridCol w:w="2880"/>
      </w:tblGrid>
      <w:tr>
        <w:trPr>
          <w:tblHeader w:val="true"/>
        </w:trPr>
        <w:tc>
          <w:tcPr>
            <w:tcW w:type="dxa" w:w="2664"/>
            <w:shd w:fill="17365D"/>
            <w:tcMar>
              <w:top w:w="90" w:type="dxa"/>
              <w:start w:w="75" w:type="dxa"/>
              <w:bottom w:w="90" w:type="dxa"/>
              <w:end w:w="75" w:type="dxa"/>
            </w:tcMar>
            <w:vAlign w:val="center"/>
          </w:tcPr>
          <w:p>
            <w:pPr>
              <w:spacing w:after="0" w:line="240" w:lineRule="auto"/>
              <w:jc w:val="center"/>
            </w:pPr>
            <w:r>
              <w:rPr>
                <w:rFonts w:ascii="Liberation Sans" w:hAnsi="Liberation Sans"/>
                <w:b/>
                <w:color w:val="FFFFFF"/>
                <w:sz w:val="16"/>
              </w:rPr>
              <w:t>Search / AEO Recommendation</w:t>
            </w:r>
          </w:p>
        </w:tc>
        <w:tc>
          <w:tcPr>
            <w:tcW w:type="dxa" w:w="2664"/>
            <w:shd w:fill="17365D"/>
            <w:tcMar>
              <w:top w:w="90" w:type="dxa"/>
              <w:start w:w="75" w:type="dxa"/>
              <w:bottom w:w="90" w:type="dxa"/>
              <w:end w:w="75" w:type="dxa"/>
            </w:tcMar>
            <w:vAlign w:val="center"/>
          </w:tcPr>
          <w:p>
            <w:pPr>
              <w:spacing w:after="0" w:line="240" w:lineRule="auto"/>
              <w:jc w:val="center"/>
            </w:pPr>
            <w:r>
              <w:rPr>
                <w:rFonts w:ascii="Liberation Sans" w:hAnsi="Liberation Sans"/>
                <w:b/>
                <w:color w:val="FFFFFF"/>
                <w:sz w:val="16"/>
              </w:rPr>
              <w:t>Authority / Trust Implication</w:t>
            </w:r>
          </w:p>
        </w:tc>
        <w:tc>
          <w:tcPr>
            <w:tcW w:type="dxa" w:w="2088"/>
            <w:shd w:fill="17365D"/>
            <w:tcMar>
              <w:top w:w="90" w:type="dxa"/>
              <w:start w:w="75" w:type="dxa"/>
              <w:bottom w:w="90" w:type="dxa"/>
              <w:end w:w="75" w:type="dxa"/>
            </w:tcMar>
            <w:vAlign w:val="center"/>
          </w:tcPr>
          <w:p>
            <w:pPr>
              <w:spacing w:after="0" w:line="240" w:lineRule="auto"/>
              <w:jc w:val="center"/>
            </w:pPr>
            <w:r>
              <w:rPr>
                <w:rFonts w:ascii="Liberation Sans" w:hAnsi="Liberation Sans"/>
                <w:b/>
                <w:color w:val="FFFFFF"/>
                <w:sz w:val="16"/>
              </w:rPr>
              <w:t>Evidence Position</w:t>
            </w:r>
          </w:p>
        </w:tc>
        <w:tc>
          <w:tcPr>
            <w:tcW w:type="dxa" w:w="3816"/>
            <w:shd w:fill="17365D"/>
            <w:tcMar>
              <w:top w:w="90" w:type="dxa"/>
              <w:start w:w="75" w:type="dxa"/>
              <w:bottom w:w="90" w:type="dxa"/>
              <w:end w:w="75" w:type="dxa"/>
            </w:tcMar>
            <w:vAlign w:val="center"/>
          </w:tcPr>
          <w:p>
            <w:pPr>
              <w:spacing w:after="0" w:line="240" w:lineRule="auto"/>
              <w:jc w:val="center"/>
            </w:pPr>
            <w:r>
              <w:rPr>
                <w:rFonts w:ascii="Liberation Sans" w:hAnsi="Liberation Sans"/>
                <w:b/>
                <w:color w:val="FFFFFF"/>
                <w:sz w:val="16"/>
              </w:rPr>
              <w:t>Content Treatment</w:t>
            </w:r>
          </w:p>
        </w:tc>
        <w:tc>
          <w:tcPr>
            <w:tcW w:type="dxa" w:w="1007"/>
            <w:shd w:fill="17365D"/>
            <w:tcMar>
              <w:top w:w="90" w:type="dxa"/>
              <w:start w:w="75" w:type="dxa"/>
              <w:bottom w:w="90" w:type="dxa"/>
              <w:end w:w="75" w:type="dxa"/>
            </w:tcMar>
            <w:vAlign w:val="center"/>
          </w:tcPr>
          <w:p>
            <w:pPr>
              <w:spacing w:after="0" w:line="240" w:lineRule="auto"/>
              <w:jc w:val="center"/>
            </w:pPr>
            <w:r>
              <w:rPr>
                <w:rFonts w:ascii="Liberation Sans" w:hAnsi="Liberation Sans"/>
                <w:b/>
                <w:color w:val="FFFFFF"/>
                <w:sz w:val="16"/>
              </w:rPr>
              <w:t>Finding ID</w:t>
            </w:r>
          </w:p>
        </w:tc>
      </w:tr>
      <w:tr>
        <w:trPr>
          <w:trHeight w:hRule="atLeast"/>
          <w:cantSplit/>
        </w:trPr>
        <w:tc>
          <w:tcPr>
            <w:tcW w:type="dxa" w:w="2664"/>
            <w:tcMar>
              <w:top w:w="80" w:type="dxa"/>
              <w:start w:w="75" w:type="dxa"/>
              <w:bottom w:w="80" w:type="dxa"/>
              <w:end w:w="75" w:type="dxa"/>
            </w:tcMar>
            <w:vAlign w:val="center"/>
          </w:tcPr>
          <w:p>
            <w:pPr>
              <w:spacing w:after="0" w:line="240" w:lineRule="auto"/>
              <w:jc w:val="center"/>
            </w:pPr>
            <w:r>
              <w:rPr>
                <w:rFonts w:ascii="Liberation Sans" w:hAnsi="Liberation Sans"/>
                <w:b/>
                <w:color w:val="1F2937"/>
                <w:sz w:val="17"/>
              </w:rPr>
              <w:t>Primary keyword and Architecture-supported secondary terms</w:t>
            </w:r>
          </w:p>
        </w:tc>
        <w:tc>
          <w:tcPr>
            <w:tcW w:type="dxa" w:w="2664"/>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7"/>
              </w:rPr>
              <w:t>Suitable search inputs; they do not prove demand, rankings or service facts.</w:t>
            </w:r>
          </w:p>
        </w:tc>
        <w:tc>
          <w:tcPr>
            <w:tcW w:type="dxa" w:w="2088"/>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7"/>
              </w:rPr>
              <w:t>Supported as planning inputs.</w:t>
            </w:r>
          </w:p>
        </w:tc>
        <w:tc>
          <w:tcPr>
            <w:tcW w:type="dxa" w:w="3816"/>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7"/>
              </w:rPr>
              <w:t>Use naturally within HP-001; do not attach invented performance claims.</w:t>
            </w:r>
          </w:p>
        </w:tc>
        <w:tc>
          <w:tcPr>
            <w:tcW w:type="dxa" w:w="1007"/>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7"/>
              </w:rPr>
              <w:t>F-01, F-02</w:t>
            </w:r>
          </w:p>
        </w:tc>
      </w:tr>
      <w:tr>
        <w:trPr>
          <w:trHeight w:hRule="atLeast"/>
          <w:cantSplit/>
        </w:trPr>
        <w:tc>
          <w:tcPr>
            <w:tcW w:type="dxa" w:w="2664"/>
            <w:tcMar>
              <w:top w:w="80" w:type="dxa"/>
              <w:start w:w="75" w:type="dxa"/>
              <w:bottom w:w="80" w:type="dxa"/>
              <w:end w:w="75" w:type="dxa"/>
            </w:tcMar>
            <w:vAlign w:val="center"/>
            <w:shd w:fill="FAFBFC"/>
          </w:tcPr>
          <w:p>
            <w:pPr>
              <w:spacing w:after="0" w:line="240" w:lineRule="auto"/>
              <w:jc w:val="center"/>
            </w:pPr>
            <w:r>
              <w:rPr>
                <w:rFonts w:ascii="Liberation Sans" w:hAnsi="Liberation Sans"/>
                <w:b/>
                <w:color w:val="1F2937"/>
                <w:sz w:val="17"/>
              </w:rPr>
              <w:t>Framework-only variants: virtual reality party entertainment at home; at-home VR experience</w:t>
            </w:r>
          </w:p>
        </w:tc>
        <w:tc>
          <w:tcPr>
            <w:tcW w:type="dxa" w:w="2664"/>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7"/>
              </w:rPr>
              <w:t>Useful proposed variants, but not independently Architecture-approved in the reviewed source set.</w:t>
            </w:r>
          </w:p>
        </w:tc>
        <w:tc>
          <w:tcPr>
            <w:tcW w:type="dxa" w:w="2088"/>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7"/>
              </w:rPr>
              <w:t>Assumption / Proposed.</w:t>
            </w:r>
          </w:p>
        </w:tc>
        <w:tc>
          <w:tcPr>
            <w:tcW w:type="dxa" w:w="3816"/>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7"/>
              </w:rPr>
              <w:t>Use only if consistent with Strategy/Search direction; do not treat as measured demand.</w:t>
            </w:r>
          </w:p>
        </w:tc>
        <w:tc>
          <w:tcPr>
            <w:tcW w:type="dxa" w:w="1007"/>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7"/>
              </w:rPr>
              <w:t>F-02</w:t>
            </w:r>
          </w:p>
        </w:tc>
      </w:tr>
      <w:tr>
        <w:trPr>
          <w:trHeight w:hRule="atLeast"/>
          <w:cantSplit/>
        </w:trPr>
        <w:tc>
          <w:tcPr>
            <w:tcW w:type="dxa" w:w="2664"/>
            <w:tcMar>
              <w:top w:w="80" w:type="dxa"/>
              <w:start w:w="75" w:type="dxa"/>
              <w:bottom w:w="80" w:type="dxa"/>
              <w:end w:w="75" w:type="dxa"/>
            </w:tcMar>
            <w:vAlign w:val="center"/>
          </w:tcPr>
          <w:p>
            <w:pPr>
              <w:spacing w:after="0" w:line="240" w:lineRule="auto"/>
              <w:jc w:val="center"/>
            </w:pPr>
            <w:r>
              <w:rPr>
                <w:rFonts w:ascii="Liberation Sans" w:hAnsi="Liberation Sans"/>
                <w:b/>
                <w:color w:val="1F2937"/>
                <w:sz w:val="17"/>
              </w:rPr>
              <w:t>Core questions: how it works, space/equipment, how many can join</w:t>
            </w:r>
          </w:p>
        </w:tc>
        <w:tc>
          <w:tcPr>
            <w:tcW w:type="dxa" w:w="2664"/>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7"/>
              </w:rPr>
              <w:t>Strong answer opportunities aligned with the Architecture.</w:t>
            </w:r>
          </w:p>
        </w:tc>
        <w:tc>
          <w:tcPr>
            <w:tcW w:type="dxa" w:w="2088"/>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7"/>
              </w:rPr>
              <w:t>Question intent supported; answers evidence-dependent.</w:t>
            </w:r>
          </w:p>
        </w:tc>
        <w:tc>
          <w:tcPr>
            <w:tcW w:type="dxa" w:w="3816"/>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7"/>
              </w:rPr>
              <w:t>Structure direct answers, but fill factual details only from approved evidence.</w:t>
            </w:r>
          </w:p>
        </w:tc>
        <w:tc>
          <w:tcPr>
            <w:tcW w:type="dxa" w:w="1007"/>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7"/>
              </w:rPr>
              <w:t>F-03-F-07</w:t>
            </w:r>
          </w:p>
        </w:tc>
      </w:tr>
      <w:tr>
        <w:trPr>
          <w:trHeight w:hRule="atLeast"/>
          <w:cantSplit/>
        </w:trPr>
        <w:tc>
          <w:tcPr>
            <w:tcW w:type="dxa" w:w="2664"/>
            <w:tcMar>
              <w:top w:w="80" w:type="dxa"/>
              <w:start w:w="75" w:type="dxa"/>
              <w:bottom w:w="80" w:type="dxa"/>
              <w:end w:w="75" w:type="dxa"/>
            </w:tcMar>
            <w:vAlign w:val="center"/>
            <w:shd w:fill="FAFBFC"/>
          </w:tcPr>
          <w:p>
            <w:pPr>
              <w:spacing w:after="0" w:line="240" w:lineRule="auto"/>
              <w:jc w:val="center"/>
            </w:pPr>
            <w:r>
              <w:rPr>
                <w:rFonts w:ascii="Liberation Sans" w:hAnsi="Liberation Sans"/>
                <w:b/>
                <w:color w:val="1F2937"/>
                <w:sz w:val="17"/>
              </w:rPr>
              <w:t>Questions on age, rotations, safety, power/Wi-Fi, outages, weather, price, inclusions, availability and travel</w:t>
            </w:r>
          </w:p>
        </w:tc>
        <w:tc>
          <w:tcPr>
            <w:tcW w:type="dxa" w:w="2664"/>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7"/>
              </w:rPr>
              <w:t>Highly useful customer questions, but most require currently missing operational evidence.</w:t>
            </w:r>
          </w:p>
        </w:tc>
        <w:tc>
          <w:tcPr>
            <w:tcW w:type="dxa" w:w="2088"/>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7"/>
              </w:rPr>
              <w:t>Evidence Required / Owner Confirmation.</w:t>
            </w:r>
          </w:p>
        </w:tc>
        <w:tc>
          <w:tcPr>
            <w:tcW w:type="dxa" w:w="3816"/>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7"/>
              </w:rPr>
              <w:t>Build question/section architecture; keep answers conditional until evidence is recorded.</w:t>
            </w:r>
          </w:p>
        </w:tc>
        <w:tc>
          <w:tcPr>
            <w:tcW w:type="dxa" w:w="1007"/>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7"/>
              </w:rPr>
              <w:t>F-05-F-12</w:t>
            </w:r>
          </w:p>
        </w:tc>
      </w:tr>
      <w:tr>
        <w:trPr>
          <w:trHeight w:hRule="atLeast"/>
          <w:cantSplit/>
        </w:trPr>
        <w:tc>
          <w:tcPr>
            <w:tcW w:type="dxa" w:w="2664"/>
            <w:tcMar>
              <w:top w:w="80" w:type="dxa"/>
              <w:start w:w="75" w:type="dxa"/>
              <w:bottom w:w="80" w:type="dxa"/>
              <w:end w:w="75" w:type="dxa"/>
            </w:tcMar>
            <w:vAlign w:val="center"/>
          </w:tcPr>
          <w:p>
            <w:pPr>
              <w:spacing w:after="0" w:line="240" w:lineRule="auto"/>
              <w:jc w:val="center"/>
            </w:pPr>
            <w:r>
              <w:rPr>
                <w:rFonts w:ascii="Liberation Sans" w:hAnsi="Liberation Sans"/>
                <w:b/>
                <w:color w:val="1F2937"/>
                <w:sz w:val="17"/>
              </w:rPr>
              <w:t>mobile VR party terminology</w:t>
            </w:r>
          </w:p>
        </w:tc>
        <w:tc>
          <w:tcPr>
            <w:tcW w:type="dxa" w:w="2664"/>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7"/>
              </w:rPr>
              <w:t>May describe delivery, but careless wording could imply equipment-only/dry hire.</w:t>
            </w:r>
          </w:p>
        </w:tc>
        <w:tc>
          <w:tcPr>
            <w:tcW w:type="dxa" w:w="2088"/>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7"/>
              </w:rPr>
              <w:t>Search term supported; service interpretation not independently verified.</w:t>
            </w:r>
          </w:p>
        </w:tc>
        <w:tc>
          <w:tcPr>
            <w:tcW w:type="dxa" w:w="3816"/>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7"/>
              </w:rPr>
              <w:t>Anchor wording to the confirmed hosted at-home service.</w:t>
            </w:r>
          </w:p>
        </w:tc>
        <w:tc>
          <w:tcPr>
            <w:tcW w:type="dxa" w:w="1007"/>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7"/>
              </w:rPr>
              <w:t>F-02, F-04</w:t>
            </w:r>
          </w:p>
        </w:tc>
      </w:tr>
      <w:tr>
        <w:trPr>
          <w:trHeight w:hRule="atLeast"/>
          <w:cantSplit/>
        </w:trPr>
        <w:tc>
          <w:tcPr>
            <w:tcW w:type="dxa" w:w="2664"/>
            <w:tcMar>
              <w:top w:w="80" w:type="dxa"/>
              <w:start w:w="75" w:type="dxa"/>
              <w:bottom w:w="80" w:type="dxa"/>
              <w:end w:w="75" w:type="dxa"/>
            </w:tcMar>
            <w:vAlign w:val="center"/>
            <w:shd w:fill="FAFBFC"/>
          </w:tcPr>
          <w:p>
            <w:pPr>
              <w:spacing w:after="0" w:line="240" w:lineRule="auto"/>
              <w:jc w:val="center"/>
            </w:pPr>
            <w:r>
              <w:rPr>
                <w:rFonts w:ascii="Liberation Sans" w:hAnsi="Liberation Sans"/>
                <w:b/>
                <w:color w:val="1F2937"/>
                <w:sz w:val="17"/>
              </w:rPr>
              <w:t>Link local eligibility to the appropriate local owner</w:t>
            </w:r>
          </w:p>
        </w:tc>
        <w:tc>
          <w:tcPr>
            <w:tcW w:type="dxa" w:w="2664"/>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7"/>
              </w:rPr>
              <w:t>Reduces national overclaiming and preserves service-area trust.</w:t>
            </w:r>
          </w:p>
        </w:tc>
        <w:tc>
          <w:tcPr>
            <w:tcW w:type="dxa" w:w="2088"/>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7"/>
              </w:rPr>
              <w:t>Supported guidance.</w:t>
            </w:r>
          </w:p>
        </w:tc>
        <w:tc>
          <w:tcPr>
            <w:tcW w:type="dxa" w:w="3816"/>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7"/>
              </w:rPr>
              <w:t>Keep detailed postcode/serviceability answers outside HP-001 except for concise qualification/link routing.</w:t>
            </w:r>
          </w:p>
        </w:tc>
        <w:tc>
          <w:tcPr>
            <w:tcW w:type="dxa" w:w="1007"/>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7"/>
              </w:rPr>
              <w:t>F-12</w:t>
            </w:r>
          </w:p>
        </w:tc>
      </w:tr>
      <w:tr>
        <w:trPr>
          <w:trHeight w:hRule="atLeast"/>
          <w:cantSplit/>
        </w:trPr>
        <w:tc>
          <w:tcPr>
            <w:tcW w:type="dxa" w:w="2664"/>
            <w:tcMar>
              <w:top w:w="80" w:type="dxa"/>
              <w:start w:w="75" w:type="dxa"/>
              <w:bottom w:w="80" w:type="dxa"/>
              <w:end w:w="75" w:type="dxa"/>
            </w:tcMar>
            <w:vAlign w:val="center"/>
          </w:tcPr>
          <w:p>
            <w:pPr>
              <w:spacing w:after="0" w:line="240" w:lineRule="auto"/>
              <w:jc w:val="center"/>
            </w:pPr>
            <w:r>
              <w:rPr>
                <w:rFonts w:ascii="Liberation Sans" w:hAnsi="Liberation Sans"/>
                <w:b/>
                <w:color w:val="1F2937"/>
                <w:sz w:val="17"/>
              </w:rPr>
              <w:t>Separate at-home, your-venue and fully-hosted page concepts</w:t>
            </w:r>
          </w:p>
        </w:tc>
        <w:tc>
          <w:tcPr>
            <w:tcW w:type="dxa" w:w="2664"/>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7"/>
              </w:rPr>
              <w:t>Intended to create uniqueness but may conflict with the approved Architecture.</w:t>
            </w:r>
          </w:p>
        </w:tc>
        <w:tc>
          <w:tcPr>
            <w:tcW w:type="dxa" w:w="2088"/>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7"/>
              </w:rPr>
              <w:t>Requires Strategy/Search clarification.</w:t>
            </w:r>
          </w:p>
        </w:tc>
        <w:tc>
          <w:tcPr>
            <w:tcW w:type="dxa" w:w="3816"/>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7"/>
              </w:rPr>
              <w:t>Do not finalise overlapping positioning or duplicate shared answers until ownership is reconciled.</w:t>
            </w:r>
          </w:p>
        </w:tc>
        <w:tc>
          <w:tcPr>
            <w:tcW w:type="dxa" w:w="1007"/>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7"/>
              </w:rPr>
              <w:t>F-14, F-15</w:t>
            </w:r>
          </w:p>
        </w:tc>
      </w:tr>
      <w:tr>
        <w:trPr>
          <w:trHeight w:hRule="atLeast"/>
          <w:cantSplit/>
        </w:trPr>
        <w:tc>
          <w:tcPr>
            <w:tcW w:type="dxa" w:w="2664"/>
            <w:tcMar>
              <w:top w:w="80" w:type="dxa"/>
              <w:start w:w="75" w:type="dxa"/>
              <w:bottom w:w="80" w:type="dxa"/>
              <w:end w:w="75" w:type="dxa"/>
            </w:tcMar>
            <w:vAlign w:val="center"/>
            <w:shd w:fill="FAFBFC"/>
          </w:tcPr>
          <w:p>
            <w:pPr>
              <w:spacing w:after="0" w:line="240" w:lineRule="auto"/>
              <w:jc w:val="center"/>
            </w:pPr>
            <w:r>
              <w:rPr>
                <w:rFonts w:ascii="Liberation Sans" w:hAnsi="Liberation Sans"/>
                <w:b/>
                <w:color w:val="1F2937"/>
                <w:sz w:val="17"/>
              </w:rPr>
              <w:t>Original proof and clear first-party answers</w:t>
            </w:r>
          </w:p>
        </w:tc>
        <w:tc>
          <w:tcPr>
            <w:tcW w:type="dxa" w:w="2664"/>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7"/>
              </w:rPr>
              <w:t>Credible original information may strengthen authoritative search/AEO content but cannot guarantee citations or visibility.</w:t>
            </w:r>
          </w:p>
        </w:tc>
        <w:tc>
          <w:tcPr>
            <w:tcW w:type="dxa" w:w="2088"/>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7"/>
              </w:rPr>
              <w:t>Evidence opportunity; assets not yet confirmed.</w:t>
            </w:r>
          </w:p>
        </w:tc>
        <w:tc>
          <w:tcPr>
            <w:tcW w:type="dxa" w:w="3816"/>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7"/>
              </w:rPr>
              <w:t>Prefer verified Viri VR evidence over generic external statements for Viri VR-specific answers.</w:t>
            </w:r>
          </w:p>
        </w:tc>
        <w:tc>
          <w:tcPr>
            <w:tcW w:type="dxa" w:w="1007"/>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7"/>
              </w:rPr>
              <w:t>F-13, F-17, F-18</w:t>
            </w:r>
          </w:p>
        </w:tc>
      </w:tr>
    </w:tbl>
    <w:p>
      <w:pPr>
        <w:spacing w:after="0"/>
      </w:pPr>
    </w:p>
    <w:p>
      <w:pPr>
        <w:pStyle w:val="Heading1"/>
        <w:keepNext/>
        <w:spacing w:before="200" w:after="100"/>
      </w:pPr>
      <w:r>
        <w:rPr>
          <w:rFonts w:ascii="Liberation Sans" w:hAnsi="Liberation Sans"/>
          <w:b/>
          <w:color w:val="17365D"/>
          <w:sz w:val="30"/>
        </w:rPr>
        <w:t>5. Claim, Evidence and Trust Register</w:t>
      </w:r>
    </w:p>
    <w:tbl>
      <w:tblPr>
        <w:tblStyle w:val="TableGrid"/>
        <w:tblW w:type="auto" w:w="0"/>
        <w:jc w:val="center"/>
        <w:tblLayout w:type="fixed"/>
        <w:tblLook w:firstColumn="1" w:firstRow="1" w:lastColumn="0" w:lastRow="0" w:noHBand="0" w:noVBand="1" w:val="04A0"/>
      </w:tblPr>
      <w:tblGrid>
        <w:gridCol w:w="2400"/>
        <w:gridCol w:w="2400"/>
        <w:gridCol w:w="2400"/>
        <w:gridCol w:w="2400"/>
        <w:gridCol w:w="2400"/>
        <w:gridCol w:w="2400"/>
      </w:tblGrid>
      <w:tr>
        <w:trPr>
          <w:tblHeader w:val="true"/>
        </w:trPr>
        <w:tc>
          <w:tcPr>
            <w:tcW w:type="dxa" w:w="2376"/>
            <w:shd w:fill="17365D"/>
            <w:tcMar>
              <w:top w:w="90" w:type="dxa"/>
              <w:start w:w="75" w:type="dxa"/>
              <w:bottom w:w="90" w:type="dxa"/>
              <w:end w:w="75" w:type="dxa"/>
            </w:tcMar>
            <w:vAlign w:val="center"/>
          </w:tcPr>
          <w:p>
            <w:pPr>
              <w:spacing w:after="0" w:line="240" w:lineRule="auto"/>
              <w:jc w:val="center"/>
            </w:pPr>
            <w:r>
              <w:rPr>
                <w:rFonts w:ascii="Liberation Sans" w:hAnsi="Liberation Sans"/>
                <w:b/>
                <w:color w:val="FFFFFF"/>
                <w:sz w:val="16"/>
              </w:rPr>
              <w:t>Claim / Requirement</w:t>
            </w:r>
          </w:p>
        </w:tc>
        <w:tc>
          <w:tcPr>
            <w:tcW w:type="dxa" w:w="2592"/>
            <w:shd w:fill="17365D"/>
            <w:tcMar>
              <w:top w:w="90" w:type="dxa"/>
              <w:start w:w="75" w:type="dxa"/>
              <w:bottom w:w="90" w:type="dxa"/>
              <w:end w:w="75" w:type="dxa"/>
            </w:tcMar>
            <w:vAlign w:val="center"/>
          </w:tcPr>
          <w:p>
            <w:pPr>
              <w:spacing w:after="0" w:line="240" w:lineRule="auto"/>
              <w:jc w:val="center"/>
            </w:pPr>
            <w:r>
              <w:rPr>
                <w:rFonts w:ascii="Liberation Sans" w:hAnsi="Liberation Sans"/>
                <w:b/>
                <w:color w:val="FFFFFF"/>
                <w:sz w:val="16"/>
              </w:rPr>
              <w:t>Evidence Required</w:t>
            </w:r>
          </w:p>
        </w:tc>
        <w:tc>
          <w:tcPr>
            <w:tcW w:type="dxa" w:w="1944"/>
            <w:shd w:fill="17365D"/>
            <w:tcMar>
              <w:top w:w="90" w:type="dxa"/>
              <w:start w:w="75" w:type="dxa"/>
              <w:bottom w:w="90" w:type="dxa"/>
              <w:end w:w="75" w:type="dxa"/>
            </w:tcMar>
            <w:vAlign w:val="center"/>
          </w:tcPr>
          <w:p>
            <w:pPr>
              <w:spacing w:after="0" w:line="240" w:lineRule="auto"/>
              <w:jc w:val="center"/>
            </w:pPr>
            <w:r>
              <w:rPr>
                <w:rFonts w:ascii="Liberation Sans" w:hAnsi="Liberation Sans"/>
                <w:b/>
                <w:color w:val="FFFFFF"/>
                <w:sz w:val="16"/>
              </w:rPr>
              <w:t>Current Status</w:t>
            </w:r>
          </w:p>
        </w:tc>
        <w:tc>
          <w:tcPr>
            <w:tcW w:type="dxa" w:w="2232"/>
            <w:shd w:fill="17365D"/>
            <w:tcMar>
              <w:top w:w="90" w:type="dxa"/>
              <w:start w:w="75" w:type="dxa"/>
              <w:bottom w:w="90" w:type="dxa"/>
              <w:end w:w="75" w:type="dxa"/>
            </w:tcMar>
            <w:vAlign w:val="center"/>
          </w:tcPr>
          <w:p>
            <w:pPr>
              <w:spacing w:after="0" w:line="240" w:lineRule="auto"/>
              <w:jc w:val="center"/>
            </w:pPr>
            <w:r>
              <w:rPr>
                <w:rFonts w:ascii="Liberation Sans" w:hAnsi="Liberation Sans"/>
                <w:b/>
                <w:color w:val="FFFFFF"/>
                <w:sz w:val="16"/>
              </w:rPr>
              <w:t>Owner / Source</w:t>
            </w:r>
          </w:p>
        </w:tc>
        <w:tc>
          <w:tcPr>
            <w:tcW w:type="dxa" w:w="3311"/>
            <w:shd w:fill="17365D"/>
            <w:tcMar>
              <w:top w:w="90" w:type="dxa"/>
              <w:start w:w="75" w:type="dxa"/>
              <w:bottom w:w="90" w:type="dxa"/>
              <w:end w:w="75" w:type="dxa"/>
            </w:tcMar>
            <w:vAlign w:val="center"/>
          </w:tcPr>
          <w:p>
            <w:pPr>
              <w:spacing w:after="0" w:line="240" w:lineRule="auto"/>
              <w:jc w:val="center"/>
            </w:pPr>
            <w:r>
              <w:rPr>
                <w:rFonts w:ascii="Liberation Sans" w:hAnsi="Liberation Sans"/>
                <w:b/>
                <w:color w:val="FFFFFF"/>
                <w:sz w:val="16"/>
              </w:rPr>
              <w:t>Authority Treatment</w:t>
            </w:r>
          </w:p>
        </w:tc>
        <w:tc>
          <w:tcPr>
            <w:tcW w:type="dxa" w:w="936"/>
            <w:shd w:fill="17365D"/>
            <w:tcMar>
              <w:top w:w="90" w:type="dxa"/>
              <w:start w:w="75" w:type="dxa"/>
              <w:bottom w:w="90" w:type="dxa"/>
              <w:end w:w="75" w:type="dxa"/>
            </w:tcMar>
            <w:vAlign w:val="center"/>
          </w:tcPr>
          <w:p>
            <w:pPr>
              <w:spacing w:after="0" w:line="240" w:lineRule="auto"/>
              <w:jc w:val="center"/>
            </w:pPr>
            <w:r>
              <w:rPr>
                <w:rFonts w:ascii="Liberation Sans" w:hAnsi="Liberation Sans"/>
                <w:b/>
                <w:color w:val="FFFFFF"/>
                <w:sz w:val="16"/>
              </w:rPr>
              <w:t>Finding ID</w:t>
            </w:r>
          </w:p>
        </w:tc>
      </w:tr>
      <w:tr>
        <w:trPr>
          <w:trHeight w:hRule="atLeast"/>
          <w:cantSplit/>
        </w:trPr>
        <w:tc>
          <w:tcPr>
            <w:tcW w:type="dxa" w:w="2376"/>
            <w:tcMar>
              <w:top w:w="80" w:type="dxa"/>
              <w:start w:w="75" w:type="dxa"/>
              <w:bottom w:w="80" w:type="dxa"/>
              <w:end w:w="75" w:type="dxa"/>
            </w:tcMar>
            <w:vAlign w:val="center"/>
          </w:tcPr>
          <w:p>
            <w:pPr>
              <w:spacing w:after="0" w:line="240" w:lineRule="auto"/>
              <w:jc w:val="center"/>
            </w:pPr>
            <w:r>
              <w:rPr>
                <w:rFonts w:ascii="Liberation Sans" w:hAnsi="Liberation Sans"/>
                <w:b/>
                <w:color w:val="1F2937"/>
                <w:sz w:val="16"/>
              </w:rPr>
              <w:t>HP-001 is the VR party at home commercial owner</w:t>
            </w:r>
          </w:p>
        </w:tc>
        <w:tc>
          <w:tcPr>
            <w:tcW w:type="dxa" w:w="2592"/>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Approved Architecture/page strategy</w:t>
            </w:r>
          </w:p>
        </w:tc>
        <w:tc>
          <w:tcPr>
            <w:tcW w:type="dxa" w:w="1944"/>
            <w:tcMar>
              <w:top w:w="80" w:type="dxa"/>
              <w:start w:w="75" w:type="dxa"/>
              <w:bottom w:w="80" w:type="dxa"/>
              <w:end w:w="75" w:type="dxa"/>
            </w:tcMar>
            <w:vAlign w:val="center"/>
            <w:shd w:fill="E2F0D9"/>
          </w:tcPr>
          <w:p>
            <w:pPr>
              <w:spacing w:after="0" w:line="240" w:lineRule="auto"/>
              <w:jc w:val="center"/>
            </w:pPr>
            <w:r>
              <w:rPr>
                <w:rFonts w:ascii="Liberation Sans" w:hAnsi="Liberation Sans"/>
                <w:b w:val="0"/>
                <w:color w:val="1F2937"/>
                <w:sz w:val="16"/>
              </w:rPr>
              <w:t>Supported</w:t>
            </w:r>
          </w:p>
        </w:tc>
        <w:tc>
          <w:tcPr>
            <w:tcW w:type="dxa" w:w="2232"/>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Architecture + current framework</w:t>
            </w:r>
          </w:p>
        </w:tc>
        <w:tc>
          <w:tcPr>
            <w:tcW w:type="dxa" w:w="3311"/>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May be used as page-planning basis.</w:t>
            </w:r>
          </w:p>
        </w:tc>
        <w:tc>
          <w:tcPr>
            <w:tcW w:type="dxa" w:w="936"/>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F-01</w:t>
            </w:r>
          </w:p>
        </w:tc>
      </w:tr>
      <w:tr>
        <w:trPr>
          <w:trHeight w:hRule="atLeast"/>
          <w:cantSplit/>
        </w:trPr>
        <w:tc>
          <w:tcPr>
            <w:tcW w:type="dxa" w:w="2376"/>
            <w:tcMar>
              <w:top w:w="80" w:type="dxa"/>
              <w:start w:w="75" w:type="dxa"/>
              <w:bottom w:w="80" w:type="dxa"/>
              <w:end w:w="75" w:type="dxa"/>
            </w:tcMar>
            <w:vAlign w:val="center"/>
            <w:shd w:fill="FAFBFC"/>
          </w:tcPr>
          <w:p>
            <w:pPr>
              <w:spacing w:after="0" w:line="240" w:lineRule="auto"/>
              <w:jc w:val="center"/>
            </w:pPr>
            <w:r>
              <w:rPr>
                <w:rFonts w:ascii="Liberation Sans" w:hAnsi="Liberation Sans"/>
                <w:b/>
                <w:color w:val="1F2937"/>
                <w:sz w:val="16"/>
              </w:rPr>
              <w:t>Hosted / fully hosted at-home service</w:t>
            </w:r>
          </w:p>
        </w:tc>
        <w:tc>
          <w:tcPr>
            <w:tcW w:type="dxa" w:w="2592"/>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Current operating/service definition</w:t>
            </w:r>
          </w:p>
        </w:tc>
        <w:tc>
          <w:tcPr>
            <w:tcW w:type="dxa" w:w="1944"/>
            <w:tcMar>
              <w:top w:w="80" w:type="dxa"/>
              <w:start w:w="75" w:type="dxa"/>
              <w:bottom w:w="80" w:type="dxa"/>
              <w:end w:w="75" w:type="dxa"/>
            </w:tcMar>
            <w:vAlign w:val="center"/>
            <w:shd w:fill="E2F0D9"/>
          </w:tcPr>
          <w:p>
            <w:pPr>
              <w:spacing w:after="0" w:line="240" w:lineRule="auto"/>
              <w:jc w:val="center"/>
            </w:pPr>
            <w:r>
              <w:rPr>
                <w:rFonts w:ascii="Liberation Sans" w:hAnsi="Liberation Sans"/>
                <w:b w:val="0"/>
                <w:color w:val="1F2937"/>
                <w:sz w:val="16"/>
              </w:rPr>
              <w:t>Supported at high level; detail Evidence Required</w:t>
            </w:r>
          </w:p>
        </w:tc>
        <w:tc>
          <w:tcPr>
            <w:tcW w:type="dxa" w:w="2232"/>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Ajith / approved operational source</w:t>
            </w:r>
          </w:p>
        </w:tc>
        <w:tc>
          <w:tcPr>
            <w:tcW w:type="dxa" w:w="3311"/>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Use high-level positioning; do not infer entitlements.</w:t>
            </w:r>
          </w:p>
        </w:tc>
        <w:tc>
          <w:tcPr>
            <w:tcW w:type="dxa" w:w="936"/>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F-04</w:t>
            </w:r>
          </w:p>
        </w:tc>
      </w:tr>
      <w:tr>
        <w:trPr>
          <w:trHeight w:hRule="atLeast"/>
          <w:cantSplit/>
        </w:trPr>
        <w:tc>
          <w:tcPr>
            <w:tcW w:type="dxa" w:w="2376"/>
            <w:tcMar>
              <w:top w:w="80" w:type="dxa"/>
              <w:start w:w="75" w:type="dxa"/>
              <w:bottom w:w="80" w:type="dxa"/>
              <w:end w:w="75" w:type="dxa"/>
            </w:tcMar>
            <w:vAlign w:val="center"/>
          </w:tcPr>
          <w:p>
            <w:pPr>
              <w:spacing w:after="0" w:line="240" w:lineRule="auto"/>
              <w:jc w:val="center"/>
            </w:pPr>
            <w:r>
              <w:rPr>
                <w:rFonts w:ascii="Liberation Sans" w:hAnsi="Liberation Sans"/>
                <w:b/>
                <w:color w:val="1F2937"/>
                <w:sz w:val="16"/>
              </w:rPr>
              <w:t>Package inclusions</w:t>
            </w:r>
          </w:p>
        </w:tc>
        <w:tc>
          <w:tcPr>
            <w:tcW w:type="dxa" w:w="2592"/>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Current package sheet</w:t>
            </w:r>
          </w:p>
        </w:tc>
        <w:tc>
          <w:tcPr>
            <w:tcW w:type="dxa" w:w="1944"/>
            <w:tcMar>
              <w:top w:w="80" w:type="dxa"/>
              <w:start w:w="75" w:type="dxa"/>
              <w:bottom w:w="80" w:type="dxa"/>
              <w:end w:w="75" w:type="dxa"/>
            </w:tcMar>
            <w:vAlign w:val="center"/>
            <w:shd w:fill="FFF2CC"/>
          </w:tcPr>
          <w:p>
            <w:pPr>
              <w:spacing w:after="0" w:line="240" w:lineRule="auto"/>
              <w:jc w:val="center"/>
            </w:pPr>
            <w:r>
              <w:rPr>
                <w:rFonts w:ascii="Liberation Sans" w:hAnsi="Liberation Sans"/>
                <w:b w:val="0"/>
                <w:color w:val="1F2937"/>
                <w:sz w:val="16"/>
              </w:rPr>
              <w:t>Evidence Required</w:t>
            </w:r>
          </w:p>
        </w:tc>
        <w:tc>
          <w:tcPr>
            <w:tcW w:type="dxa" w:w="2232"/>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Ajith / authorised business source</w:t>
            </w:r>
          </w:p>
        </w:tc>
        <w:tc>
          <w:tcPr>
            <w:tcW w:type="dxa" w:w="3311"/>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Do not finalise inclusion claims.</w:t>
            </w:r>
          </w:p>
        </w:tc>
        <w:tc>
          <w:tcPr>
            <w:tcW w:type="dxa" w:w="936"/>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F-05</w:t>
            </w:r>
          </w:p>
        </w:tc>
      </w:tr>
      <w:tr>
        <w:trPr>
          <w:trHeight w:hRule="atLeast"/>
          <w:cantSplit/>
        </w:trPr>
        <w:tc>
          <w:tcPr>
            <w:tcW w:type="dxa" w:w="2376"/>
            <w:tcMar>
              <w:top w:w="80" w:type="dxa"/>
              <w:start w:w="75" w:type="dxa"/>
              <w:bottom w:w="80" w:type="dxa"/>
              <w:end w:w="75" w:type="dxa"/>
            </w:tcMar>
            <w:vAlign w:val="center"/>
            <w:shd w:fill="FAFBFC"/>
          </w:tcPr>
          <w:p>
            <w:pPr>
              <w:spacing w:after="0" w:line="240" w:lineRule="auto"/>
              <w:jc w:val="center"/>
            </w:pPr>
            <w:r>
              <w:rPr>
                <w:rFonts w:ascii="Liberation Sans" w:hAnsi="Liberation Sans"/>
                <w:b/>
                <w:color w:val="1F2937"/>
                <w:sz w:val="16"/>
              </w:rPr>
              <w:t>Equipment/headset quantities</w:t>
            </w:r>
          </w:p>
        </w:tc>
        <w:tc>
          <w:tcPr>
            <w:tcW w:type="dxa" w:w="2592"/>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Current equipment/package allocation</w:t>
            </w:r>
          </w:p>
        </w:tc>
        <w:tc>
          <w:tcPr>
            <w:tcW w:type="dxa" w:w="1944"/>
            <w:tcMar>
              <w:top w:w="80" w:type="dxa"/>
              <w:start w:w="75" w:type="dxa"/>
              <w:bottom w:w="80" w:type="dxa"/>
              <w:end w:w="75" w:type="dxa"/>
            </w:tcMar>
            <w:vAlign w:val="center"/>
            <w:shd w:fill="FFF2CC"/>
          </w:tcPr>
          <w:p>
            <w:pPr>
              <w:spacing w:after="0" w:line="240" w:lineRule="auto"/>
              <w:jc w:val="center"/>
            </w:pPr>
            <w:r>
              <w:rPr>
                <w:rFonts w:ascii="Liberation Sans" w:hAnsi="Liberation Sans"/>
                <w:b w:val="0"/>
                <w:color w:val="1F2937"/>
                <w:sz w:val="16"/>
              </w:rPr>
              <w:t>Evidence Required</w:t>
            </w:r>
          </w:p>
        </w:tc>
        <w:tc>
          <w:tcPr>
            <w:tcW w:type="dxa" w:w="2232"/>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Ajith + technical source if needed</w:t>
            </w:r>
          </w:p>
        </w:tc>
        <w:tc>
          <w:tcPr>
            <w:tcW w:type="dxa" w:w="3311"/>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No numerical claims until verified.</w:t>
            </w:r>
          </w:p>
        </w:tc>
        <w:tc>
          <w:tcPr>
            <w:tcW w:type="dxa" w:w="936"/>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F-05</w:t>
            </w:r>
          </w:p>
        </w:tc>
      </w:tr>
      <w:tr>
        <w:trPr>
          <w:trHeight w:hRule="atLeast"/>
          <w:cantSplit/>
        </w:trPr>
        <w:tc>
          <w:tcPr>
            <w:tcW w:type="dxa" w:w="2376"/>
            <w:tcMar>
              <w:top w:w="80" w:type="dxa"/>
              <w:start w:w="75" w:type="dxa"/>
              <w:bottom w:w="80" w:type="dxa"/>
              <w:end w:w="75" w:type="dxa"/>
            </w:tcMar>
            <w:vAlign w:val="center"/>
          </w:tcPr>
          <w:p>
            <w:pPr>
              <w:spacing w:after="0" w:line="240" w:lineRule="auto"/>
              <w:jc w:val="center"/>
            </w:pPr>
            <w:r>
              <w:rPr>
                <w:rFonts w:ascii="Liberation Sans" w:hAnsi="Liberation Sans"/>
                <w:b/>
                <w:color w:val="1F2937"/>
                <w:sz w:val="16"/>
              </w:rPr>
              <w:t>Setup/pack-down and hosting responsibilities</w:t>
            </w:r>
          </w:p>
        </w:tc>
        <w:tc>
          <w:tcPr>
            <w:tcW w:type="dxa" w:w="2592"/>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Approved operating process and timings</w:t>
            </w:r>
          </w:p>
        </w:tc>
        <w:tc>
          <w:tcPr>
            <w:tcW w:type="dxa" w:w="1944"/>
            <w:tcMar>
              <w:top w:w="80" w:type="dxa"/>
              <w:start w:w="75" w:type="dxa"/>
              <w:bottom w:w="80" w:type="dxa"/>
              <w:end w:w="75" w:type="dxa"/>
            </w:tcMar>
            <w:vAlign w:val="center"/>
            <w:shd w:fill="FFF2CC"/>
          </w:tcPr>
          <w:p>
            <w:pPr>
              <w:spacing w:after="0" w:line="240" w:lineRule="auto"/>
              <w:jc w:val="center"/>
            </w:pPr>
            <w:r>
              <w:rPr>
                <w:rFonts w:ascii="Liberation Sans" w:hAnsi="Liberation Sans"/>
                <w:b w:val="0"/>
                <w:color w:val="1F2937"/>
                <w:sz w:val="16"/>
              </w:rPr>
              <w:t>Evidence Required</w:t>
            </w:r>
          </w:p>
        </w:tc>
        <w:tc>
          <w:tcPr>
            <w:tcW w:type="dxa" w:w="2232"/>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Ajith</w:t>
            </w:r>
          </w:p>
        </w:tc>
        <w:tc>
          <w:tcPr>
            <w:tcW w:type="dxa" w:w="3311"/>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Structure may be drafted; exact process/timing remains conditional.</w:t>
            </w:r>
          </w:p>
        </w:tc>
        <w:tc>
          <w:tcPr>
            <w:tcW w:type="dxa" w:w="936"/>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F-05</w:t>
            </w:r>
          </w:p>
        </w:tc>
      </w:tr>
      <w:tr>
        <w:trPr>
          <w:trHeight w:hRule="atLeast"/>
          <w:cantSplit/>
        </w:trPr>
        <w:tc>
          <w:tcPr>
            <w:tcW w:type="dxa" w:w="2376"/>
            <w:tcMar>
              <w:top w:w="80" w:type="dxa"/>
              <w:start w:w="75" w:type="dxa"/>
              <w:bottom w:w="80" w:type="dxa"/>
              <w:end w:w="75" w:type="dxa"/>
            </w:tcMar>
            <w:vAlign w:val="center"/>
            <w:shd w:fill="FAFBFC"/>
          </w:tcPr>
          <w:p>
            <w:pPr>
              <w:spacing w:after="0" w:line="240" w:lineRule="auto"/>
              <w:jc w:val="center"/>
            </w:pPr>
            <w:r>
              <w:rPr>
                <w:rFonts w:ascii="Liberation Sans" w:hAnsi="Liberation Sans"/>
                <w:b/>
                <w:color w:val="1F2937"/>
                <w:sz w:val="16"/>
              </w:rPr>
              <w:t>Age and suitability</w:t>
            </w:r>
          </w:p>
        </w:tc>
        <w:tc>
          <w:tcPr>
            <w:tcW w:type="dxa" w:w="2592"/>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Approved age/suitability rules</w:t>
            </w:r>
          </w:p>
        </w:tc>
        <w:tc>
          <w:tcPr>
            <w:tcW w:type="dxa" w:w="1944"/>
            <w:tcMar>
              <w:top w:w="80" w:type="dxa"/>
              <w:start w:w="75" w:type="dxa"/>
              <w:bottom w:w="80" w:type="dxa"/>
              <w:end w:w="75" w:type="dxa"/>
            </w:tcMar>
            <w:vAlign w:val="center"/>
            <w:shd w:fill="FFF2CC"/>
          </w:tcPr>
          <w:p>
            <w:pPr>
              <w:spacing w:after="0" w:line="240" w:lineRule="auto"/>
              <w:jc w:val="center"/>
            </w:pPr>
            <w:r>
              <w:rPr>
                <w:rFonts w:ascii="Liberation Sans" w:hAnsi="Liberation Sans"/>
                <w:b w:val="0"/>
                <w:color w:val="1F2937"/>
                <w:sz w:val="16"/>
              </w:rPr>
              <w:t>Evidence Required</w:t>
            </w:r>
          </w:p>
        </w:tc>
        <w:tc>
          <w:tcPr>
            <w:tcW w:type="dxa" w:w="2232"/>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Ajith + relevant specialist owner if required</w:t>
            </w:r>
          </w:p>
        </w:tc>
        <w:tc>
          <w:tcPr>
            <w:tcW w:type="dxa" w:w="3311"/>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No universal age/suitability claim from search guidance alone.</w:t>
            </w:r>
          </w:p>
        </w:tc>
        <w:tc>
          <w:tcPr>
            <w:tcW w:type="dxa" w:w="936"/>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F-06</w:t>
            </w:r>
          </w:p>
        </w:tc>
      </w:tr>
      <w:tr>
        <w:trPr>
          <w:trHeight w:hRule="atLeast"/>
          <w:cantSplit/>
        </w:trPr>
        <w:tc>
          <w:tcPr>
            <w:tcW w:type="dxa" w:w="2376"/>
            <w:tcMar>
              <w:top w:w="80" w:type="dxa"/>
              <w:start w:w="75" w:type="dxa"/>
              <w:bottom w:w="80" w:type="dxa"/>
              <w:end w:w="75" w:type="dxa"/>
            </w:tcMar>
            <w:vAlign w:val="center"/>
          </w:tcPr>
          <w:p>
            <w:pPr>
              <w:spacing w:after="0" w:line="240" w:lineRule="auto"/>
              <w:jc w:val="center"/>
            </w:pPr>
            <w:r>
              <w:rPr>
                <w:rFonts w:ascii="Liberation Sans" w:hAnsi="Liberation Sans"/>
                <w:b/>
                <w:color w:val="1F2937"/>
                <w:sz w:val="16"/>
              </w:rPr>
              <w:t>Group size, capacity, rotations/session structure</w:t>
            </w:r>
          </w:p>
        </w:tc>
        <w:tc>
          <w:tcPr>
            <w:tcW w:type="dxa" w:w="2592"/>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Approved capacity/headset/staffing/session rules</w:t>
            </w:r>
          </w:p>
        </w:tc>
        <w:tc>
          <w:tcPr>
            <w:tcW w:type="dxa" w:w="1944"/>
            <w:tcMar>
              <w:top w:w="80" w:type="dxa"/>
              <w:start w:w="75" w:type="dxa"/>
              <w:bottom w:w="80" w:type="dxa"/>
              <w:end w:w="75" w:type="dxa"/>
            </w:tcMar>
            <w:vAlign w:val="center"/>
            <w:shd w:fill="FFF2CC"/>
          </w:tcPr>
          <w:p>
            <w:pPr>
              <w:spacing w:after="0" w:line="240" w:lineRule="auto"/>
              <w:jc w:val="center"/>
            </w:pPr>
            <w:r>
              <w:rPr>
                <w:rFonts w:ascii="Liberation Sans" w:hAnsi="Liberation Sans"/>
                <w:b w:val="0"/>
                <w:color w:val="1F2937"/>
                <w:sz w:val="16"/>
              </w:rPr>
              <w:t>Evidence Required</w:t>
            </w:r>
          </w:p>
        </w:tc>
        <w:tc>
          <w:tcPr>
            <w:tcW w:type="dxa" w:w="2232"/>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Ajith</w:t>
            </w:r>
          </w:p>
        </w:tc>
        <w:tc>
          <w:tcPr>
            <w:tcW w:type="dxa" w:w="3311"/>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No inferred bands, counts or timing.</w:t>
            </w:r>
          </w:p>
        </w:tc>
        <w:tc>
          <w:tcPr>
            <w:tcW w:type="dxa" w:w="936"/>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F-06</w:t>
            </w:r>
          </w:p>
        </w:tc>
      </w:tr>
      <w:tr>
        <w:trPr>
          <w:trHeight w:hRule="atLeast"/>
          <w:cantSplit/>
        </w:trPr>
        <w:tc>
          <w:tcPr>
            <w:tcW w:type="dxa" w:w="2376"/>
            <w:tcMar>
              <w:top w:w="80" w:type="dxa"/>
              <w:start w:w="75" w:type="dxa"/>
              <w:bottom w:w="80" w:type="dxa"/>
              <w:end w:w="75" w:type="dxa"/>
            </w:tcMar>
            <w:vAlign w:val="center"/>
            <w:shd w:fill="FAFBFC"/>
          </w:tcPr>
          <w:p>
            <w:pPr>
              <w:spacing w:after="0" w:line="240" w:lineRule="auto"/>
              <w:jc w:val="center"/>
            </w:pPr>
            <w:r>
              <w:rPr>
                <w:rFonts w:ascii="Liberation Sans" w:hAnsi="Liberation Sans"/>
                <w:b/>
                <w:color w:val="1F2937"/>
                <w:sz w:val="16"/>
              </w:rPr>
              <w:t>Space/access</w:t>
            </w:r>
          </w:p>
        </w:tc>
        <w:tc>
          <w:tcPr>
            <w:tcW w:type="dxa" w:w="2592"/>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Approved/tested operational requirements</w:t>
            </w:r>
          </w:p>
        </w:tc>
        <w:tc>
          <w:tcPr>
            <w:tcW w:type="dxa" w:w="1944"/>
            <w:tcMar>
              <w:top w:w="80" w:type="dxa"/>
              <w:start w:w="75" w:type="dxa"/>
              <w:bottom w:w="80" w:type="dxa"/>
              <w:end w:w="75" w:type="dxa"/>
            </w:tcMar>
            <w:vAlign w:val="center"/>
            <w:shd w:fill="FFF2CC"/>
          </w:tcPr>
          <w:p>
            <w:pPr>
              <w:spacing w:after="0" w:line="240" w:lineRule="auto"/>
              <w:jc w:val="center"/>
            </w:pPr>
            <w:r>
              <w:rPr>
                <w:rFonts w:ascii="Liberation Sans" w:hAnsi="Liberation Sans"/>
                <w:b w:val="0"/>
                <w:color w:val="1F2937"/>
                <w:sz w:val="16"/>
              </w:rPr>
              <w:t>Evidence Required</w:t>
            </w:r>
          </w:p>
        </w:tc>
        <w:tc>
          <w:tcPr>
            <w:tcW w:type="dxa" w:w="2232"/>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Ajith; specialist safety/technical owner where applicable</w:t>
            </w:r>
          </w:p>
        </w:tc>
        <w:tc>
          <w:tcPr>
            <w:tcW w:type="dxa" w:w="3311"/>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No invented minimums or access rules.</w:t>
            </w:r>
          </w:p>
        </w:tc>
        <w:tc>
          <w:tcPr>
            <w:tcW w:type="dxa" w:w="936"/>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F-07</w:t>
            </w:r>
          </w:p>
        </w:tc>
      </w:tr>
      <w:tr>
        <w:trPr>
          <w:trHeight w:hRule="atLeast"/>
          <w:cantSplit/>
        </w:trPr>
        <w:tc>
          <w:tcPr>
            <w:tcW w:type="dxa" w:w="2376"/>
            <w:tcMar>
              <w:top w:w="80" w:type="dxa"/>
              <w:start w:w="75" w:type="dxa"/>
              <w:bottom w:w="80" w:type="dxa"/>
              <w:end w:w="75" w:type="dxa"/>
            </w:tcMar>
            <w:vAlign w:val="center"/>
          </w:tcPr>
          <w:p>
            <w:pPr>
              <w:spacing w:after="0" w:line="240" w:lineRule="auto"/>
              <w:jc w:val="center"/>
            </w:pPr>
            <w:r>
              <w:rPr>
                <w:rFonts w:ascii="Liberation Sans" w:hAnsi="Liberation Sans"/>
                <w:b/>
                <w:color w:val="1F2937"/>
                <w:sz w:val="16"/>
              </w:rPr>
              <w:t>Safety/supervision</w:t>
            </w:r>
          </w:p>
        </w:tc>
        <w:tc>
          <w:tcPr>
            <w:tcW w:type="dxa" w:w="2592"/>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Approved house-party safety/supervision process</w:t>
            </w:r>
          </w:p>
        </w:tc>
        <w:tc>
          <w:tcPr>
            <w:tcW w:type="dxa" w:w="1944"/>
            <w:tcMar>
              <w:top w:w="80" w:type="dxa"/>
              <w:start w:w="75" w:type="dxa"/>
              <w:bottom w:w="80" w:type="dxa"/>
              <w:end w:w="75" w:type="dxa"/>
            </w:tcMar>
            <w:vAlign w:val="center"/>
            <w:shd w:fill="FFF2CC"/>
          </w:tcPr>
          <w:p>
            <w:pPr>
              <w:spacing w:after="0" w:line="240" w:lineRule="auto"/>
              <w:jc w:val="center"/>
            </w:pPr>
            <w:r>
              <w:rPr>
                <w:rFonts w:ascii="Liberation Sans" w:hAnsi="Liberation Sans"/>
                <w:b w:val="0"/>
                <w:color w:val="1F2937"/>
                <w:sz w:val="16"/>
              </w:rPr>
              <w:t>Evidence Required</w:t>
            </w:r>
          </w:p>
        </w:tc>
        <w:tc>
          <w:tcPr>
            <w:tcW w:type="dxa" w:w="2232"/>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Ajith for operations; authorised safety owner</w:t>
            </w:r>
          </w:p>
        </w:tc>
        <w:tc>
          <w:tcPr>
            <w:tcW w:type="dxa" w:w="3311"/>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High-trust claim; hold assurances until evidence exists.</w:t>
            </w:r>
          </w:p>
        </w:tc>
        <w:tc>
          <w:tcPr>
            <w:tcW w:type="dxa" w:w="936"/>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F-08</w:t>
            </w:r>
          </w:p>
        </w:tc>
      </w:tr>
      <w:tr>
        <w:trPr>
          <w:trHeight w:hRule="atLeast"/>
          <w:cantSplit/>
        </w:trPr>
        <w:tc>
          <w:tcPr>
            <w:tcW w:type="dxa" w:w="2376"/>
            <w:tcMar>
              <w:top w:w="80" w:type="dxa"/>
              <w:start w:w="75" w:type="dxa"/>
              <w:bottom w:w="80" w:type="dxa"/>
              <w:end w:w="75" w:type="dxa"/>
            </w:tcMar>
            <w:vAlign w:val="center"/>
            <w:shd w:fill="FAFBFC"/>
          </w:tcPr>
          <w:p>
            <w:pPr>
              <w:spacing w:after="0" w:line="240" w:lineRule="auto"/>
              <w:jc w:val="center"/>
            </w:pPr>
            <w:r>
              <w:rPr>
                <w:rFonts w:ascii="Liberation Sans" w:hAnsi="Liberation Sans"/>
                <w:b/>
                <w:color w:val="1F2937"/>
                <w:sz w:val="16"/>
              </w:rPr>
              <w:t>Public liability/insurance</w:t>
            </w:r>
          </w:p>
        </w:tc>
        <w:tc>
          <w:tcPr>
            <w:tcW w:type="dxa" w:w="2592"/>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Current documentary evidence and authorised confirmation</w:t>
            </w:r>
          </w:p>
        </w:tc>
        <w:tc>
          <w:tcPr>
            <w:tcW w:type="dxa" w:w="1944"/>
            <w:tcMar>
              <w:top w:w="80" w:type="dxa"/>
              <w:start w:w="75" w:type="dxa"/>
              <w:bottom w:w="80" w:type="dxa"/>
              <w:end w:w="75" w:type="dxa"/>
            </w:tcMar>
            <w:vAlign w:val="center"/>
            <w:shd w:fill="FFF2CC"/>
          </w:tcPr>
          <w:p>
            <w:pPr>
              <w:spacing w:after="0" w:line="240" w:lineRule="auto"/>
              <w:jc w:val="center"/>
            </w:pPr>
            <w:r>
              <w:rPr>
                <w:rFonts w:ascii="Liberation Sans" w:hAnsi="Liberation Sans"/>
                <w:b w:val="0"/>
                <w:color w:val="1F2937"/>
                <w:sz w:val="16"/>
              </w:rPr>
              <w:t>Evidence Required</w:t>
            </w:r>
          </w:p>
        </w:tc>
        <w:tc>
          <w:tcPr>
            <w:tcW w:type="dxa" w:w="2232"/>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Authorised insurance/legal/business owner</w:t>
            </w:r>
          </w:p>
        </w:tc>
        <w:tc>
          <w:tcPr>
            <w:tcW w:type="dxa" w:w="3311"/>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Do not rely on operational authority alone.</w:t>
            </w:r>
          </w:p>
        </w:tc>
        <w:tc>
          <w:tcPr>
            <w:tcW w:type="dxa" w:w="936"/>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F-08</w:t>
            </w:r>
          </w:p>
        </w:tc>
      </w:tr>
      <w:tr>
        <w:trPr>
          <w:trHeight w:hRule="atLeast"/>
          <w:cantSplit/>
        </w:trPr>
        <w:tc>
          <w:tcPr>
            <w:tcW w:type="dxa" w:w="2376"/>
            <w:tcMar>
              <w:top w:w="80" w:type="dxa"/>
              <w:start w:w="75" w:type="dxa"/>
              <w:bottom w:w="80" w:type="dxa"/>
              <w:end w:w="75" w:type="dxa"/>
            </w:tcMar>
            <w:vAlign w:val="center"/>
          </w:tcPr>
          <w:p>
            <w:pPr>
              <w:spacing w:after="0" w:line="240" w:lineRule="auto"/>
              <w:jc w:val="center"/>
            </w:pPr>
            <w:r>
              <w:rPr>
                <w:rFonts w:ascii="Liberation Sans" w:hAnsi="Liberation Sans"/>
                <w:b/>
                <w:color w:val="1F2937"/>
                <w:sz w:val="16"/>
              </w:rPr>
              <w:t>Power/Wi-Fi/offline capability</w:t>
            </w:r>
          </w:p>
        </w:tc>
        <w:tc>
          <w:tcPr>
            <w:tcW w:type="dxa" w:w="2592"/>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Equipment-specific technical specification</w:t>
            </w:r>
          </w:p>
        </w:tc>
        <w:tc>
          <w:tcPr>
            <w:tcW w:type="dxa" w:w="1944"/>
            <w:tcMar>
              <w:top w:w="80" w:type="dxa"/>
              <w:start w:w="75" w:type="dxa"/>
              <w:bottom w:w="80" w:type="dxa"/>
              <w:end w:w="75" w:type="dxa"/>
            </w:tcMar>
            <w:vAlign w:val="center"/>
            <w:shd w:fill="FFF2CC"/>
          </w:tcPr>
          <w:p>
            <w:pPr>
              <w:spacing w:after="0" w:line="240" w:lineRule="auto"/>
              <w:jc w:val="center"/>
            </w:pPr>
            <w:r>
              <w:rPr>
                <w:rFonts w:ascii="Liberation Sans" w:hAnsi="Liberation Sans"/>
                <w:b w:val="0"/>
                <w:color w:val="1F2937"/>
                <w:sz w:val="16"/>
              </w:rPr>
              <w:t>Evidence Required / Specialist Follow-up</w:t>
            </w:r>
          </w:p>
        </w:tc>
        <w:tc>
          <w:tcPr>
            <w:tcW w:type="dxa" w:w="2232"/>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Technical owner; Ajith may route operational evidence</w:t>
            </w:r>
          </w:p>
        </w:tc>
        <w:tc>
          <w:tcPr>
            <w:tcW w:type="dxa" w:w="3311"/>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Do not infer technical capability.</w:t>
            </w:r>
          </w:p>
        </w:tc>
        <w:tc>
          <w:tcPr>
            <w:tcW w:type="dxa" w:w="936"/>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F-09</w:t>
            </w:r>
          </w:p>
        </w:tc>
      </w:tr>
      <w:tr>
        <w:trPr>
          <w:trHeight w:hRule="atLeast"/>
          <w:cantSplit/>
        </w:trPr>
        <w:tc>
          <w:tcPr>
            <w:tcW w:type="dxa" w:w="2376"/>
            <w:tcMar>
              <w:top w:w="80" w:type="dxa"/>
              <w:start w:w="75" w:type="dxa"/>
              <w:bottom w:w="80" w:type="dxa"/>
              <w:end w:w="75" w:type="dxa"/>
            </w:tcMar>
            <w:vAlign w:val="center"/>
            <w:shd w:fill="FAFBFC"/>
          </w:tcPr>
          <w:p>
            <w:pPr>
              <w:spacing w:after="0" w:line="240" w:lineRule="auto"/>
              <w:jc w:val="center"/>
            </w:pPr>
            <w:r>
              <w:rPr>
                <w:rFonts w:ascii="Liberation Sans" w:hAnsi="Liberation Sans"/>
                <w:b/>
                <w:color w:val="1F2937"/>
                <w:sz w:val="16"/>
              </w:rPr>
              <w:t>Outage/weather/space contingency</w:t>
            </w:r>
          </w:p>
        </w:tc>
        <w:tc>
          <w:tcPr>
            <w:tcW w:type="dxa" w:w="2592"/>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Approved technical and operational contingency process</w:t>
            </w:r>
          </w:p>
        </w:tc>
        <w:tc>
          <w:tcPr>
            <w:tcW w:type="dxa" w:w="1944"/>
            <w:tcMar>
              <w:top w:w="80" w:type="dxa"/>
              <w:start w:w="75" w:type="dxa"/>
              <w:bottom w:w="80" w:type="dxa"/>
              <w:end w:w="75" w:type="dxa"/>
            </w:tcMar>
            <w:vAlign w:val="center"/>
            <w:shd w:fill="FFF2CC"/>
          </w:tcPr>
          <w:p>
            <w:pPr>
              <w:spacing w:after="0" w:line="240" w:lineRule="auto"/>
              <w:jc w:val="center"/>
            </w:pPr>
            <w:r>
              <w:rPr>
                <w:rFonts w:ascii="Liberation Sans" w:hAnsi="Liberation Sans"/>
                <w:b w:val="0"/>
                <w:color w:val="1F2937"/>
                <w:sz w:val="16"/>
              </w:rPr>
              <w:t>Evidence Required</w:t>
            </w:r>
          </w:p>
        </w:tc>
        <w:tc>
          <w:tcPr>
            <w:tcW w:type="dxa" w:w="2232"/>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Ajith + technical/other authorised owner</w:t>
            </w:r>
          </w:p>
        </w:tc>
        <w:tc>
          <w:tcPr>
            <w:tcW w:type="dxa" w:w="3311"/>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Do not imply refund, recovery, relocation or rescheduling promises.</w:t>
            </w:r>
          </w:p>
        </w:tc>
        <w:tc>
          <w:tcPr>
            <w:tcW w:type="dxa" w:w="936"/>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F-10</w:t>
            </w:r>
          </w:p>
        </w:tc>
      </w:tr>
      <w:tr>
        <w:trPr>
          <w:trHeight w:hRule="atLeast"/>
          <w:cantSplit/>
        </w:trPr>
        <w:tc>
          <w:tcPr>
            <w:tcW w:type="dxa" w:w="2376"/>
            <w:tcMar>
              <w:top w:w="80" w:type="dxa"/>
              <w:start w:w="75" w:type="dxa"/>
              <w:bottom w:w="80" w:type="dxa"/>
              <w:end w:w="75" w:type="dxa"/>
            </w:tcMar>
            <w:vAlign w:val="center"/>
          </w:tcPr>
          <w:p>
            <w:pPr>
              <w:spacing w:after="0" w:line="240" w:lineRule="auto"/>
              <w:jc w:val="center"/>
            </w:pPr>
            <w:r>
              <w:rPr>
                <w:rFonts w:ascii="Liberation Sans" w:hAnsi="Liberation Sans"/>
                <w:b/>
                <w:color w:val="1F2937"/>
                <w:sz w:val="16"/>
              </w:rPr>
              <w:t>Pricing</w:t>
            </w:r>
          </w:p>
        </w:tc>
        <w:tc>
          <w:tcPr>
            <w:tcW w:type="dxa" w:w="2592"/>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Current approved pricing/package evidence</w:t>
            </w:r>
          </w:p>
        </w:tc>
        <w:tc>
          <w:tcPr>
            <w:tcW w:type="dxa" w:w="1944"/>
            <w:tcMar>
              <w:top w:w="80" w:type="dxa"/>
              <w:start w:w="75" w:type="dxa"/>
              <w:bottom w:w="80" w:type="dxa"/>
              <w:end w:w="75" w:type="dxa"/>
            </w:tcMar>
            <w:vAlign w:val="center"/>
            <w:shd w:fill="FFF2CC"/>
          </w:tcPr>
          <w:p>
            <w:pPr>
              <w:spacing w:after="0" w:line="240" w:lineRule="auto"/>
              <w:jc w:val="center"/>
            </w:pPr>
            <w:r>
              <w:rPr>
                <w:rFonts w:ascii="Liberation Sans" w:hAnsi="Liberation Sans"/>
                <w:b w:val="0"/>
                <w:color w:val="1F2937"/>
                <w:sz w:val="16"/>
              </w:rPr>
              <w:t>Evidence Required</w:t>
            </w:r>
          </w:p>
        </w:tc>
        <w:tc>
          <w:tcPr>
            <w:tcW w:type="dxa" w:w="2232"/>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Ajith / authorised pricing owner</w:t>
            </w:r>
          </w:p>
        </w:tc>
        <w:tc>
          <w:tcPr>
            <w:tcW w:type="dxa" w:w="3311"/>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No amount, from-price or invented pricing model.</w:t>
            </w:r>
          </w:p>
        </w:tc>
        <w:tc>
          <w:tcPr>
            <w:tcW w:type="dxa" w:w="936"/>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F-11</w:t>
            </w:r>
          </w:p>
        </w:tc>
      </w:tr>
      <w:tr>
        <w:trPr>
          <w:trHeight w:hRule="atLeast"/>
          <w:cantSplit/>
        </w:trPr>
        <w:tc>
          <w:tcPr>
            <w:tcW w:type="dxa" w:w="2376"/>
            <w:tcMar>
              <w:top w:w="80" w:type="dxa"/>
              <w:start w:w="75" w:type="dxa"/>
              <w:bottom w:w="80" w:type="dxa"/>
              <w:end w:w="75" w:type="dxa"/>
            </w:tcMar>
            <w:vAlign w:val="center"/>
            <w:shd w:fill="FAFBFC"/>
          </w:tcPr>
          <w:p>
            <w:pPr>
              <w:spacing w:after="0" w:line="240" w:lineRule="auto"/>
              <w:jc w:val="center"/>
            </w:pPr>
            <w:r>
              <w:rPr>
                <w:rFonts w:ascii="Liberation Sans" w:hAnsi="Liberation Sans"/>
                <w:b/>
                <w:color w:val="1F2937"/>
                <w:sz w:val="16"/>
              </w:rPr>
              <w:t>Postcodes/service area/travel</w:t>
            </w:r>
          </w:p>
        </w:tc>
        <w:tc>
          <w:tcPr>
            <w:tcW w:type="dxa" w:w="2592"/>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Current service map/rules/fees</w:t>
            </w:r>
          </w:p>
        </w:tc>
        <w:tc>
          <w:tcPr>
            <w:tcW w:type="dxa" w:w="1944"/>
            <w:tcMar>
              <w:top w:w="80" w:type="dxa"/>
              <w:start w:w="75" w:type="dxa"/>
              <w:bottom w:w="80" w:type="dxa"/>
              <w:end w:w="75" w:type="dxa"/>
            </w:tcMar>
            <w:vAlign w:val="center"/>
            <w:shd w:fill="FFF2CC"/>
          </w:tcPr>
          <w:p>
            <w:pPr>
              <w:spacing w:after="0" w:line="240" w:lineRule="auto"/>
              <w:jc w:val="center"/>
            </w:pPr>
            <w:r>
              <w:rPr>
                <w:rFonts w:ascii="Liberation Sans" w:hAnsi="Liberation Sans"/>
                <w:b w:val="0"/>
                <w:color w:val="1F2937"/>
                <w:sz w:val="16"/>
              </w:rPr>
              <w:t>Evidence Required</w:t>
            </w:r>
          </w:p>
        </w:tc>
        <w:tc>
          <w:tcPr>
            <w:tcW w:type="dxa" w:w="2232"/>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Ajith</w:t>
            </w:r>
          </w:p>
        </w:tc>
        <w:tc>
          <w:tcPr>
            <w:tcW w:type="dxa" w:w="3311"/>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HP-001 must avoid broad availability claims.</w:t>
            </w:r>
          </w:p>
        </w:tc>
        <w:tc>
          <w:tcPr>
            <w:tcW w:type="dxa" w:w="936"/>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F-12</w:t>
            </w:r>
          </w:p>
        </w:tc>
      </w:tr>
      <w:tr>
        <w:trPr>
          <w:trHeight w:hRule="atLeast"/>
          <w:cantSplit/>
        </w:trPr>
        <w:tc>
          <w:tcPr>
            <w:tcW w:type="dxa" w:w="2376"/>
            <w:tcMar>
              <w:top w:w="80" w:type="dxa"/>
              <w:start w:w="75" w:type="dxa"/>
              <w:bottom w:w="80" w:type="dxa"/>
              <w:end w:w="75" w:type="dxa"/>
            </w:tcMar>
            <w:vAlign w:val="center"/>
          </w:tcPr>
          <w:p>
            <w:pPr>
              <w:spacing w:after="0" w:line="240" w:lineRule="auto"/>
              <w:jc w:val="center"/>
            </w:pPr>
            <w:r>
              <w:rPr>
                <w:rFonts w:ascii="Liberation Sans" w:hAnsi="Liberation Sans"/>
                <w:b/>
                <w:color w:val="1F2937"/>
                <w:sz w:val="16"/>
              </w:rPr>
              <w:t>Availability/response expectations</w:t>
            </w:r>
          </w:p>
        </w:tc>
        <w:tc>
          <w:tcPr>
            <w:tcW w:type="dxa" w:w="2592"/>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Current availability process and approved service standard if any</w:t>
            </w:r>
          </w:p>
        </w:tc>
        <w:tc>
          <w:tcPr>
            <w:tcW w:type="dxa" w:w="1944"/>
            <w:tcMar>
              <w:top w:w="80" w:type="dxa"/>
              <w:start w:w="75" w:type="dxa"/>
              <w:bottom w:w="80" w:type="dxa"/>
              <w:end w:w="75" w:type="dxa"/>
            </w:tcMar>
            <w:vAlign w:val="center"/>
            <w:shd w:fill="FFF2CC"/>
          </w:tcPr>
          <w:p>
            <w:pPr>
              <w:spacing w:after="0" w:line="240" w:lineRule="auto"/>
              <w:jc w:val="center"/>
            </w:pPr>
            <w:r>
              <w:rPr>
                <w:rFonts w:ascii="Liberation Sans" w:hAnsi="Liberation Sans"/>
                <w:b w:val="0"/>
                <w:color w:val="1F2937"/>
                <w:sz w:val="16"/>
              </w:rPr>
              <w:t>Evidence Required</w:t>
            </w:r>
          </w:p>
        </w:tc>
        <w:tc>
          <w:tcPr>
            <w:tcW w:type="dxa" w:w="2232"/>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Ajith</w:t>
            </w:r>
          </w:p>
        </w:tc>
        <w:tc>
          <w:tcPr>
            <w:tcW w:type="dxa" w:w="3311"/>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Enquiry CTA may exist; response/bookability promise remains conditional.</w:t>
            </w:r>
          </w:p>
        </w:tc>
        <w:tc>
          <w:tcPr>
            <w:tcW w:type="dxa" w:w="936"/>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F-12</w:t>
            </w:r>
          </w:p>
        </w:tc>
      </w:tr>
      <w:tr>
        <w:trPr>
          <w:trHeight w:hRule="atLeast"/>
          <w:cantSplit/>
        </w:trPr>
        <w:tc>
          <w:tcPr>
            <w:tcW w:type="dxa" w:w="2376"/>
            <w:tcMar>
              <w:top w:w="80" w:type="dxa"/>
              <w:start w:w="75" w:type="dxa"/>
              <w:bottom w:w="80" w:type="dxa"/>
              <w:end w:w="75" w:type="dxa"/>
            </w:tcMar>
            <w:vAlign w:val="center"/>
            <w:shd w:fill="FAFBFC"/>
          </w:tcPr>
          <w:p>
            <w:pPr>
              <w:spacing w:after="0" w:line="240" w:lineRule="auto"/>
              <w:jc w:val="center"/>
            </w:pPr>
            <w:r>
              <w:rPr>
                <w:rFonts w:ascii="Liberation Sans" w:hAnsi="Liberation Sans"/>
                <w:b/>
                <w:color w:val="1F2937"/>
                <w:sz w:val="16"/>
              </w:rPr>
              <w:t>Photos/testimonials/case evidence</w:t>
            </w:r>
          </w:p>
        </w:tc>
        <w:tc>
          <w:tcPr>
            <w:tcW w:type="dxa" w:w="2592"/>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Original asset/source + attribution + required permission/consent</w:t>
            </w:r>
          </w:p>
        </w:tc>
        <w:tc>
          <w:tcPr>
            <w:tcW w:type="dxa" w:w="1944"/>
            <w:tcMar>
              <w:top w:w="80" w:type="dxa"/>
              <w:start w:w="75" w:type="dxa"/>
              <w:bottom w:w="80" w:type="dxa"/>
              <w:end w:w="75" w:type="dxa"/>
            </w:tcMar>
            <w:vAlign w:val="center"/>
            <w:shd w:fill="FFF2CC"/>
          </w:tcPr>
          <w:p>
            <w:pPr>
              <w:spacing w:after="0" w:line="240" w:lineRule="auto"/>
              <w:jc w:val="center"/>
            </w:pPr>
            <w:r>
              <w:rPr>
                <w:rFonts w:ascii="Liberation Sans" w:hAnsi="Liberation Sans"/>
                <w:b w:val="0"/>
                <w:color w:val="1F2937"/>
                <w:sz w:val="16"/>
              </w:rPr>
              <w:t>Evidence Required</w:t>
            </w:r>
          </w:p>
        </w:tc>
        <w:tc>
          <w:tcPr>
            <w:tcW w:type="dxa" w:w="2232"/>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Business asset/consent owner</w:t>
            </w:r>
          </w:p>
        </w:tc>
        <w:tc>
          <w:tcPr>
            <w:tcW w:type="dxa" w:w="3311"/>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Use only relevant, attributable, permissioned proof.</w:t>
            </w:r>
          </w:p>
        </w:tc>
        <w:tc>
          <w:tcPr>
            <w:tcW w:type="dxa" w:w="936"/>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F-13</w:t>
            </w:r>
          </w:p>
        </w:tc>
      </w:tr>
      <w:tr>
        <w:trPr>
          <w:trHeight w:hRule="atLeast"/>
          <w:cantSplit/>
        </w:trPr>
        <w:tc>
          <w:tcPr>
            <w:tcW w:type="dxa" w:w="2376"/>
            <w:tcMar>
              <w:top w:w="80" w:type="dxa"/>
              <w:start w:w="75" w:type="dxa"/>
              <w:bottom w:w="80" w:type="dxa"/>
              <w:end w:w="75" w:type="dxa"/>
            </w:tcMar>
            <w:vAlign w:val="center"/>
          </w:tcPr>
          <w:p>
            <w:pPr>
              <w:spacing w:after="0" w:line="240" w:lineRule="auto"/>
              <w:jc w:val="center"/>
            </w:pPr>
            <w:r>
              <w:rPr>
                <w:rFonts w:ascii="Liberation Sans" w:hAnsi="Liberation Sans"/>
                <w:b/>
                <w:color w:val="1F2937"/>
                <w:sz w:val="16"/>
              </w:rPr>
              <w:t>Competitor comparison</w:t>
            </w:r>
          </w:p>
        </w:tc>
        <w:tc>
          <w:tcPr>
            <w:tcW w:type="dxa" w:w="2592"/>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Verified competitor research</w:t>
            </w:r>
          </w:p>
        </w:tc>
        <w:tc>
          <w:tcPr>
            <w:tcW w:type="dxa" w:w="1944"/>
            <w:tcMar>
              <w:top w:w="80" w:type="dxa"/>
              <w:start w:w="75" w:type="dxa"/>
              <w:bottom w:w="80" w:type="dxa"/>
              <w:end w:w="75" w:type="dxa"/>
            </w:tcMar>
            <w:vAlign w:val="center"/>
          </w:tcPr>
          <w:p>
            <w:pPr>
              <w:spacing w:after="0" w:line="240" w:lineRule="auto"/>
              <w:jc w:val="center"/>
            </w:pPr>
            <w:r>
              <w:rPr>
                <w:rFonts w:ascii="Liberation Sans" w:hAnsi="Liberation Sans"/>
                <w:b w:val="0"/>
                <w:color w:val="1F2937"/>
                <w:sz w:val="16"/>
              </w:rPr>
              <w:t>Unresolved</w:t>
            </w:r>
          </w:p>
        </w:tc>
        <w:tc>
          <w:tcPr>
            <w:tcW w:type="dxa" w:w="2232"/>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Strategy/research owner</w:t>
            </w:r>
          </w:p>
        </w:tc>
        <w:tc>
          <w:tcPr>
            <w:tcW w:type="dxa" w:w="3311"/>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Context only; no comparative claims.</w:t>
            </w:r>
          </w:p>
        </w:tc>
        <w:tc>
          <w:tcPr>
            <w:tcW w:type="dxa" w:w="936"/>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F-16</w:t>
            </w:r>
          </w:p>
        </w:tc>
      </w:tr>
      <w:tr>
        <w:trPr>
          <w:trHeight w:hRule="atLeast"/>
          <w:cantSplit/>
        </w:trPr>
        <w:tc>
          <w:tcPr>
            <w:tcW w:type="dxa" w:w="2376"/>
            <w:tcMar>
              <w:top w:w="80" w:type="dxa"/>
              <w:start w:w="75" w:type="dxa"/>
              <w:bottom w:w="80" w:type="dxa"/>
              <w:end w:w="75" w:type="dxa"/>
            </w:tcMar>
            <w:vAlign w:val="center"/>
            <w:shd w:fill="FAFBFC"/>
          </w:tcPr>
          <w:p>
            <w:pPr>
              <w:spacing w:after="0" w:line="240" w:lineRule="auto"/>
              <w:jc w:val="center"/>
            </w:pPr>
            <w:r>
              <w:rPr>
                <w:rFonts w:ascii="Liberation Sans" w:hAnsi="Liberation Sans"/>
                <w:b/>
                <w:color w:val="1F2937"/>
                <w:sz w:val="16"/>
              </w:rPr>
              <w:t>Public brand/entity naming</w:t>
            </w:r>
          </w:p>
        </w:tc>
        <w:tc>
          <w:tcPr>
            <w:tcW w:type="dxa" w:w="2592"/>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Approved brand/entity decision</w:t>
            </w:r>
          </w:p>
        </w:tc>
        <w:tc>
          <w:tcPr>
            <w:tcW w:type="dxa" w:w="1944"/>
            <w:tcMar>
              <w:top w:w="80" w:type="dxa"/>
              <w:start w:w="75" w:type="dxa"/>
              <w:bottom w:w="80" w:type="dxa"/>
              <w:end w:w="75" w:type="dxa"/>
            </w:tcMar>
            <w:vAlign w:val="center"/>
            <w:shd w:fill="FFF2CC"/>
          </w:tcPr>
          <w:p>
            <w:pPr>
              <w:spacing w:after="0" w:line="240" w:lineRule="auto"/>
              <w:jc w:val="center"/>
            </w:pPr>
            <w:r>
              <w:rPr>
                <w:rFonts w:ascii="Liberation Sans" w:hAnsi="Liberation Sans"/>
                <w:b w:val="0"/>
                <w:color w:val="1F2937"/>
                <w:sz w:val="16"/>
              </w:rPr>
              <w:t>Requires Human Clarification</w:t>
            </w:r>
          </w:p>
        </w:tc>
        <w:tc>
          <w:tcPr>
            <w:tcW w:type="dxa" w:w="2232"/>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Human Authority Manager / brand owner</w:t>
            </w:r>
          </w:p>
        </w:tc>
        <w:tc>
          <w:tcPr>
            <w:tcW w:type="dxa" w:w="3311"/>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Use Viri VR in this report; confirm governed public naming before final release if needed.</w:t>
            </w:r>
          </w:p>
        </w:tc>
        <w:tc>
          <w:tcPr>
            <w:tcW w:type="dxa" w:w="936"/>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F-19</w:t>
            </w:r>
          </w:p>
        </w:tc>
      </w:tr>
    </w:tbl>
    <w:p>
      <w:pPr>
        <w:spacing w:after="0"/>
      </w:pPr>
    </w:p>
    <w:p>
      <w:pPr>
        <w:pStyle w:val="Heading1"/>
        <w:keepNext/>
        <w:spacing w:before="200" w:after="100"/>
      </w:pPr>
      <w:r>
        <w:rPr>
          <w:rFonts w:ascii="Liberation Sans" w:hAnsi="Liberation Sans"/>
          <w:b/>
          <w:color w:val="17365D"/>
          <w:sz w:val="30"/>
        </w:rPr>
        <w:t>6. Outstanding Issues and Specialist Handoffs</w:t>
      </w:r>
    </w:p>
    <w:tbl>
      <w:tblPr>
        <w:tblStyle w:val="TableGrid"/>
        <w:tblW w:type="auto" w:w="0"/>
        <w:jc w:val="center"/>
        <w:tblLayout w:type="fixed"/>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1296"/>
            <w:shd w:fill="17365D"/>
            <w:tcMar>
              <w:top w:w="90" w:type="dxa"/>
              <w:start w:w="75" w:type="dxa"/>
              <w:bottom w:w="90" w:type="dxa"/>
              <w:end w:w="75" w:type="dxa"/>
            </w:tcMar>
            <w:vAlign w:val="center"/>
          </w:tcPr>
          <w:p>
            <w:pPr>
              <w:spacing w:after="0" w:line="240" w:lineRule="auto"/>
              <w:jc w:val="center"/>
            </w:pPr>
            <w:r>
              <w:rPr>
                <w:rFonts w:ascii="Liberation Sans" w:hAnsi="Liberation Sans"/>
                <w:b/>
                <w:color w:val="FFFFFF"/>
                <w:sz w:val="16"/>
              </w:rPr>
              <w:t>ID / Finding Ref</w:t>
            </w:r>
          </w:p>
        </w:tc>
        <w:tc>
          <w:tcPr>
            <w:tcW w:type="dxa" w:w="1728"/>
            <w:shd w:fill="17365D"/>
            <w:tcMar>
              <w:top w:w="90" w:type="dxa"/>
              <w:start w:w="75" w:type="dxa"/>
              <w:bottom w:w="90" w:type="dxa"/>
              <w:end w:w="75" w:type="dxa"/>
            </w:tcMar>
            <w:vAlign w:val="center"/>
          </w:tcPr>
          <w:p>
            <w:pPr>
              <w:spacing w:after="0" w:line="240" w:lineRule="auto"/>
              <w:jc w:val="center"/>
            </w:pPr>
            <w:r>
              <w:rPr>
                <w:rFonts w:ascii="Liberation Sans" w:hAnsi="Liberation Sans"/>
                <w:b/>
                <w:color w:val="FFFFFF"/>
                <w:sz w:val="16"/>
              </w:rPr>
              <w:t>Issue Type</w:t>
            </w:r>
          </w:p>
        </w:tc>
        <w:tc>
          <w:tcPr>
            <w:tcW w:type="dxa" w:w="2015"/>
            <w:shd w:fill="17365D"/>
            <w:tcMar>
              <w:top w:w="90" w:type="dxa"/>
              <w:start w:w="75" w:type="dxa"/>
              <w:bottom w:w="90" w:type="dxa"/>
              <w:end w:w="75" w:type="dxa"/>
            </w:tcMar>
            <w:vAlign w:val="center"/>
          </w:tcPr>
          <w:p>
            <w:pPr>
              <w:spacing w:after="0" w:line="240" w:lineRule="auto"/>
              <w:jc w:val="center"/>
            </w:pPr>
            <w:r>
              <w:rPr>
                <w:rFonts w:ascii="Liberation Sans" w:hAnsi="Liberation Sans"/>
                <w:b/>
                <w:color w:val="FFFFFF"/>
                <w:sz w:val="16"/>
              </w:rPr>
              <w:t>Outstanding Item</w:t>
            </w:r>
          </w:p>
        </w:tc>
        <w:tc>
          <w:tcPr>
            <w:tcW w:type="dxa" w:w="2088"/>
            <w:shd w:fill="17365D"/>
            <w:tcMar>
              <w:top w:w="90" w:type="dxa"/>
              <w:start w:w="75" w:type="dxa"/>
              <w:bottom w:w="90" w:type="dxa"/>
              <w:end w:w="75" w:type="dxa"/>
            </w:tcMar>
            <w:vAlign w:val="center"/>
          </w:tcPr>
          <w:p>
            <w:pPr>
              <w:spacing w:after="0" w:line="240" w:lineRule="auto"/>
              <w:jc w:val="center"/>
            </w:pPr>
            <w:r>
              <w:rPr>
                <w:rFonts w:ascii="Liberation Sans" w:hAnsi="Liberation Sans"/>
                <w:b/>
                <w:color w:val="FFFFFF"/>
                <w:sz w:val="16"/>
              </w:rPr>
              <w:t>Evidence / Decision Needed</w:t>
            </w:r>
          </w:p>
        </w:tc>
        <w:tc>
          <w:tcPr>
            <w:tcW w:type="dxa" w:w="1800"/>
            <w:shd w:fill="17365D"/>
            <w:tcMar>
              <w:top w:w="90" w:type="dxa"/>
              <w:start w:w="75" w:type="dxa"/>
              <w:bottom w:w="90" w:type="dxa"/>
              <w:end w:w="75" w:type="dxa"/>
            </w:tcMar>
            <w:vAlign w:val="center"/>
          </w:tcPr>
          <w:p>
            <w:pPr>
              <w:spacing w:after="0" w:line="240" w:lineRule="auto"/>
              <w:jc w:val="center"/>
            </w:pPr>
            <w:r>
              <w:rPr>
                <w:rFonts w:ascii="Liberation Sans" w:hAnsi="Liberation Sans"/>
                <w:b/>
                <w:color w:val="FFFFFF"/>
                <w:sz w:val="16"/>
              </w:rPr>
              <w:t>Owner / Handoff</w:t>
            </w:r>
          </w:p>
        </w:tc>
        <w:tc>
          <w:tcPr>
            <w:tcW w:type="dxa" w:w="2304"/>
            <w:shd w:fill="17365D"/>
            <w:tcMar>
              <w:top w:w="90" w:type="dxa"/>
              <w:start w:w="75" w:type="dxa"/>
              <w:bottom w:w="90" w:type="dxa"/>
              <w:end w:w="75" w:type="dxa"/>
            </w:tcMar>
            <w:vAlign w:val="center"/>
          </w:tcPr>
          <w:p>
            <w:pPr>
              <w:spacing w:after="0" w:line="240" w:lineRule="auto"/>
              <w:jc w:val="center"/>
            </w:pPr>
            <w:r>
              <w:rPr>
                <w:rFonts w:ascii="Liberation Sans" w:hAnsi="Liberation Sans"/>
                <w:b/>
                <w:color w:val="FFFFFF"/>
                <w:sz w:val="16"/>
              </w:rPr>
              <w:t>Effect on Content</w:t>
            </w:r>
          </w:p>
        </w:tc>
        <w:tc>
          <w:tcPr>
            <w:tcW w:type="dxa" w:w="2520"/>
            <w:shd w:fill="17365D"/>
            <w:tcMar>
              <w:top w:w="90" w:type="dxa"/>
              <w:start w:w="75" w:type="dxa"/>
              <w:bottom w:w="90" w:type="dxa"/>
              <w:end w:w="75" w:type="dxa"/>
            </w:tcMar>
            <w:vAlign w:val="center"/>
          </w:tcPr>
          <w:p>
            <w:pPr>
              <w:spacing w:after="0" w:line="240" w:lineRule="auto"/>
              <w:jc w:val="center"/>
            </w:pPr>
            <w:r>
              <w:rPr>
                <w:rFonts w:ascii="Liberation Sans" w:hAnsi="Liberation Sans"/>
                <w:b/>
                <w:color w:val="FFFFFF"/>
                <w:sz w:val="16"/>
              </w:rPr>
              <w:t>Next Step</w:t>
            </w:r>
          </w:p>
        </w:tc>
      </w:tr>
      <w:tr>
        <w:trPr>
          <w:trHeight w:hRule="atLeast"/>
          <w:cantSplit/>
        </w:trPr>
        <w:tc>
          <w:tcPr>
            <w:tcW w:type="dxa" w:w="1296"/>
            <w:tcMar>
              <w:top w:w="80" w:type="dxa"/>
              <w:start w:w="75" w:type="dxa"/>
              <w:bottom w:w="80" w:type="dxa"/>
              <w:end w:w="75" w:type="dxa"/>
            </w:tcMar>
            <w:vAlign w:val="center"/>
          </w:tcPr>
          <w:p>
            <w:pPr>
              <w:spacing w:after="0" w:line="240" w:lineRule="auto"/>
              <w:jc w:val="center"/>
            </w:pPr>
            <w:r>
              <w:rPr>
                <w:rFonts w:ascii="Liberation Sans" w:hAnsi="Liberation Sans"/>
                <w:b/>
                <w:color w:val="1F2937"/>
                <w:sz w:val="16"/>
              </w:rPr>
              <w:t>O-01 / F-04-F-06</w:t>
            </w:r>
          </w:p>
        </w:tc>
        <w:tc>
          <w:tcPr>
            <w:tcW w:type="dxa" w:w="1728"/>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Evidence Gap / Owner Confirmation</w:t>
            </w:r>
          </w:p>
        </w:tc>
        <w:tc>
          <w:tcPr>
            <w:tcW w:type="dxa" w:w="2015"/>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Service/package definition, inclusions, equipment, setup, hosting, age, capacity and rotations</w:t>
            </w:r>
          </w:p>
        </w:tc>
        <w:tc>
          <w:tcPr>
            <w:tcW w:type="dxa" w:w="2088"/>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Current approved operating/package information</w:t>
            </w:r>
          </w:p>
        </w:tc>
        <w:tc>
          <w:tcPr>
            <w:tcW w:type="dxa" w:w="1800"/>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Ajith</w:t>
            </w:r>
          </w:p>
        </w:tc>
        <w:tc>
          <w:tcPr>
            <w:tcW w:type="dxa" w:w="2304"/>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Does not block structural drafting; blocks affected factual wording.</w:t>
            </w:r>
          </w:p>
        </w:tc>
        <w:tc>
          <w:tcPr>
            <w:tcW w:type="dxa" w:w="2520"/>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Request and record dated operational evidence before final copy.</w:t>
            </w:r>
          </w:p>
        </w:tc>
      </w:tr>
      <w:tr>
        <w:trPr>
          <w:trHeight w:hRule="atLeast"/>
          <w:cantSplit/>
        </w:trPr>
        <w:tc>
          <w:tcPr>
            <w:tcW w:type="dxa" w:w="1296"/>
            <w:tcMar>
              <w:top w:w="80" w:type="dxa"/>
              <w:start w:w="75" w:type="dxa"/>
              <w:bottom w:w="80" w:type="dxa"/>
              <w:end w:w="75" w:type="dxa"/>
            </w:tcMar>
            <w:vAlign w:val="center"/>
            <w:shd w:fill="FAFBFC"/>
          </w:tcPr>
          <w:p>
            <w:pPr>
              <w:spacing w:after="0" w:line="240" w:lineRule="auto"/>
              <w:jc w:val="center"/>
            </w:pPr>
            <w:r>
              <w:rPr>
                <w:rFonts w:ascii="Liberation Sans" w:hAnsi="Liberation Sans"/>
                <w:b/>
                <w:color w:val="1F2937"/>
                <w:sz w:val="16"/>
              </w:rPr>
              <w:t>O-02 / F-07-F-08</w:t>
            </w:r>
          </w:p>
        </w:tc>
        <w:tc>
          <w:tcPr>
            <w:tcW w:type="dxa" w:w="1728"/>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Evidence Gap / Specialist Dependency</w:t>
            </w:r>
          </w:p>
        </w:tc>
        <w:tc>
          <w:tcPr>
            <w:tcW w:type="dxa" w:w="2015"/>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Space, safety, supervision and liability</w:t>
            </w:r>
          </w:p>
        </w:tc>
        <w:tc>
          <w:tcPr>
            <w:tcW w:type="dxa" w:w="2088"/>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Approved operational process plus specialist/documentary evidence where applicable</w:t>
            </w:r>
          </w:p>
        </w:tc>
        <w:tc>
          <w:tcPr>
            <w:tcW w:type="dxa" w:w="1800"/>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Ajith + authorised safety/insurance/legal owner</w:t>
            </w:r>
          </w:p>
        </w:tc>
        <w:tc>
          <w:tcPr>
            <w:tcW w:type="dxa" w:w="2304"/>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Blocks specific safety, space and liability assurances; not whole-page development.</w:t>
            </w:r>
          </w:p>
        </w:tc>
        <w:tc>
          <w:tcPr>
            <w:tcW w:type="dxa" w:w="2520"/>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Obtain evidence and separate operational facts from specialist assurances.</w:t>
            </w:r>
          </w:p>
        </w:tc>
      </w:tr>
      <w:tr>
        <w:trPr>
          <w:trHeight w:hRule="atLeast"/>
          <w:cantSplit/>
        </w:trPr>
        <w:tc>
          <w:tcPr>
            <w:tcW w:type="dxa" w:w="1296"/>
            <w:tcMar>
              <w:top w:w="80" w:type="dxa"/>
              <w:start w:w="75" w:type="dxa"/>
              <w:bottom w:w="80" w:type="dxa"/>
              <w:end w:w="75" w:type="dxa"/>
            </w:tcMar>
            <w:vAlign w:val="center"/>
          </w:tcPr>
          <w:p>
            <w:pPr>
              <w:spacing w:after="0" w:line="240" w:lineRule="auto"/>
              <w:jc w:val="center"/>
            </w:pPr>
            <w:r>
              <w:rPr>
                <w:rFonts w:ascii="Liberation Sans" w:hAnsi="Liberation Sans"/>
                <w:b/>
                <w:color w:val="1F2937"/>
                <w:sz w:val="16"/>
              </w:rPr>
              <w:t>O-03 / F-09-F-10</w:t>
            </w:r>
          </w:p>
        </w:tc>
        <w:tc>
          <w:tcPr>
            <w:tcW w:type="dxa" w:w="1728"/>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Specialist Follow-up / Owner Confirmation</w:t>
            </w:r>
          </w:p>
        </w:tc>
        <w:tc>
          <w:tcPr>
            <w:tcW w:type="dxa" w:w="2015"/>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Power, connectivity, offline operation, outage and weather contingency</w:t>
            </w:r>
          </w:p>
        </w:tc>
        <w:tc>
          <w:tcPr>
            <w:tcW w:type="dxa" w:w="2088"/>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Technical specifications + approved operational contingency rules</w:t>
            </w:r>
          </w:p>
        </w:tc>
        <w:tc>
          <w:tcPr>
            <w:tcW w:type="dxa" w:w="1800"/>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Technical owner + Ajith</w:t>
            </w:r>
          </w:p>
        </w:tc>
        <w:tc>
          <w:tcPr>
            <w:tcW w:type="dxa" w:w="2304"/>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Blocks specific technical/contingency claims.</w:t>
            </w:r>
          </w:p>
        </w:tc>
        <w:tc>
          <w:tcPr>
            <w:tcW w:type="dxa" w:w="2520"/>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Supply evidence before final answer blocks are written as fact.</w:t>
            </w:r>
          </w:p>
        </w:tc>
      </w:tr>
      <w:tr>
        <w:trPr>
          <w:trHeight w:hRule="atLeast"/>
          <w:cantSplit/>
        </w:trPr>
        <w:tc>
          <w:tcPr>
            <w:tcW w:type="dxa" w:w="1296"/>
            <w:tcMar>
              <w:top w:w="80" w:type="dxa"/>
              <w:start w:w="75" w:type="dxa"/>
              <w:bottom w:w="80" w:type="dxa"/>
              <w:end w:w="75" w:type="dxa"/>
            </w:tcMar>
            <w:vAlign w:val="center"/>
            <w:shd w:fill="FAFBFC"/>
          </w:tcPr>
          <w:p>
            <w:pPr>
              <w:spacing w:after="0" w:line="240" w:lineRule="auto"/>
              <w:jc w:val="center"/>
            </w:pPr>
            <w:r>
              <w:rPr>
                <w:rFonts w:ascii="Liberation Sans" w:hAnsi="Liberation Sans"/>
                <w:b/>
                <w:color w:val="1F2937"/>
                <w:sz w:val="16"/>
              </w:rPr>
              <w:t>O-04 / F-11-F-12</w:t>
            </w:r>
          </w:p>
        </w:tc>
        <w:tc>
          <w:tcPr>
            <w:tcW w:type="dxa" w:w="1728"/>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Evidence Gap / Owner Confirmation</w:t>
            </w:r>
          </w:p>
        </w:tc>
        <w:tc>
          <w:tcPr>
            <w:tcW w:type="dxa" w:w="2015"/>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Pricing, coverage, travel, availability and response rules</w:t>
            </w:r>
          </w:p>
        </w:tc>
        <w:tc>
          <w:tcPr>
            <w:tcW w:type="dxa" w:w="2088"/>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Current pricing/service-area/travel/availability evidence</w:t>
            </w:r>
          </w:p>
        </w:tc>
        <w:tc>
          <w:tcPr>
            <w:tcW w:type="dxa" w:w="1800"/>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Ajith / authorised pricing owner</w:t>
            </w:r>
          </w:p>
        </w:tc>
        <w:tc>
          <w:tcPr>
            <w:tcW w:type="dxa" w:w="2304"/>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Blocks specific commercial and eligibility claims, not general development.</w:t>
            </w:r>
          </w:p>
        </w:tc>
        <w:tc>
          <w:tcPr>
            <w:tcW w:type="dxa" w:w="2520"/>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Maintain enquiry/conditional treatment until supplied.</w:t>
            </w:r>
          </w:p>
        </w:tc>
      </w:tr>
      <w:tr>
        <w:trPr>
          <w:trHeight w:hRule="atLeast"/>
          <w:cantSplit/>
        </w:trPr>
        <w:tc>
          <w:tcPr>
            <w:tcW w:type="dxa" w:w="1296"/>
            <w:tcMar>
              <w:top w:w="80" w:type="dxa"/>
              <w:start w:w="75" w:type="dxa"/>
              <w:bottom w:w="80" w:type="dxa"/>
              <w:end w:w="75" w:type="dxa"/>
            </w:tcMar>
            <w:vAlign w:val="center"/>
          </w:tcPr>
          <w:p>
            <w:pPr>
              <w:spacing w:after="0" w:line="240" w:lineRule="auto"/>
              <w:jc w:val="center"/>
            </w:pPr>
            <w:r>
              <w:rPr>
                <w:rFonts w:ascii="Liberation Sans" w:hAnsi="Liberation Sans"/>
                <w:b/>
                <w:color w:val="1F2937"/>
                <w:sz w:val="16"/>
              </w:rPr>
              <w:t>O-05 / F-13</w:t>
            </w:r>
          </w:p>
        </w:tc>
        <w:tc>
          <w:tcPr>
            <w:tcW w:type="dxa" w:w="1728"/>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Evidence Gap / Specialist Follow-up</w:t>
            </w:r>
          </w:p>
        </w:tc>
        <w:tc>
          <w:tcPr>
            <w:tcW w:type="dxa" w:w="2015"/>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Original photos, testimonials, reviews/case proof and permissions</w:t>
            </w:r>
          </w:p>
        </w:tc>
        <w:tc>
          <w:tcPr>
            <w:tcW w:type="dxa" w:w="2088"/>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Assets, provenance, attribution and required rights/consent</w:t>
            </w:r>
          </w:p>
        </w:tc>
        <w:tc>
          <w:tcPr>
            <w:tcW w:type="dxa" w:w="1800"/>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Asset/consent owner -&gt; Brand Authority Builder</w:t>
            </w:r>
          </w:p>
        </w:tc>
        <w:tc>
          <w:tcPr>
            <w:tcW w:type="dxa" w:w="2304"/>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Proof modules may be reserved but not populated with unverified assets.</w:t>
            </w:r>
          </w:p>
        </w:tc>
        <w:tc>
          <w:tcPr>
            <w:tcW w:type="dxa" w:w="2520"/>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Assemble first-party proof set, then route specialist assessment.</w:t>
            </w:r>
          </w:p>
        </w:tc>
      </w:tr>
      <w:tr>
        <w:trPr>
          <w:trHeight w:hRule="atLeast"/>
          <w:cantSplit/>
        </w:trPr>
        <w:tc>
          <w:tcPr>
            <w:tcW w:type="dxa" w:w="1296"/>
            <w:tcMar>
              <w:top w:w="80" w:type="dxa"/>
              <w:start w:w="75" w:type="dxa"/>
              <w:bottom w:w="80" w:type="dxa"/>
              <w:end w:w="75" w:type="dxa"/>
            </w:tcMar>
            <w:vAlign w:val="center"/>
            <w:shd w:fill="FAFBFC"/>
          </w:tcPr>
          <w:p>
            <w:pPr>
              <w:spacing w:after="0" w:line="240" w:lineRule="auto"/>
              <w:jc w:val="center"/>
            </w:pPr>
            <w:r>
              <w:rPr>
                <w:rFonts w:ascii="Liberation Sans" w:hAnsi="Liberation Sans"/>
                <w:b/>
                <w:color w:val="1F2937"/>
                <w:sz w:val="16"/>
              </w:rPr>
              <w:t>O-06 / F-14-F-15</w:t>
            </w:r>
          </w:p>
        </w:tc>
        <w:tc>
          <w:tcPr>
            <w:tcW w:type="dxa" w:w="1728"/>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Strategy/Search Clarification</w:t>
            </w:r>
          </w:p>
        </w:tc>
        <w:tc>
          <w:tcPr>
            <w:tcW w:type="dxa" w:w="2015"/>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Relationship between HP-001, VR Party at Your Venue and Fully Hosted VR Party</w:t>
            </w:r>
          </w:p>
        </w:tc>
        <w:tc>
          <w:tcPr>
            <w:tcW w:type="dxa" w:w="2088"/>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Confirm canonical ownership, boundaries and shared-question treatment</w:t>
            </w:r>
          </w:p>
        </w:tc>
        <w:tc>
          <w:tcPr>
            <w:tcW w:type="dxa" w:w="1800"/>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Strategy/Search</w:t>
            </w:r>
          </w:p>
        </w:tc>
        <w:tc>
          <w:tcPr>
            <w:tcW w:type="dxa" w:w="2304"/>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Does not block HP-001 at-home structural work; blocks final overlapping positioning and duplicate service answers.</w:t>
            </w:r>
          </w:p>
        </w:tc>
        <w:tc>
          <w:tcPr>
            <w:tcW w:type="dxa" w:w="2520"/>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Reconcile new three-page framework with approved Architecture.</w:t>
            </w:r>
          </w:p>
        </w:tc>
      </w:tr>
      <w:tr>
        <w:trPr>
          <w:trHeight w:hRule="atLeast"/>
          <w:cantSplit/>
        </w:trPr>
        <w:tc>
          <w:tcPr>
            <w:tcW w:type="dxa" w:w="1296"/>
            <w:tcMar>
              <w:top w:w="80" w:type="dxa"/>
              <w:start w:w="75" w:type="dxa"/>
              <w:bottom w:w="80" w:type="dxa"/>
              <w:end w:w="75" w:type="dxa"/>
            </w:tcMar>
            <w:vAlign w:val="center"/>
          </w:tcPr>
          <w:p>
            <w:pPr>
              <w:spacing w:after="0" w:line="240" w:lineRule="auto"/>
              <w:jc w:val="center"/>
            </w:pPr>
            <w:r>
              <w:rPr>
                <w:rFonts w:ascii="Liberation Sans" w:hAnsi="Liberation Sans"/>
                <w:b/>
                <w:color w:val="1F2937"/>
                <w:sz w:val="16"/>
              </w:rPr>
              <w:t>O-07 / F-19</w:t>
            </w:r>
          </w:p>
        </w:tc>
        <w:tc>
          <w:tcPr>
            <w:tcW w:type="dxa" w:w="1728"/>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Human Clarification</w:t>
            </w:r>
          </w:p>
        </w:tc>
        <w:tc>
          <w:tcPr>
            <w:tcW w:type="dxa" w:w="2015"/>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Governed public-facing brand/entity naming</w:t>
            </w:r>
          </w:p>
        </w:tc>
        <w:tc>
          <w:tcPr>
            <w:tcW w:type="dxa" w:w="2088"/>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Approved brand/entity decision</w:t>
            </w:r>
          </w:p>
        </w:tc>
        <w:tc>
          <w:tcPr>
            <w:tcW w:type="dxa" w:w="1800"/>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Human Authority Manager / brand owner</w:t>
            </w:r>
          </w:p>
        </w:tc>
        <w:tc>
          <w:tcPr>
            <w:tcW w:type="dxa" w:w="2304"/>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Does not block structure; blocks governed final naming if not already confirmed.</w:t>
            </w:r>
          </w:p>
        </w:tc>
        <w:tc>
          <w:tcPr>
            <w:tcW w:type="dxa" w:w="2520"/>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Use Viri VR in this report; confirm downstream governance record as needed.</w:t>
            </w:r>
          </w:p>
        </w:tc>
      </w:tr>
      <w:tr>
        <w:trPr>
          <w:trHeight w:hRule="atLeast"/>
          <w:cantSplit/>
        </w:trPr>
        <w:tc>
          <w:tcPr>
            <w:tcW w:type="dxa" w:w="1296"/>
            <w:tcMar>
              <w:top w:w="80" w:type="dxa"/>
              <w:start w:w="75" w:type="dxa"/>
              <w:bottom w:w="80" w:type="dxa"/>
              <w:end w:w="75" w:type="dxa"/>
            </w:tcMar>
            <w:vAlign w:val="center"/>
            <w:shd w:fill="FAFBFC"/>
          </w:tcPr>
          <w:p>
            <w:pPr>
              <w:spacing w:after="0" w:line="240" w:lineRule="auto"/>
              <w:jc w:val="center"/>
            </w:pPr>
            <w:r>
              <w:rPr>
                <w:rFonts w:ascii="Liberation Sans" w:hAnsi="Liberation Sans"/>
                <w:b/>
                <w:color w:val="1F2937"/>
                <w:sz w:val="16"/>
              </w:rPr>
              <w:t>O-08 / F-16</w:t>
            </w:r>
          </w:p>
        </w:tc>
        <w:tc>
          <w:tcPr>
            <w:tcW w:type="dxa" w:w="1728"/>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Research Gap / Specialist Follow-up</w:t>
            </w:r>
          </w:p>
        </w:tc>
        <w:tc>
          <w:tcPr>
            <w:tcW w:type="dxa" w:w="2015"/>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Verified Extreme VR competitor evidence is absent</w:t>
            </w:r>
          </w:p>
        </w:tc>
        <w:tc>
          <w:tcPr>
            <w:tcW w:type="dxa" w:w="2088"/>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Approved competitor research if comparison remains required</w:t>
            </w:r>
          </w:p>
        </w:tc>
        <w:tc>
          <w:tcPr>
            <w:tcW w:type="dxa" w:w="1800"/>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Strategy/research owner</w:t>
            </w:r>
          </w:p>
        </w:tc>
        <w:tc>
          <w:tcPr>
            <w:tcW w:type="dxa" w:w="2304"/>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Does not block HP-001 unless comparative claims are planned.</w:t>
            </w:r>
          </w:p>
        </w:tc>
        <w:tc>
          <w:tcPr>
            <w:tcW w:type="dxa" w:w="2520"/>
            <w:tcMar>
              <w:top w:w="80" w:type="dxa"/>
              <w:start w:w="75" w:type="dxa"/>
              <w:bottom w:w="80" w:type="dxa"/>
              <w:end w:w="75" w:type="dxa"/>
            </w:tcMar>
            <w:vAlign w:val="center"/>
            <w:shd w:fill="FAFBFC"/>
          </w:tcPr>
          <w:p>
            <w:pPr>
              <w:spacing w:after="0" w:line="240" w:lineRule="auto"/>
              <w:jc w:val="left"/>
            </w:pPr>
            <w:r>
              <w:rPr>
                <w:rFonts w:ascii="Liberation Sans" w:hAnsi="Liberation Sans"/>
                <w:b w:val="0"/>
                <w:color w:val="1F2937"/>
                <w:sz w:val="16"/>
              </w:rPr>
              <w:t>Do not create competitor comparison meanwhile.</w:t>
            </w:r>
          </w:p>
        </w:tc>
      </w:tr>
      <w:tr>
        <w:trPr>
          <w:trHeight w:hRule="atLeast"/>
          <w:cantSplit/>
        </w:trPr>
        <w:tc>
          <w:tcPr>
            <w:tcW w:type="dxa" w:w="1296"/>
            <w:tcMar>
              <w:top w:w="80" w:type="dxa"/>
              <w:start w:w="75" w:type="dxa"/>
              <w:bottom w:w="80" w:type="dxa"/>
              <w:end w:w="75" w:type="dxa"/>
            </w:tcMar>
            <w:vAlign w:val="center"/>
          </w:tcPr>
          <w:p>
            <w:pPr>
              <w:spacing w:after="0" w:line="240" w:lineRule="auto"/>
              <w:jc w:val="center"/>
            </w:pPr>
            <w:r>
              <w:rPr>
                <w:rFonts w:ascii="Liberation Sans" w:hAnsi="Liberation Sans"/>
                <w:b/>
                <w:color w:val="1F2937"/>
                <w:sz w:val="16"/>
              </w:rPr>
              <w:t>O-09 / F-17-F-18</w:t>
            </w:r>
          </w:p>
        </w:tc>
        <w:tc>
          <w:tcPr>
            <w:tcW w:type="dxa" w:w="1728"/>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Specialist Follow-up</w:t>
            </w:r>
          </w:p>
        </w:tc>
        <w:tc>
          <w:tcPr>
            <w:tcW w:type="dxa" w:w="2015"/>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Proof/citation, potential link-worthy assets, backlinks and PR opportunities</w:t>
            </w:r>
          </w:p>
        </w:tc>
        <w:tc>
          <w:tcPr>
            <w:tcW w:type="dxa" w:w="2088"/>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Verified first-party evidence/assets first</w:t>
            </w:r>
          </w:p>
        </w:tc>
        <w:tc>
          <w:tcPr>
            <w:tcW w:type="dxa" w:w="1800"/>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Brand Authority Builder / Backlink Auditor / Digital PR Specialist</w:t>
            </w:r>
          </w:p>
        </w:tc>
        <w:tc>
          <w:tcPr>
            <w:tcW w:type="dxa" w:w="2304"/>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Does not block Content development; these are authority-growth opportunities.</w:t>
            </w:r>
          </w:p>
        </w:tc>
        <w:tc>
          <w:tcPr>
            <w:tcW w:type="dxa" w:w="2520"/>
            <w:tcMar>
              <w:top w:w="80" w:type="dxa"/>
              <w:start w:w="75" w:type="dxa"/>
              <w:bottom w:w="80" w:type="dxa"/>
              <w:end w:w="75" w:type="dxa"/>
            </w:tcMar>
            <w:vAlign w:val="center"/>
          </w:tcPr>
          <w:p>
            <w:pPr>
              <w:spacing w:after="0" w:line="240" w:lineRule="auto"/>
              <w:jc w:val="left"/>
            </w:pPr>
            <w:r>
              <w:rPr>
                <w:rFonts w:ascii="Liberation Sans" w:hAnsi="Liberation Sans"/>
                <w:b w:val="0"/>
                <w:color w:val="1F2937"/>
                <w:sz w:val="16"/>
              </w:rPr>
              <w:t>Build/use credible first-party proof; route deeper specialist analysis afterwards.</w:t>
            </w:r>
          </w:p>
        </w:tc>
      </w:tr>
    </w:tbl>
    <w:p>
      <w:pPr>
        <w:spacing w:after="0"/>
      </w:pPr>
    </w:p>
    <w:p>
      <w:pPr>
        <w:sectPr>
          <w:pgSz w:w="15840" w:h="12240" w:orient="landscape"/>
          <w:pgMar w:top="720" w:right="720" w:bottom="720" w:left="720" w:header="360" w:footer="360" w:gutter="0"/>
          <w:cols w:space="720"/>
          <w:docGrid w:linePitch="360"/>
        </w:sectPr>
      </w:pPr>
    </w:p>
    <w:p>
      <w:pPr>
        <w:pStyle w:val="Heading1"/>
        <w:keepNext/>
        <w:spacing w:before="200" w:after="100"/>
      </w:pPr>
      <w:r>
        <w:rPr>
          <w:rFonts w:ascii="Liberation Sans" w:hAnsi="Liberation Sans"/>
          <w:b/>
          <w:color w:val="17365D"/>
          <w:sz w:val="30"/>
        </w:rPr>
        <w:t>7. Content Manager Handoff Summary</w:t>
      </w:r>
    </w:p>
    <w:p>
      <w:pPr>
        <w:pStyle w:val="Heading2"/>
        <w:keepNext/>
        <w:spacing w:before="140" w:after="100"/>
      </w:pPr>
      <w:r>
        <w:rPr>
          <w:rFonts w:ascii="Liberation Sans" w:hAnsi="Liberation Sans"/>
          <w:b/>
          <w:color w:val="2F5597"/>
          <w:sz w:val="24"/>
        </w:rPr>
        <w:t>Can Use Now</w:t>
      </w:r>
    </w:p>
    <w:p>
      <w:pPr>
        <w:pStyle w:val="ListBullet"/>
        <w:spacing w:after="40" w:line="252" w:lineRule="auto"/>
      </w:pPr>
      <w:r>
        <w:rPr>
          <w:rFonts w:ascii="Liberation Sans" w:hAnsi="Liberation Sans"/>
          <w:b w:val="0"/>
          <w:color w:val="1F2937"/>
          <w:sz w:val="20"/>
        </w:rPr>
        <w:t>HP-001's approved VR Party at Home role and proposed /house-party/ destination.</w:t>
      </w:r>
    </w:p>
    <w:p>
      <w:pPr>
        <w:pStyle w:val="ListBullet"/>
        <w:spacing w:after="40" w:line="252" w:lineRule="auto"/>
      </w:pPr>
      <w:r>
        <w:rPr>
          <w:rFonts w:ascii="Liberation Sans" w:hAnsi="Liberation Sans"/>
          <w:b w:val="0"/>
          <w:color w:val="1F2937"/>
          <w:sz w:val="20"/>
        </w:rPr>
        <w:t>Primary keyword: VR party at home.</w:t>
      </w:r>
    </w:p>
    <w:p>
      <w:pPr>
        <w:pStyle w:val="ListBullet"/>
        <w:spacing w:after="40" w:line="252" w:lineRule="auto"/>
      </w:pPr>
      <w:r>
        <w:rPr>
          <w:rFonts w:ascii="Liberation Sans" w:hAnsi="Liberation Sans"/>
          <w:b w:val="0"/>
          <w:color w:val="1F2937"/>
          <w:sz w:val="20"/>
        </w:rPr>
        <w:t>Architecture-supported secondary terms.</w:t>
      </w:r>
    </w:p>
    <w:p>
      <w:pPr>
        <w:pStyle w:val="ListBullet"/>
        <w:spacing w:after="40" w:line="252" w:lineRule="auto"/>
      </w:pPr>
      <w:r>
        <w:rPr>
          <w:rFonts w:ascii="Liberation Sans" w:hAnsi="Liberation Sans"/>
          <w:b w:val="0"/>
          <w:color w:val="1F2937"/>
          <w:sz w:val="20"/>
        </w:rPr>
        <w:t>Commercial investigation / transactional intent.</w:t>
      </w:r>
    </w:p>
    <w:p>
      <w:pPr>
        <w:pStyle w:val="ListBullet"/>
        <w:spacing w:after="40" w:line="252" w:lineRule="auto"/>
      </w:pPr>
      <w:r>
        <w:rPr>
          <w:rFonts w:ascii="Liberation Sans" w:hAnsi="Liberation Sans"/>
          <w:b w:val="0"/>
          <w:color w:val="1F2937"/>
          <w:sz w:val="20"/>
        </w:rPr>
        <w:t>The answer-first principle and relevant AEO question structure.</w:t>
      </w:r>
    </w:p>
    <w:p>
      <w:pPr>
        <w:pStyle w:val="ListBullet"/>
        <w:spacing w:after="40" w:line="252" w:lineRule="auto"/>
      </w:pPr>
      <w:r>
        <w:rPr>
          <w:rFonts w:ascii="Liberation Sans" w:hAnsi="Liberation Sans"/>
          <w:b w:val="0"/>
          <w:color w:val="1F2937"/>
          <w:sz w:val="20"/>
        </w:rPr>
        <w:t>The national-versus-local distinction and routing of detailed Melbourne eligibility to the local owner.</w:t>
      </w:r>
    </w:p>
    <w:p>
      <w:pPr>
        <w:pStyle w:val="ListBullet"/>
        <w:spacing w:after="40" w:line="252" w:lineRule="auto"/>
      </w:pPr>
      <w:r>
        <w:rPr>
          <w:rFonts w:ascii="Liberation Sans" w:hAnsi="Liberation Sans"/>
          <w:b w:val="0"/>
          <w:color w:val="1F2937"/>
          <w:sz w:val="20"/>
        </w:rPr>
        <w:t>The requirement to separate verified evidence from assumptions.</w:t>
      </w:r>
    </w:p>
    <w:p>
      <w:pPr>
        <w:pStyle w:val="ListBullet"/>
        <w:spacing w:after="40" w:line="252" w:lineRule="auto"/>
      </w:pPr>
      <w:r>
        <w:rPr>
          <w:rFonts w:ascii="Liberation Sans" w:hAnsi="Liberation Sans"/>
          <w:b w:val="0"/>
          <w:color w:val="1F2937"/>
          <w:sz w:val="20"/>
        </w:rPr>
        <w:t>The approved high-level concept that HP-001 explains a hosted at-home/private-space service, provided detailed entitlements remain evidence-gated.</w:t>
      </w:r>
    </w:p>
    <w:p>
      <w:pPr>
        <w:pStyle w:val="Heading2"/>
        <w:keepNext/>
        <w:spacing w:before="140" w:after="100"/>
      </w:pPr>
      <w:r>
        <w:rPr>
          <w:rFonts w:ascii="Liberation Sans" w:hAnsi="Liberation Sans"/>
          <w:b/>
          <w:color w:val="2F5597"/>
          <w:sz w:val="24"/>
        </w:rPr>
        <w:t>Can Use with Conditions</w:t>
      </w:r>
    </w:p>
    <w:p>
      <w:pPr>
        <w:spacing w:after="100" w:before="0" w:line="259" w:lineRule="auto"/>
      </w:pPr>
      <w:r>
        <w:rPr>
          <w:rFonts w:ascii="Liberation Sans" w:hAnsi="Liberation Sans"/>
          <w:b w:val="0"/>
          <w:color w:val="1F2937"/>
          <w:sz w:val="21"/>
        </w:rPr>
        <w:t>Content may structure or provisionally draft sections dealing with package/inclusions, equipment, age/group suitability, rotations, setup/hosting, space/access, safety, power/connectivity, contingencies, price, availability, service areas/travel and customer proof. Final factual wording remains conditional until the corresponding evidence in Section 5 is supplied.</w:t>
      </w:r>
    </w:p>
    <w:p>
      <w:pPr>
        <w:pStyle w:val="Heading2"/>
        <w:keepNext/>
        <w:spacing w:before="140" w:after="100"/>
      </w:pPr>
      <w:r>
        <w:rPr>
          <w:rFonts w:ascii="Liberation Sans" w:hAnsi="Liberation Sans"/>
          <w:b/>
          <w:color w:val="2F5597"/>
          <w:sz w:val="24"/>
        </w:rPr>
        <w:t>Must Not Treat as Verified</w:t>
      </w:r>
    </w:p>
    <w:p>
      <w:pPr>
        <w:pStyle w:val="ListBullet"/>
        <w:spacing w:after="40" w:line="252" w:lineRule="auto"/>
      </w:pPr>
      <w:r>
        <w:rPr>
          <w:rFonts w:ascii="Liberation Sans" w:hAnsi="Liberation Sans"/>
          <w:b w:val="0"/>
          <w:color w:val="1F2937"/>
          <w:sz w:val="20"/>
        </w:rPr>
        <w:t>Unsupported package inclusions or equipment quantities.</w:t>
      </w:r>
    </w:p>
    <w:p>
      <w:pPr>
        <w:pStyle w:val="ListBullet"/>
        <w:spacing w:after="40" w:line="252" w:lineRule="auto"/>
      </w:pPr>
      <w:r>
        <w:rPr>
          <w:rFonts w:ascii="Liberation Sans" w:hAnsi="Liberation Sans"/>
          <w:b w:val="0"/>
          <w:color w:val="1F2937"/>
          <w:sz w:val="20"/>
        </w:rPr>
        <w:t>Assumed age/capacity bands or invented rotation/session structures.</w:t>
      </w:r>
    </w:p>
    <w:p>
      <w:pPr>
        <w:pStyle w:val="ListBullet"/>
        <w:spacing w:after="40" w:line="252" w:lineRule="auto"/>
      </w:pPr>
      <w:r>
        <w:rPr>
          <w:rFonts w:ascii="Liberation Sans" w:hAnsi="Liberation Sans"/>
          <w:b w:val="0"/>
          <w:color w:val="1F2937"/>
          <w:sz w:val="20"/>
        </w:rPr>
        <w:t>Unverified safety, supervision or insurance assurances.</w:t>
      </w:r>
    </w:p>
    <w:p>
      <w:pPr>
        <w:pStyle w:val="ListBullet"/>
        <w:spacing w:after="40" w:line="252" w:lineRule="auto"/>
      </w:pPr>
      <w:r>
        <w:rPr>
          <w:rFonts w:ascii="Liberation Sans" w:hAnsi="Liberation Sans"/>
          <w:b w:val="0"/>
          <w:color w:val="1F2937"/>
          <w:sz w:val="20"/>
        </w:rPr>
        <w:t>Inferred power/Wi-Fi/offline capability or assumed outage/weather remedies.</w:t>
      </w:r>
    </w:p>
    <w:p>
      <w:pPr>
        <w:pStyle w:val="ListBullet"/>
        <w:spacing w:after="40" w:line="252" w:lineRule="auto"/>
      </w:pPr>
      <w:r>
        <w:rPr>
          <w:rFonts w:ascii="Liberation Sans" w:hAnsi="Liberation Sans"/>
          <w:b w:val="0"/>
          <w:color w:val="1F2937"/>
          <w:sz w:val="20"/>
        </w:rPr>
        <w:t>Unapproved prices or pricing methodology.</w:t>
      </w:r>
    </w:p>
    <w:p>
      <w:pPr>
        <w:pStyle w:val="ListBullet"/>
        <w:spacing w:after="40" w:line="252" w:lineRule="auto"/>
      </w:pPr>
      <w:r>
        <w:rPr>
          <w:rFonts w:ascii="Liberation Sans" w:hAnsi="Liberation Sans"/>
          <w:b w:val="0"/>
          <w:color w:val="1F2937"/>
          <w:sz w:val="20"/>
        </w:rPr>
        <w:t>Blanket service-area or postcode availability, travel fees, booking or response promises.</w:t>
      </w:r>
    </w:p>
    <w:p>
      <w:pPr>
        <w:pStyle w:val="ListBullet"/>
        <w:spacing w:after="40" w:line="252" w:lineRule="auto"/>
      </w:pPr>
      <w:r>
        <w:rPr>
          <w:rFonts w:ascii="Liberation Sans" w:hAnsi="Liberation Sans"/>
          <w:b w:val="0"/>
          <w:color w:val="1F2937"/>
          <w:sz w:val="20"/>
        </w:rPr>
        <w:t>Unpermissioned or unattributed customer proof.</w:t>
      </w:r>
    </w:p>
    <w:p>
      <w:pPr>
        <w:pStyle w:val="ListBullet"/>
        <w:spacing w:after="40" w:line="252" w:lineRule="auto"/>
      </w:pPr>
      <w:r>
        <w:rPr>
          <w:rFonts w:ascii="Liberation Sans" w:hAnsi="Liberation Sans"/>
          <w:b w:val="0"/>
          <w:color w:val="1F2937"/>
          <w:sz w:val="20"/>
        </w:rPr>
        <w:t>Framework-only keyword proposals as measured demand.</w:t>
      </w:r>
    </w:p>
    <w:p>
      <w:pPr>
        <w:pStyle w:val="ListBullet"/>
        <w:spacing w:after="40" w:line="252" w:lineRule="auto"/>
      </w:pPr>
      <w:r>
        <w:rPr>
          <w:rFonts w:ascii="Liberation Sans" w:hAnsi="Liberation Sans"/>
          <w:b w:val="0"/>
          <w:color w:val="1F2937"/>
          <w:sz w:val="20"/>
        </w:rPr>
        <w:t>Competitor observations as Viri VR facts or comparative proof.</w:t>
      </w:r>
    </w:p>
    <w:p>
      <w:pPr>
        <w:pStyle w:val="ListBullet"/>
        <w:spacing w:after="40" w:line="252" w:lineRule="auto"/>
      </w:pPr>
      <w:r>
        <w:rPr>
          <w:rFonts w:ascii="Liberation Sans" w:hAnsi="Liberation Sans"/>
          <w:b w:val="0"/>
          <w:color w:val="1F2937"/>
          <w:sz w:val="20"/>
        </w:rPr>
        <w:t>Any guarantee of ranking, backlinks, AI citations, traffic or visibility improvement.</w:t>
      </w:r>
    </w:p>
    <w:p>
      <w:pPr>
        <w:pStyle w:val="Heading2"/>
        <w:keepNext/>
        <w:spacing w:before="140" w:after="100"/>
      </w:pPr>
      <w:r>
        <w:rPr>
          <w:rFonts w:ascii="Liberation Sans" w:hAnsi="Liberation Sans"/>
          <w:b/>
          <w:color w:val="2F5597"/>
          <w:sz w:val="24"/>
        </w:rPr>
        <w:t>Authority / Proof Priorities</w:t>
      </w:r>
    </w:p>
    <w:p>
      <w:pPr>
        <w:spacing w:after="60"/>
        <w:ind w:left="144"/>
      </w:pPr>
      <w:r>
        <w:rPr>
          <w:rFonts w:ascii="Liberation Sans" w:hAnsi="Liberation Sans"/>
          <w:b/>
          <w:color w:val="2F5597"/>
          <w:sz w:val="20"/>
        </w:rPr>
        <w:t xml:space="preserve">1. </w:t>
      </w:r>
      <w:r>
        <w:rPr>
          <w:rFonts w:ascii="Liberation Sans" w:hAnsi="Liberation Sans"/>
          <w:b w:val="0"/>
          <w:color w:val="1F2937"/>
          <w:sz w:val="20"/>
        </w:rPr>
        <w:t>Create a traceable first-party operational evidence base so HP-001 can provide precise, defensible answers.</w:t>
      </w:r>
    </w:p>
    <w:p>
      <w:pPr>
        <w:spacing w:after="60"/>
        <w:ind w:left="144"/>
      </w:pPr>
      <w:r>
        <w:rPr>
          <w:rFonts w:ascii="Liberation Sans" w:hAnsi="Liberation Sans"/>
          <w:b/>
          <w:color w:val="2F5597"/>
          <w:sz w:val="20"/>
        </w:rPr>
        <w:t xml:space="preserve">2. </w:t>
      </w:r>
      <w:r>
        <w:rPr>
          <w:rFonts w:ascii="Liberation Sans" w:hAnsi="Liberation Sans"/>
          <w:b w:val="0"/>
          <w:color w:val="1F2937"/>
          <w:sz w:val="20"/>
        </w:rPr>
        <w:t>Obtain genuine permissioned house-party proof rather than relying on generic or venue evidence.</w:t>
      </w:r>
    </w:p>
    <w:p>
      <w:pPr>
        <w:spacing w:after="60"/>
        <w:ind w:left="144"/>
      </w:pPr>
      <w:r>
        <w:rPr>
          <w:rFonts w:ascii="Liberation Sans" w:hAnsi="Liberation Sans"/>
          <w:b/>
          <w:color w:val="2F5597"/>
          <w:sz w:val="20"/>
        </w:rPr>
        <w:t xml:space="preserve">3. </w:t>
      </w:r>
      <w:r>
        <w:rPr>
          <w:rFonts w:ascii="Liberation Sans" w:hAnsi="Liberation Sans"/>
          <w:b w:val="0"/>
          <w:color w:val="1F2937"/>
          <w:sz w:val="20"/>
        </w:rPr>
        <w:t>Document service/process knowledge clearly so the page contains useful original information rather than generic sales language.</w:t>
      </w:r>
    </w:p>
    <w:p>
      <w:pPr>
        <w:spacing w:after="60"/>
        <w:ind w:left="144"/>
      </w:pPr>
      <w:r>
        <w:rPr>
          <w:rFonts w:ascii="Liberation Sans" w:hAnsi="Liberation Sans"/>
          <w:b/>
          <w:color w:val="2F5597"/>
          <w:sz w:val="20"/>
        </w:rPr>
        <w:t xml:space="preserve">4. </w:t>
      </w:r>
      <w:r>
        <w:rPr>
          <w:rFonts w:ascii="Liberation Sans" w:hAnsi="Liberation Sans"/>
          <w:b w:val="0"/>
          <w:color w:val="1F2937"/>
          <w:sz w:val="20"/>
        </w:rPr>
        <w:t>Resolve the service-model/page distinction so users and search systems receive consistent answers about at-home, venue and fully hosted services.</w:t>
      </w:r>
    </w:p>
    <w:p>
      <w:pPr>
        <w:spacing w:after="60"/>
        <w:ind w:left="144"/>
      </w:pPr>
      <w:r>
        <w:rPr>
          <w:rFonts w:ascii="Liberation Sans" w:hAnsi="Liberation Sans"/>
          <w:b/>
          <w:color w:val="2F5597"/>
          <w:sz w:val="20"/>
        </w:rPr>
        <w:t xml:space="preserve">5. </w:t>
      </w:r>
      <w:r>
        <w:rPr>
          <w:rFonts w:ascii="Liberation Sans" w:hAnsi="Liberation Sans"/>
          <w:b w:val="0"/>
          <w:color w:val="1F2937"/>
          <w:sz w:val="20"/>
        </w:rPr>
        <w:t>Maintain one governed public-facing Viri VR brand/entity representation.</w:t>
      </w:r>
    </w:p>
    <w:p>
      <w:pPr>
        <w:spacing w:after="60"/>
        <w:ind w:left="144"/>
      </w:pPr>
      <w:r>
        <w:rPr>
          <w:rFonts w:ascii="Liberation Sans" w:hAnsi="Liberation Sans"/>
          <w:b/>
          <w:color w:val="2F5597"/>
          <w:sz w:val="20"/>
        </w:rPr>
        <w:t xml:space="preserve">6. </w:t>
      </w:r>
      <w:r>
        <w:rPr>
          <w:rFonts w:ascii="Liberation Sans" w:hAnsi="Liberation Sans"/>
          <w:b w:val="0"/>
          <w:color w:val="1F2937"/>
          <w:sz w:val="20"/>
        </w:rPr>
        <w:t>Once credible proof exists, route deeper proof/citation, link and PR opportunities to the relevant Authority specialists.</w:t>
      </w:r>
    </w:p>
    <w:p>
      <w:pPr>
        <w:pStyle w:val="Heading2"/>
        <w:keepNext/>
        <w:spacing w:before="140" w:after="100"/>
      </w:pPr>
      <w:r>
        <w:rPr>
          <w:rFonts w:ascii="Liberation Sans" w:hAnsi="Liberation Sans"/>
          <w:b/>
          <w:color w:val="2F5597"/>
          <w:sz w:val="24"/>
        </w:rPr>
        <w:t>Route Elsewhere</w:t>
      </w:r>
    </w:p>
    <w:p>
      <w:pPr>
        <w:pStyle w:val="ListBullet"/>
        <w:spacing w:after="40" w:line="252" w:lineRule="auto"/>
      </w:pPr>
      <w:r>
        <w:rPr>
          <w:rFonts w:ascii="Liberation Sans" w:hAnsi="Liberation Sans"/>
          <w:b w:val="0"/>
          <w:color w:val="1F2937"/>
          <w:sz w:val="20"/>
        </w:rPr>
        <w:t>Strategy/Search: keyword/page ownership changes and F-14/F-15 cross-page clarification.</w:t>
      </w:r>
    </w:p>
    <w:p>
      <w:pPr>
        <w:pStyle w:val="ListBullet"/>
        <w:spacing w:after="40" w:line="252" w:lineRule="auto"/>
      </w:pPr>
      <w:r>
        <w:rPr>
          <w:rFonts w:ascii="Liberation Sans" w:hAnsi="Liberation Sans"/>
          <w:b w:val="0"/>
          <w:color w:val="1F2937"/>
          <w:sz w:val="20"/>
        </w:rPr>
        <w:t>Technical owner / Technical SEO: specialist technical facts and later technical implementation.</w:t>
      </w:r>
    </w:p>
    <w:p>
      <w:pPr>
        <w:pStyle w:val="ListBullet"/>
        <w:spacing w:after="40" w:line="252" w:lineRule="auto"/>
      </w:pPr>
      <w:r>
        <w:rPr>
          <w:rFonts w:ascii="Liberation Sans" w:hAnsi="Liberation Sans"/>
          <w:b w:val="0"/>
          <w:color w:val="1F2937"/>
          <w:sz w:val="20"/>
        </w:rPr>
        <w:t>Brand Authority Builder: detailed proof/citation/trust-signal and brand-presence strategy.</w:t>
      </w:r>
    </w:p>
    <w:p>
      <w:pPr>
        <w:pStyle w:val="ListBullet"/>
        <w:spacing w:after="40" w:line="252" w:lineRule="auto"/>
      </w:pPr>
      <w:r>
        <w:rPr>
          <w:rFonts w:ascii="Liberation Sans" w:hAnsi="Liberation Sans"/>
          <w:b w:val="0"/>
          <w:color w:val="1F2937"/>
          <w:sz w:val="20"/>
        </w:rPr>
        <w:t>Backlink Auditor: detailed backlink, referring-domain and link-opportunity assessment.</w:t>
      </w:r>
    </w:p>
    <w:p>
      <w:pPr>
        <w:pStyle w:val="ListBullet"/>
        <w:spacing w:after="40" w:line="252" w:lineRule="auto"/>
      </w:pPr>
      <w:r>
        <w:rPr>
          <w:rFonts w:ascii="Liberation Sans" w:hAnsi="Liberation Sans"/>
          <w:b w:val="0"/>
          <w:color w:val="1F2937"/>
          <w:sz w:val="20"/>
        </w:rPr>
        <w:t>Digital PR Specialist: media angles, outreach and external coverage planning.</w:t>
      </w:r>
    </w:p>
    <w:p>
      <w:pPr>
        <w:pStyle w:val="ListBullet"/>
        <w:spacing w:after="40" w:line="252" w:lineRule="auto"/>
      </w:pPr>
      <w:r>
        <w:rPr>
          <w:rFonts w:ascii="Liberation Sans" w:hAnsi="Liberation Sans"/>
          <w:b w:val="0"/>
          <w:color w:val="1F2937"/>
          <w:sz w:val="20"/>
        </w:rPr>
        <w:t>Analytics: governed performance and measurement interpretation.</w:t>
      </w:r>
    </w:p>
    <w:p>
      <w:pPr>
        <w:pStyle w:val="ListBullet"/>
        <w:spacing w:after="40" w:line="252" w:lineRule="auto"/>
      </w:pPr>
      <w:r>
        <w:rPr>
          <w:rFonts w:ascii="Liberation Sans" w:hAnsi="Liberation Sans"/>
          <w:b w:val="0"/>
          <w:color w:val="1F2937"/>
          <w:sz w:val="20"/>
        </w:rPr>
        <w:t>Safety/insurance/legal/privacy/consent owners: specialist approvals and evidence within their respective authority.</w:t>
      </w:r>
    </w:p>
    <w:p>
      <w:pPr>
        <w:pStyle w:val="Heading2"/>
        <w:keepNext/>
        <w:spacing w:before="140" w:after="100"/>
      </w:pPr>
      <w:r>
        <w:rPr>
          <w:rFonts w:ascii="Liberation Sans" w:hAnsi="Liberation Sans"/>
          <w:b/>
          <w:color w:val="2F5597"/>
          <w:sz w:val="24"/>
        </w:rPr>
        <w:t>Next Step</w:t>
      </w:r>
    </w:p>
    <w:p>
      <w:pPr>
        <w:spacing w:after="100" w:before="0" w:line="259" w:lineRule="auto"/>
      </w:pPr>
      <w:r>
        <w:rPr>
          <w:rFonts w:ascii="Liberation Sans" w:hAnsi="Liberation Sans"/>
          <w:b w:val="0"/>
          <w:color w:val="1F2937"/>
          <w:sz w:val="21"/>
        </w:rPr>
        <w:t>The Content Manager may begin the HP-001 content-development structure using the supported inputs and this evidence register. During drafting:</w:t>
      </w:r>
    </w:p>
    <w:p>
      <w:pPr>
        <w:pStyle w:val="ListBullet"/>
        <w:spacing w:after="40" w:line="252" w:lineRule="auto"/>
      </w:pPr>
      <w:r>
        <w:rPr>
          <w:rFonts w:ascii="Liberation Sans" w:hAnsi="Liberation Sans"/>
          <w:b w:val="0"/>
          <w:color w:val="1F2937"/>
          <w:sz w:val="20"/>
        </w:rPr>
        <w:t>Map each factual section to the corresponding Section 5 evidence requirement.</w:t>
      </w:r>
    </w:p>
    <w:p>
      <w:pPr>
        <w:pStyle w:val="ListBullet"/>
        <w:spacing w:after="40" w:line="252" w:lineRule="auto"/>
      </w:pPr>
      <w:r>
        <w:rPr>
          <w:rFonts w:ascii="Liberation Sans" w:hAnsi="Liberation Sans"/>
          <w:b w:val="0"/>
          <w:color w:val="1F2937"/>
          <w:sz w:val="20"/>
        </w:rPr>
        <w:t>Keep unresolved facts clearly conditional or held.</w:t>
      </w:r>
    </w:p>
    <w:p>
      <w:pPr>
        <w:pStyle w:val="ListBullet"/>
        <w:spacing w:after="40" w:line="252" w:lineRule="auto"/>
      </w:pPr>
      <w:r>
        <w:rPr>
          <w:rFonts w:ascii="Liberation Sans" w:hAnsi="Liberation Sans"/>
          <w:b w:val="0"/>
          <w:color w:val="1F2937"/>
          <w:sz w:val="20"/>
        </w:rPr>
        <w:t>Request missing operational evidence through Ajith.</w:t>
      </w:r>
    </w:p>
    <w:p>
      <w:pPr>
        <w:pStyle w:val="ListBullet"/>
        <w:spacing w:after="40" w:line="252" w:lineRule="auto"/>
      </w:pPr>
      <w:r>
        <w:rPr>
          <w:rFonts w:ascii="Liberation Sans" w:hAnsi="Liberation Sans"/>
          <w:b w:val="0"/>
          <w:color w:val="1F2937"/>
          <w:sz w:val="20"/>
        </w:rPr>
        <w:t>Do not finalise cross-page Fully Hosted / Your Venue positioning until Strategy/Search resolves F-14.</w:t>
      </w:r>
    </w:p>
    <w:p>
      <w:pPr>
        <w:pStyle w:val="ListBullet"/>
        <w:spacing w:after="40" w:line="252" w:lineRule="auto"/>
      </w:pPr>
      <w:r>
        <w:rPr>
          <w:rFonts w:ascii="Liberation Sans" w:hAnsi="Liberation Sans"/>
          <w:b w:val="0"/>
          <w:color w:val="1F2937"/>
          <w:sz w:val="20"/>
        </w:rPr>
        <w:t>Use Viri VR consistently in the working draft and preserve any formal naming-governance clarification as an outstanding control if required.</w:t>
      </w:r>
    </w:p>
    <w:p>
      <w:pPr>
        <w:pStyle w:val="ListBullet"/>
        <w:spacing w:after="40" w:line="252" w:lineRule="auto"/>
      </w:pPr>
      <w:r>
        <w:rPr>
          <w:rFonts w:ascii="Liberation Sans" w:hAnsi="Liberation Sans"/>
          <w:b w:val="0"/>
          <w:color w:val="1F2937"/>
          <w:sz w:val="20"/>
        </w:rPr>
        <w:t>Return the draft and evidence map for subsequent Authority/quality review once factual evidence has been incorporated.</w:t>
      </w:r>
    </w:p>
    <w:p>
      <w:pPr>
        <w:pStyle w:val="Heading1"/>
        <w:keepNext/>
        <w:spacing w:before="200" w:after="100"/>
      </w:pPr>
      <w:r>
        <w:rPr>
          <w:rFonts w:ascii="Liberation Sans" w:hAnsi="Liberation Sans"/>
          <w:b/>
          <w:color w:val="17365D"/>
          <w:sz w:val="30"/>
        </w:rPr>
        <w:t>8. Final Pre-Development Authority Validation</w:t>
      </w:r>
    </w:p>
    <w:tbl>
      <w:tblPr>
        <w:tblW w:type="auto" w:w="0"/>
        <w:jc w:val="center"/>
        <w:tblLayout w:type="fixed"/>
        <w:tblLook w:firstColumn="1" w:firstRow="1" w:lastColumn="0" w:lastRow="0" w:noHBand="0" w:noVBand="1" w:val="04A0"/>
      </w:tblPr>
      <w:tblGrid>
        <w:gridCol w:w="10368"/>
      </w:tblGrid>
      <w:tr>
        <w:tc>
          <w:tcPr>
            <w:tcW w:type="dxa" w:w="10224"/>
            <w:shd w:fill="E2F0D9"/>
            <w:tcMar>
              <w:top w:w="120" w:type="dxa"/>
              <w:start w:w="140" w:type="dxa"/>
              <w:bottom w:w="120" w:type="dxa"/>
              <w:end w:w="140" w:type="dxa"/>
            </w:tcMar>
          </w:tcPr>
          <w:p>
            <w:pPr>
              <w:spacing w:after="60"/>
            </w:pPr>
            <w:r>
              <w:rPr>
                <w:rFonts w:ascii="Liberation Sans" w:hAnsi="Liberation Sans"/>
                <w:b/>
                <w:color w:val="17365D"/>
                <w:sz w:val="23"/>
              </w:rPr>
              <w:t>Authority Manager Validation Result: READY FOR CONTENT DEVELOPMENT WITH CONDITIONS</w:t>
            </w:r>
          </w:p>
          <w:p>
            <w:pPr>
              <w:spacing w:after="0" w:line="252" w:lineRule="auto"/>
            </w:pPr>
            <w:r>
              <w:rPr>
                <w:rFonts w:ascii="Liberation Sans" w:hAnsi="Liberation Sans"/>
                <w:b w:val="0"/>
                <w:color w:val="1F2937"/>
                <w:sz w:val="20"/>
              </w:rPr>
              <w:t>All material controlled findings have been accounted for with a defined treatment. Accounted for does not mean resolved. Evidence-dependent claims remain conditional until approved evidence or owner confirmation is recorded.</w:t>
            </w:r>
          </w:p>
        </w:tc>
      </w:tr>
    </w:tbl>
    <w:p>
      <w:pPr>
        <w:spacing w:after="0"/>
      </w:pPr>
    </w:p>
    <w:p>
      <w:pPr>
        <w:spacing w:after="60" w:before="0" w:line="259" w:lineRule="auto"/>
      </w:pPr>
      <w:r>
        <w:rPr>
          <w:rFonts w:ascii="Liberation Sans" w:hAnsi="Liberation Sans"/>
          <w:b/>
          <w:color w:val="17365D"/>
          <w:sz w:val="21"/>
        </w:rPr>
        <w:t>Controlled-finding coverage:</w:t>
      </w:r>
    </w:p>
    <w:p>
      <w:pPr>
        <w:pStyle w:val="ListBullet"/>
        <w:spacing w:after="40" w:line="252" w:lineRule="auto"/>
      </w:pPr>
      <w:r>
        <w:rPr>
          <w:rFonts w:ascii="Liberation Sans" w:hAnsi="Liberation Sans"/>
          <w:b w:val="0"/>
          <w:color w:val="1F2937"/>
          <w:sz w:val="20"/>
        </w:rPr>
        <w:t>F-01-F-03: supported/proposed search inputs have defined Content treatment.</w:t>
      </w:r>
    </w:p>
    <w:p>
      <w:pPr>
        <w:pStyle w:val="ListBullet"/>
        <w:spacing w:after="40" w:line="252" w:lineRule="auto"/>
      </w:pPr>
      <w:r>
        <w:rPr>
          <w:rFonts w:ascii="Liberation Sans" w:hAnsi="Liberation Sans"/>
          <w:b w:val="0"/>
          <w:color w:val="1F2937"/>
          <w:sz w:val="20"/>
        </w:rPr>
        <w:t>F-04-F-13: operational, commercial, technical, safety and proof claims have defined evidence requirements, owners and restrictions.</w:t>
      </w:r>
    </w:p>
    <w:p>
      <w:pPr>
        <w:pStyle w:val="ListBullet"/>
        <w:spacing w:after="40" w:line="252" w:lineRule="auto"/>
      </w:pPr>
      <w:r>
        <w:rPr>
          <w:rFonts w:ascii="Liberation Sans" w:hAnsi="Liberation Sans"/>
          <w:b w:val="0"/>
          <w:color w:val="1F2937"/>
          <w:sz w:val="20"/>
        </w:rPr>
        <w:t>F-14-F-15: cross-page ownership and uniqueness remain Strategy/Search dependencies.</w:t>
      </w:r>
    </w:p>
    <w:p>
      <w:pPr>
        <w:pStyle w:val="ListBullet"/>
        <w:spacing w:after="40" w:line="252" w:lineRule="auto"/>
      </w:pPr>
      <w:r>
        <w:rPr>
          <w:rFonts w:ascii="Liberation Sans" w:hAnsi="Liberation Sans"/>
          <w:b w:val="0"/>
          <w:color w:val="1F2937"/>
          <w:sz w:val="20"/>
        </w:rPr>
        <w:t>F-16: competitor evidence remains contextual/unresolved and cannot be promoted into comparative claims.</w:t>
      </w:r>
    </w:p>
    <w:p>
      <w:pPr>
        <w:pStyle w:val="ListBullet"/>
        <w:spacing w:after="40" w:line="252" w:lineRule="auto"/>
      </w:pPr>
      <w:r>
        <w:rPr>
          <w:rFonts w:ascii="Liberation Sans" w:hAnsi="Liberation Sans"/>
          <w:b w:val="0"/>
          <w:color w:val="1F2937"/>
          <w:sz w:val="20"/>
        </w:rPr>
        <w:t>F-17-F-18: authority-growth, proof, citation, link and PR opportunities are identified and correctly routed without specialist work being treated as completed.</w:t>
      </w:r>
    </w:p>
    <w:p>
      <w:pPr>
        <w:pStyle w:val="ListBullet"/>
        <w:spacing w:after="40" w:line="252" w:lineRule="auto"/>
      </w:pPr>
      <w:r>
        <w:rPr>
          <w:rFonts w:ascii="Liberation Sans" w:hAnsi="Liberation Sans"/>
          <w:b w:val="0"/>
          <w:color w:val="1F2937"/>
          <w:sz w:val="20"/>
        </w:rPr>
        <w:t>F-19: brand/entity naming has a defined treatment and is standardised to Viri VR in this report.</w:t>
      </w:r>
    </w:p>
    <w:p>
      <w:pPr>
        <w:spacing w:after="100" w:before="0" w:line="259" w:lineRule="auto"/>
      </w:pPr>
      <w:r>
        <w:rPr>
          <w:rFonts w:ascii="Liberation Sans" w:hAnsi="Liberation Sans"/>
          <w:b w:val="0"/>
          <w:color w:val="1F2937"/>
          <w:sz w:val="21"/>
        </w:rPr>
        <w:t>Content can proceed now with supported page purpose/search intent, approved keyword inputs, page structure, evidence-aware AEO/question architecture, conditional drafting for evidence-dependent areas, and planned first-party proof positions.</w:t>
      </w:r>
    </w:p>
    <w:p>
      <w:pPr>
        <w:spacing w:after="100" w:before="0" w:line="259" w:lineRule="auto"/>
      </w:pPr>
      <w:r>
        <w:rPr>
          <w:rFonts w:ascii="Liberation Sans" w:hAnsi="Liberation Sans"/>
          <w:b w:val="0"/>
          <w:color w:val="1F2937"/>
          <w:sz w:val="21"/>
        </w:rPr>
        <w:t>Content remains conditional for package/service details, inclusions and equipment, age/capacity/rotations, setup and hosting, space/access, safety/liability, technical requirements, contingencies, pricing, serviceability/travel/availability, response commitments, customer proof, overlapping service-page positioning and any unresolved governance decision.</w:t>
      </w:r>
    </w:p>
    <w:p>
      <w:pPr>
        <w:spacing w:after="100" w:before="0" w:line="259" w:lineRule="auto"/>
      </w:pPr>
      <w:r>
        <w:rPr>
          <w:rFonts w:ascii="Liberation Sans" w:hAnsi="Liberation Sans"/>
          <w:b w:val="0"/>
          <w:color w:val="1F2937"/>
          <w:sz w:val="21"/>
        </w:rPr>
        <w:t>The Authority/Evidence review is sufficiently complete for controlled Content development to begin under these conditions. Human or specialist follow-up remains required where recorded in Section 6.</w:t>
      </w:r>
    </w:p>
    <w:p>
      <w:pPr>
        <w:spacing w:after="100" w:before="100" w:line="259" w:lineRule="auto"/>
      </w:pPr>
      <w:r>
        <w:rPr>
          <w:rFonts w:ascii="Liberation Sans" w:hAnsi="Liberation Sans"/>
          <w:b/>
          <w:color w:val="7A1E1E"/>
          <w:sz w:val="19"/>
        </w:rPr>
        <w:t>This validation applies only to the HP-001 pre-development Authority Manager to Content Manager handoff. It is not completed-page validation, confirmation that unresolved claims are true, publication readiness, editorial approval or publication approval.</w:t>
      </w:r>
    </w:p>
    <w:p>
      <w:pPr>
        <w:pStyle w:val="Heading2"/>
        <w:keepNext/>
        <w:spacing w:before="140" w:after="100"/>
      </w:pPr>
      <w:r>
        <w:rPr>
          <w:rFonts w:ascii="Liberation Sans" w:hAnsi="Liberation Sans"/>
          <w:b/>
          <w:color w:val="2F5597"/>
          <w:sz w:val="24"/>
        </w:rPr>
        <w:t>Source Traceability Note</w:t>
      </w:r>
    </w:p>
    <w:p>
      <w:pPr>
        <w:spacing w:after="100" w:before="0" w:line="259" w:lineRule="auto"/>
      </w:pPr>
      <w:r>
        <w:rPr>
          <w:rFonts w:ascii="Liberation Sans" w:hAnsi="Liberation Sans"/>
          <w:b w:val="0"/>
          <w:color w:val="59636E"/>
          <w:sz w:val="18"/>
        </w:rPr>
        <w:t>Key source references used in this handoff: Digital Marketing Centre of Excellence Graduate Handbook (August 2026); Authority Manager Agent Specification (updated 16 September 2026); Authority Manager Audit Criteria Framework v1 (16 September 2026); Viri_VR_House_Party_Content_Authority_Architecture_v1 workbook; current combined Keyword, AEO &amp; Authority Framework; and approved project instructions. External or competitor observations are contextual only and do not verify Viri VR operational facts.</w:t>
      </w:r>
    </w:p>
    <w:sectPr w:rsidR="00FC693F" w:rsidRPr="0006063C" w:rsidSect="00034616">
      <w:pgSz w:w="12240" w:h="15840"/>
      <w:pgMar w:top="936" w:right="936" w:bottom="936"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b w:val="0"/>
        <w:color w:val="667085"/>
        <w:sz w:val="16"/>
      </w:rPr>
      <w:t>Pre-Development Authority Handoff</w:t>
    </w:r>
    <w:r>
      <w:rPr>
        <w:rFonts w:ascii="Liberation Sans" w:hAnsi="Liberation Sans"/>
        <w:b w:val="0"/>
        <w:color w:val="667085"/>
        <w:sz w:val="16"/>
      </w:rP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val="0"/>
        <w:color w:val="2F5597"/>
        <w:sz w:val="17"/>
      </w:rPr>
      <w:t>Viri VR  |  HP-001 Authority 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60" w:line="240" w:lineRule="auto"/>
    </w:pPr>
    <w:rPr>
      <w:rFonts w:ascii="Liberation Sans" w:hAnsi="Liberation Sans"/>
      <w:color w:val="59636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HP-001 Pre Development Authority Manager Recommendation Report</dc:title>
  <dc:subject>HP-001 pre-development Authority Manager to Content Manager handoff</dc:subject>
  <dc:creator>Viri VR Authority Manager</dc:creator>
  <cp:keywords>HP-001, Authority Manager, Content Manager, Viri VR, evidence, trust, authority</cp:keywords>
  <dc:description>generated by python-docx</dc:description>
  <cp:lastModifiedBy/>
  <cp:revision>1</cp:revision>
  <dcterms:created xsi:type="dcterms:W3CDTF">2013-12-23T23:15:00Z</dcterms:created>
  <dcterms:modified xsi:type="dcterms:W3CDTF">2013-12-23T23:15:00Z</dcterms:modified>
  <cp:category/>
</cp:coreProperties>
</file>