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72ED1F" w14:textId="6E8F630F" w:rsidR="00C76E14" w:rsidRPr="0035717F" w:rsidRDefault="0035717F" w:rsidP="00C76E14">
      <w:pPr>
        <w:pStyle w:val="Title"/>
        <w:jc w:val="center"/>
        <w:rPr>
          <w:rFonts w:asciiTheme="minorHAnsi" w:hAnsiTheme="minorHAnsi" w:cstheme="minorHAnsi"/>
          <w:color w:val="auto"/>
        </w:rPr>
      </w:pPr>
      <w:r w:rsidRPr="0035717F">
        <w:rPr>
          <w:rFonts w:asciiTheme="minorHAnsi" w:hAnsiTheme="minorHAnsi" w:cstheme="minorHAnsi"/>
        </w:rPr>
        <w:t>ViriVR Three-Page Measurement &amp; Validation Recommendations</w:t>
      </w:r>
    </w:p>
    <w:p w14:paraId="1DFF9063" w14:textId="77777777" w:rsidR="00C76E14" w:rsidRPr="00C76E14" w:rsidRDefault="00C76E14" w:rsidP="00C76E14">
      <w:pPr>
        <w:rPr>
          <w:rFonts w:asciiTheme="minorHAnsi" w:hAnsiTheme="minorHAnsi" w:cstheme="minorHAnsi"/>
          <w:sz w:val="20"/>
          <w:szCs w:val="20"/>
        </w:rPr>
      </w:pPr>
      <w:r w:rsidRPr="00C76E14">
        <w:rPr>
          <w:rFonts w:asciiTheme="minorHAnsi" w:hAnsiTheme="minorHAnsi" w:cstheme="minorHAnsi"/>
          <w:sz w:val="20"/>
          <w:szCs w:val="20"/>
        </w:rPr>
        <w:t>Prepared by: Chungheng Vong — Analytics Manager</w:t>
      </w:r>
    </w:p>
    <w:p w14:paraId="7052DC6F" w14:textId="77777777" w:rsidR="00C76E14" w:rsidRPr="00C76E14" w:rsidRDefault="00C76E14" w:rsidP="00C76E14">
      <w:pPr>
        <w:rPr>
          <w:rFonts w:asciiTheme="minorHAnsi" w:hAnsiTheme="minorHAnsi" w:cstheme="minorHAnsi"/>
          <w:sz w:val="20"/>
          <w:szCs w:val="20"/>
        </w:rPr>
      </w:pPr>
      <w:r w:rsidRPr="00C76E14">
        <w:rPr>
          <w:rFonts w:asciiTheme="minorHAnsi" w:hAnsiTheme="minorHAnsi" w:cstheme="minorHAnsi"/>
          <w:sz w:val="20"/>
          <w:szCs w:val="20"/>
        </w:rPr>
        <w:t>Project: Digital Marketing Centre of Excellence — AI Agent Team</w:t>
      </w:r>
    </w:p>
    <w:p w14:paraId="35DF908D" w14:textId="0847BA49" w:rsidR="00C76E14" w:rsidRPr="00C76E14" w:rsidRDefault="00C76E14" w:rsidP="00C76E14">
      <w:pPr>
        <w:rPr>
          <w:rFonts w:asciiTheme="minorHAnsi" w:hAnsiTheme="minorHAnsi" w:cstheme="minorHAnsi"/>
          <w:sz w:val="20"/>
          <w:szCs w:val="20"/>
        </w:rPr>
      </w:pPr>
      <w:r w:rsidRPr="00C76E14">
        <w:rPr>
          <w:rFonts w:asciiTheme="minorHAnsi" w:hAnsiTheme="minorHAnsi" w:cstheme="minorHAnsi"/>
          <w:sz w:val="20"/>
          <w:szCs w:val="20"/>
        </w:rPr>
        <w:t xml:space="preserve">Client: ViriVR </w:t>
      </w:r>
    </w:p>
    <w:p w14:paraId="5CB93F5F" w14:textId="77777777" w:rsidR="00C76E14" w:rsidRPr="00C76E14" w:rsidRDefault="00C76E14" w:rsidP="00C76E14">
      <w:pPr>
        <w:rPr>
          <w:rFonts w:asciiTheme="minorHAnsi" w:hAnsiTheme="minorHAnsi" w:cstheme="minorHAnsi"/>
          <w:sz w:val="20"/>
          <w:szCs w:val="20"/>
        </w:rPr>
      </w:pPr>
      <w:r w:rsidRPr="00C76E14">
        <w:rPr>
          <w:rFonts w:asciiTheme="minorHAnsi" w:hAnsiTheme="minorHAnsi" w:cstheme="minorHAnsi"/>
          <w:sz w:val="20"/>
          <w:szCs w:val="20"/>
        </w:rPr>
        <w:t>Date: 21 September 2026</w:t>
      </w:r>
    </w:p>
    <w:p w14:paraId="49C10AA9" w14:textId="77777777" w:rsidR="00C76E14" w:rsidRPr="00C76E14" w:rsidRDefault="00C76E14" w:rsidP="00C76E14">
      <w:pPr>
        <w:rPr>
          <w:rFonts w:asciiTheme="minorHAnsi" w:hAnsiTheme="minorHAnsi" w:cstheme="minorHAnsi"/>
          <w:sz w:val="20"/>
          <w:szCs w:val="20"/>
        </w:rPr>
      </w:pPr>
    </w:p>
    <w:p w14:paraId="0DC2C57F" w14:textId="77777777" w:rsidR="00C76E14" w:rsidRPr="0035717F" w:rsidRDefault="00C76E14" w:rsidP="00C76E14">
      <w:pPr>
        <w:pStyle w:val="Heading1"/>
        <w:rPr>
          <w:rFonts w:asciiTheme="minorHAnsi" w:hAnsiTheme="minorHAnsi" w:cstheme="minorHAnsi"/>
          <w:color w:val="auto"/>
          <w:sz w:val="22"/>
          <w:szCs w:val="22"/>
        </w:rPr>
      </w:pPr>
      <w:r w:rsidRPr="0035717F">
        <w:rPr>
          <w:rFonts w:asciiTheme="minorHAnsi" w:hAnsiTheme="minorHAnsi" w:cstheme="minorHAnsi"/>
          <w:color w:val="auto"/>
          <w:sz w:val="22"/>
          <w:szCs w:val="22"/>
        </w:rPr>
        <w:t>1. Purpose</w:t>
      </w:r>
    </w:p>
    <w:p w14:paraId="041F5349" w14:textId="27F15F0E" w:rsidR="00C76E14" w:rsidRPr="0035717F" w:rsidRDefault="0035717F" w:rsidP="00C76E14">
      <w:pPr>
        <w:rPr>
          <w:rFonts w:asciiTheme="minorHAnsi" w:hAnsiTheme="minorHAnsi" w:cstheme="minorHAnsi"/>
          <w:sz w:val="18"/>
          <w:szCs w:val="18"/>
        </w:rPr>
      </w:pPr>
      <w:r w:rsidRPr="0035717F">
        <w:rPr>
          <w:rFonts w:asciiTheme="minorHAnsi" w:hAnsiTheme="minorHAnsi" w:cstheme="minorHAnsi"/>
          <w:sz w:val="20"/>
          <w:szCs w:val="20"/>
        </w:rPr>
        <w:t xml:space="preserve">This document provides measurement and validation recommendations for the three ViriVR House Party page drafts. It confirms measurable success criteria and appropriate tracking considerations for HP-001, HP-002, and HP-003, and records the measurement points </w:t>
      </w:r>
      <w:proofErr w:type="spellStart"/>
      <w:r w:rsidRPr="0035717F">
        <w:rPr>
          <w:rFonts w:asciiTheme="minorHAnsi" w:hAnsiTheme="minorHAnsi" w:cstheme="minorHAnsi"/>
          <w:sz w:val="20"/>
          <w:szCs w:val="20"/>
        </w:rPr>
        <w:t>Jeron</w:t>
      </w:r>
      <w:proofErr w:type="spellEnd"/>
      <w:r w:rsidRPr="0035717F">
        <w:rPr>
          <w:rFonts w:asciiTheme="minorHAnsi" w:hAnsiTheme="minorHAnsi" w:cstheme="minorHAnsi"/>
          <w:sz w:val="20"/>
          <w:szCs w:val="20"/>
        </w:rPr>
        <w:t xml:space="preserve"> should raise with Ajith before implementation.</w:t>
      </w:r>
    </w:p>
    <w:p w14:paraId="40CAC933" w14:textId="77777777" w:rsidR="00C76E14" w:rsidRPr="0035717F" w:rsidRDefault="00C76E14" w:rsidP="00C76E14">
      <w:pPr>
        <w:pStyle w:val="Heading1"/>
        <w:rPr>
          <w:rFonts w:asciiTheme="minorHAnsi" w:hAnsiTheme="minorHAnsi" w:cstheme="minorHAnsi"/>
          <w:color w:val="auto"/>
          <w:sz w:val="22"/>
          <w:szCs w:val="22"/>
        </w:rPr>
      </w:pPr>
      <w:r w:rsidRPr="0035717F">
        <w:rPr>
          <w:rFonts w:asciiTheme="minorHAnsi" w:hAnsiTheme="minorHAnsi" w:cstheme="minorHAnsi"/>
          <w:color w:val="auto"/>
          <w:sz w:val="22"/>
          <w:szCs w:val="22"/>
        </w:rPr>
        <w:t>2. Checklist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3260"/>
        <w:gridCol w:w="3261"/>
      </w:tblGrid>
      <w:tr w:rsidR="00C76E14" w:rsidRPr="00C76E14" w14:paraId="45DC7107" w14:textId="77777777" w:rsidTr="0097172E">
        <w:trPr>
          <w:jc w:val="center"/>
        </w:trPr>
        <w:tc>
          <w:tcPr>
            <w:tcW w:w="3264" w:type="dxa"/>
            <w:vAlign w:val="center"/>
          </w:tcPr>
          <w:p w14:paraId="3E956D6A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b/>
                <w:sz w:val="20"/>
                <w:szCs w:val="20"/>
              </w:rPr>
              <w:t>Checklist item</w:t>
            </w:r>
          </w:p>
        </w:tc>
        <w:tc>
          <w:tcPr>
            <w:tcW w:w="3264" w:type="dxa"/>
            <w:vAlign w:val="center"/>
          </w:tcPr>
          <w:p w14:paraId="059344B7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b/>
                <w:sz w:val="20"/>
                <w:szCs w:val="20"/>
              </w:rPr>
              <w:t>Completion status</w:t>
            </w:r>
          </w:p>
        </w:tc>
        <w:tc>
          <w:tcPr>
            <w:tcW w:w="3264" w:type="dxa"/>
            <w:vAlign w:val="center"/>
          </w:tcPr>
          <w:p w14:paraId="7DBFE5B6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b/>
                <w:sz w:val="20"/>
                <w:szCs w:val="20"/>
              </w:rPr>
              <w:t>Outcome recorded</w:t>
            </w:r>
          </w:p>
        </w:tc>
      </w:tr>
      <w:tr w:rsidR="00C76E14" w:rsidRPr="00C76E14" w14:paraId="77195BD9" w14:textId="77777777" w:rsidTr="0097172E">
        <w:trPr>
          <w:jc w:val="center"/>
        </w:trPr>
        <w:tc>
          <w:tcPr>
            <w:tcW w:w="3264" w:type="dxa"/>
            <w:vAlign w:val="center"/>
          </w:tcPr>
          <w:p w14:paraId="34E8E166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Review HP-001 draft</w:t>
            </w:r>
          </w:p>
        </w:tc>
        <w:tc>
          <w:tcPr>
            <w:tcW w:w="3264" w:type="dxa"/>
            <w:vAlign w:val="center"/>
          </w:tcPr>
          <w:p w14:paraId="651BE74F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Complete</w:t>
            </w:r>
          </w:p>
        </w:tc>
        <w:tc>
          <w:tcPr>
            <w:tcW w:w="3264" w:type="dxa"/>
            <w:vAlign w:val="center"/>
          </w:tcPr>
          <w:p w14:paraId="7A85B90F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Reviewed the main /house-party commercial page, primary CTA, enquiry flow, and measurement requirements.</w:t>
            </w:r>
          </w:p>
        </w:tc>
      </w:tr>
      <w:tr w:rsidR="00C76E14" w:rsidRPr="00C76E14" w14:paraId="06BBAECB" w14:textId="77777777" w:rsidTr="0097172E">
        <w:trPr>
          <w:jc w:val="center"/>
        </w:trPr>
        <w:tc>
          <w:tcPr>
            <w:tcW w:w="3264" w:type="dxa"/>
            <w:vAlign w:val="center"/>
          </w:tcPr>
          <w:p w14:paraId="22E58726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Review HP-002 draft</w:t>
            </w:r>
          </w:p>
        </w:tc>
        <w:tc>
          <w:tcPr>
            <w:tcW w:w="3264" w:type="dxa"/>
            <w:vAlign w:val="center"/>
          </w:tcPr>
          <w:p w14:paraId="5A7E8542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Complete</w:t>
            </w:r>
          </w:p>
        </w:tc>
        <w:tc>
          <w:tcPr>
            <w:tcW w:w="3264" w:type="dxa"/>
            <w:vAlign w:val="center"/>
          </w:tcPr>
          <w:p w14:paraId="42CB279E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Reviewed the /house-party/</w:t>
            </w:r>
            <w:proofErr w:type="spellStart"/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melbourne</w:t>
            </w:r>
            <w:proofErr w:type="spellEnd"/>
            <w:r w:rsidRPr="00C76E14">
              <w:rPr>
                <w:rFonts w:asciiTheme="minorHAnsi" w:hAnsiTheme="minorHAnsi" w:cstheme="minorHAnsi"/>
                <w:sz w:val="20"/>
                <w:szCs w:val="20"/>
              </w:rPr>
              <w:t xml:space="preserve"> local-service page, Melbourne availability CTA, local evidence requirements, and tracking needs.</w:t>
            </w:r>
          </w:p>
        </w:tc>
      </w:tr>
      <w:tr w:rsidR="00C76E14" w:rsidRPr="00C76E14" w14:paraId="1180AA87" w14:textId="77777777" w:rsidTr="0097172E">
        <w:trPr>
          <w:jc w:val="center"/>
        </w:trPr>
        <w:tc>
          <w:tcPr>
            <w:tcW w:w="3264" w:type="dxa"/>
            <w:vAlign w:val="center"/>
          </w:tcPr>
          <w:p w14:paraId="692D65C7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Review HP-003 draft</w:t>
            </w:r>
          </w:p>
        </w:tc>
        <w:tc>
          <w:tcPr>
            <w:tcW w:w="3264" w:type="dxa"/>
            <w:vAlign w:val="center"/>
          </w:tcPr>
          <w:p w14:paraId="0DA680CD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Complete</w:t>
            </w:r>
          </w:p>
        </w:tc>
        <w:tc>
          <w:tcPr>
            <w:tcW w:w="3264" w:type="dxa"/>
            <w:vAlign w:val="center"/>
          </w:tcPr>
          <w:p w14:paraId="47A7F577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Reviewed the /house-party-ideas informational page and its role in directing qualified users to HP-001.</w:t>
            </w:r>
          </w:p>
        </w:tc>
      </w:tr>
      <w:tr w:rsidR="00C76E14" w:rsidRPr="00C76E14" w14:paraId="01FD0A3E" w14:textId="77777777" w:rsidTr="0097172E">
        <w:trPr>
          <w:jc w:val="center"/>
        </w:trPr>
        <w:tc>
          <w:tcPr>
            <w:tcW w:w="3264" w:type="dxa"/>
            <w:vAlign w:val="center"/>
          </w:tcPr>
          <w:p w14:paraId="101ABDC9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Check CTA measurement requirements</w:t>
            </w:r>
          </w:p>
        </w:tc>
        <w:tc>
          <w:tcPr>
            <w:tcW w:w="3264" w:type="dxa"/>
            <w:vAlign w:val="center"/>
          </w:tcPr>
          <w:p w14:paraId="6CEF7918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Complete</w:t>
            </w:r>
          </w:p>
        </w:tc>
        <w:tc>
          <w:tcPr>
            <w:tcW w:w="3264" w:type="dxa"/>
            <w:vAlign w:val="center"/>
          </w:tcPr>
          <w:p w14:paraId="3A058CF3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Defined CTA events, CTA parameters, placement requirements, and CTA performance measures.</w:t>
            </w:r>
          </w:p>
        </w:tc>
      </w:tr>
      <w:tr w:rsidR="00C76E14" w:rsidRPr="00C76E14" w14:paraId="6EA469BD" w14:textId="77777777" w:rsidTr="0097172E">
        <w:trPr>
          <w:jc w:val="center"/>
        </w:trPr>
        <w:tc>
          <w:tcPr>
            <w:tcW w:w="3264" w:type="dxa"/>
            <w:vAlign w:val="center"/>
          </w:tcPr>
          <w:p w14:paraId="637E9655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Check engagement indicators</w:t>
            </w:r>
          </w:p>
        </w:tc>
        <w:tc>
          <w:tcPr>
            <w:tcW w:w="3264" w:type="dxa"/>
            <w:vAlign w:val="center"/>
          </w:tcPr>
          <w:p w14:paraId="0A5A225C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Complete</w:t>
            </w:r>
          </w:p>
        </w:tc>
        <w:tc>
          <w:tcPr>
            <w:tcW w:w="3264" w:type="dxa"/>
            <w:vAlign w:val="center"/>
          </w:tcPr>
          <w:p w14:paraId="3EE4E7FB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Defined engagement rate, engagement time, page views, scroll depth, CTA interaction, and drop-off indicators.</w:t>
            </w:r>
          </w:p>
        </w:tc>
      </w:tr>
      <w:tr w:rsidR="00C76E14" w:rsidRPr="00C76E14" w14:paraId="04B5D07F" w14:textId="77777777" w:rsidTr="0097172E">
        <w:trPr>
          <w:jc w:val="center"/>
        </w:trPr>
        <w:tc>
          <w:tcPr>
            <w:tcW w:w="3264" w:type="dxa"/>
            <w:vAlign w:val="center"/>
          </w:tcPr>
          <w:p w14:paraId="34796488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Check conversion indicators</w:t>
            </w:r>
          </w:p>
        </w:tc>
        <w:tc>
          <w:tcPr>
            <w:tcW w:w="3264" w:type="dxa"/>
            <w:vAlign w:val="center"/>
          </w:tcPr>
          <w:p w14:paraId="30128C66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Complete</w:t>
            </w:r>
          </w:p>
        </w:tc>
        <w:tc>
          <w:tcPr>
            <w:tcW w:w="3264" w:type="dxa"/>
            <w:vAlign w:val="center"/>
          </w:tcPr>
          <w:p w14:paraId="52A0FA79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 xml:space="preserve">Defined qualified House Party enquiry submission as the primary conversion and completed booking </w:t>
            </w:r>
            <w:r w:rsidRPr="00C76E14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as the final downstream business outcome.</w:t>
            </w:r>
          </w:p>
        </w:tc>
      </w:tr>
      <w:tr w:rsidR="00C76E14" w:rsidRPr="00C76E14" w14:paraId="4CACAF87" w14:textId="77777777" w:rsidTr="0097172E">
        <w:trPr>
          <w:jc w:val="center"/>
        </w:trPr>
        <w:tc>
          <w:tcPr>
            <w:tcW w:w="3264" w:type="dxa"/>
            <w:vAlign w:val="center"/>
          </w:tcPr>
          <w:p w14:paraId="4E0C5820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Review relevant CRO/CTA recommendations from Mirna</w:t>
            </w:r>
          </w:p>
        </w:tc>
        <w:tc>
          <w:tcPr>
            <w:tcW w:w="3264" w:type="dxa"/>
            <w:vAlign w:val="center"/>
          </w:tcPr>
          <w:p w14:paraId="4A9DA21C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Reviewed and incorporated; final approval pending</w:t>
            </w:r>
          </w:p>
        </w:tc>
        <w:tc>
          <w:tcPr>
            <w:tcW w:w="3264" w:type="dxa"/>
            <w:vAlign w:val="center"/>
          </w:tcPr>
          <w:p w14:paraId="1C60E7E3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Incorporated primary CTA, conversion, HP-001 priority, placement, and extra tracking recommendations. Final approval requires page-mapping confirmation.</w:t>
            </w:r>
          </w:p>
        </w:tc>
      </w:tr>
      <w:tr w:rsidR="00C76E14" w:rsidRPr="00C76E14" w14:paraId="7701A271" w14:textId="77777777" w:rsidTr="0097172E">
        <w:trPr>
          <w:jc w:val="center"/>
        </w:trPr>
        <w:tc>
          <w:tcPr>
            <w:tcW w:w="3264" w:type="dxa"/>
            <w:vAlign w:val="center"/>
          </w:tcPr>
          <w:p w14:paraId="17D6B380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Identify tracking gaps</w:t>
            </w:r>
          </w:p>
        </w:tc>
        <w:tc>
          <w:tcPr>
            <w:tcW w:w="3264" w:type="dxa"/>
            <w:vAlign w:val="center"/>
          </w:tcPr>
          <w:p w14:paraId="22B0E6BB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Complete</w:t>
            </w:r>
          </w:p>
        </w:tc>
        <w:tc>
          <w:tcPr>
            <w:tcW w:w="3264" w:type="dxa"/>
            <w:vAlign w:val="center"/>
          </w:tcPr>
          <w:p w14:paraId="7790545E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Recorded GA4, Search Console, CRM/form tool, booking-platform, form-abandonment, and baseline-validation gaps.</w:t>
            </w:r>
          </w:p>
        </w:tc>
      </w:tr>
      <w:tr w:rsidR="00C76E14" w:rsidRPr="00C76E14" w14:paraId="136B1E1F" w14:textId="77777777" w:rsidTr="0097172E">
        <w:trPr>
          <w:jc w:val="center"/>
        </w:trPr>
        <w:tc>
          <w:tcPr>
            <w:tcW w:w="3264" w:type="dxa"/>
            <w:vAlign w:val="center"/>
          </w:tcPr>
          <w:p w14:paraId="14C1B27A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Define validation criteria</w:t>
            </w:r>
          </w:p>
        </w:tc>
        <w:tc>
          <w:tcPr>
            <w:tcW w:w="3264" w:type="dxa"/>
            <w:vAlign w:val="center"/>
          </w:tcPr>
          <w:p w14:paraId="65E8BBAC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Complete</w:t>
            </w:r>
          </w:p>
        </w:tc>
        <w:tc>
          <w:tcPr>
            <w:tcW w:w="3264" w:type="dxa"/>
            <w:vAlign w:val="center"/>
          </w:tcPr>
          <w:p w14:paraId="2C74AF05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Defined tested tracking, validated conversion definitions, approved data access, baseline validation, and page-mapping confirmation requirements.</w:t>
            </w:r>
          </w:p>
        </w:tc>
      </w:tr>
      <w:tr w:rsidR="00C76E14" w:rsidRPr="00C76E14" w14:paraId="3CE82645" w14:textId="77777777" w:rsidTr="0097172E">
        <w:trPr>
          <w:jc w:val="center"/>
        </w:trPr>
        <w:tc>
          <w:tcPr>
            <w:tcW w:w="3264" w:type="dxa"/>
            <w:vAlign w:val="center"/>
          </w:tcPr>
          <w:p w14:paraId="0F6F53CC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Identify important analytics questions for Ajith</w:t>
            </w:r>
          </w:p>
        </w:tc>
        <w:tc>
          <w:tcPr>
            <w:tcW w:w="3264" w:type="dxa"/>
            <w:vAlign w:val="center"/>
          </w:tcPr>
          <w:p w14:paraId="3CEE65FE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Complete</w:t>
            </w:r>
          </w:p>
        </w:tc>
        <w:tc>
          <w:tcPr>
            <w:tcW w:w="3264" w:type="dxa"/>
            <w:vAlign w:val="center"/>
          </w:tcPr>
          <w:p w14:paraId="20CB938C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Listed questions on page mapping, access, conversion definition, baseline period, and technical ownership.</w:t>
            </w:r>
          </w:p>
        </w:tc>
      </w:tr>
      <w:tr w:rsidR="00C76E14" w:rsidRPr="00C76E14" w14:paraId="7A217573" w14:textId="77777777" w:rsidTr="0097172E">
        <w:trPr>
          <w:jc w:val="center"/>
        </w:trPr>
        <w:tc>
          <w:tcPr>
            <w:tcW w:w="3264" w:type="dxa"/>
            <w:vAlign w:val="center"/>
          </w:tcPr>
          <w:p w14:paraId="3110F8B0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 xml:space="preserve">Provide recommendations to </w:t>
            </w:r>
            <w:proofErr w:type="spellStart"/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Jeron</w:t>
            </w:r>
            <w:proofErr w:type="spellEnd"/>
          </w:p>
        </w:tc>
        <w:tc>
          <w:tcPr>
            <w:tcW w:w="3264" w:type="dxa"/>
            <w:vAlign w:val="center"/>
          </w:tcPr>
          <w:p w14:paraId="732146AF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Complete</w:t>
            </w:r>
          </w:p>
        </w:tc>
        <w:tc>
          <w:tcPr>
            <w:tcW w:w="3264" w:type="dxa"/>
            <w:vAlign w:val="center"/>
          </w:tcPr>
          <w:p w14:paraId="5EA1A41A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Provided handover and implementation recommendations.</w:t>
            </w:r>
          </w:p>
        </w:tc>
      </w:tr>
    </w:tbl>
    <w:p w14:paraId="70A3AE37" w14:textId="77777777" w:rsidR="00C76E14" w:rsidRPr="00C76E14" w:rsidRDefault="00C76E14" w:rsidP="00C76E14">
      <w:pPr>
        <w:rPr>
          <w:rFonts w:asciiTheme="minorHAnsi" w:hAnsiTheme="minorHAnsi" w:cstheme="minorHAnsi"/>
          <w:sz w:val="20"/>
          <w:szCs w:val="20"/>
        </w:rPr>
      </w:pPr>
    </w:p>
    <w:p w14:paraId="525F747B" w14:textId="77777777" w:rsidR="00C76E14" w:rsidRPr="0035717F" w:rsidRDefault="00C76E14" w:rsidP="00C76E14">
      <w:pPr>
        <w:pStyle w:val="Heading1"/>
        <w:rPr>
          <w:rFonts w:asciiTheme="minorHAnsi" w:hAnsiTheme="minorHAnsi" w:cstheme="minorHAnsi"/>
          <w:color w:val="auto"/>
          <w:sz w:val="22"/>
          <w:szCs w:val="22"/>
        </w:rPr>
      </w:pPr>
      <w:r w:rsidRPr="0035717F">
        <w:rPr>
          <w:rFonts w:asciiTheme="minorHAnsi" w:hAnsiTheme="minorHAnsi" w:cstheme="minorHAnsi"/>
          <w:color w:val="auto"/>
          <w:sz w:val="22"/>
          <w:szCs w:val="22"/>
        </w:rPr>
        <w:t>3. Completed Measurement Decisions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C76E14" w:rsidRPr="00C76E14" w14:paraId="7703E338" w14:textId="77777777" w:rsidTr="0097172E">
        <w:trPr>
          <w:jc w:val="center"/>
        </w:trPr>
        <w:tc>
          <w:tcPr>
            <w:tcW w:w="4896" w:type="dxa"/>
            <w:vAlign w:val="center"/>
          </w:tcPr>
          <w:p w14:paraId="3304804E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b/>
                <w:sz w:val="20"/>
                <w:szCs w:val="20"/>
              </w:rPr>
              <w:t>Area</w:t>
            </w:r>
          </w:p>
        </w:tc>
        <w:tc>
          <w:tcPr>
            <w:tcW w:w="4896" w:type="dxa"/>
            <w:vAlign w:val="center"/>
          </w:tcPr>
          <w:p w14:paraId="4EBB0035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b/>
                <w:sz w:val="20"/>
                <w:szCs w:val="20"/>
              </w:rPr>
              <w:t>Agreed requirement</w:t>
            </w:r>
          </w:p>
        </w:tc>
      </w:tr>
      <w:tr w:rsidR="00C76E14" w:rsidRPr="00C76E14" w14:paraId="4AAFD46F" w14:textId="77777777" w:rsidTr="0097172E">
        <w:trPr>
          <w:jc w:val="center"/>
        </w:trPr>
        <w:tc>
          <w:tcPr>
            <w:tcW w:w="4896" w:type="dxa"/>
            <w:vAlign w:val="center"/>
          </w:tcPr>
          <w:p w14:paraId="6B30BFBF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Primary conversion</w:t>
            </w:r>
          </w:p>
        </w:tc>
        <w:tc>
          <w:tcPr>
            <w:tcW w:w="4896" w:type="dxa"/>
            <w:vAlign w:val="center"/>
          </w:tcPr>
          <w:p w14:paraId="4838EB83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A successfully submitted qualified House Party enquiry.</w:t>
            </w:r>
          </w:p>
        </w:tc>
      </w:tr>
      <w:tr w:rsidR="00C76E14" w:rsidRPr="00C76E14" w14:paraId="57135F87" w14:textId="77777777" w:rsidTr="0097172E">
        <w:trPr>
          <w:jc w:val="center"/>
        </w:trPr>
        <w:tc>
          <w:tcPr>
            <w:tcW w:w="4896" w:type="dxa"/>
            <w:vAlign w:val="center"/>
          </w:tcPr>
          <w:p w14:paraId="567589FA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Final downstream business outcome</w:t>
            </w:r>
          </w:p>
        </w:tc>
        <w:tc>
          <w:tcPr>
            <w:tcW w:w="4896" w:type="dxa"/>
            <w:vAlign w:val="center"/>
          </w:tcPr>
          <w:p w14:paraId="763B2BFC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A completed booking.</w:t>
            </w:r>
          </w:p>
        </w:tc>
      </w:tr>
      <w:tr w:rsidR="00C76E14" w:rsidRPr="00C76E14" w14:paraId="0522B0A3" w14:textId="77777777" w:rsidTr="0097172E">
        <w:trPr>
          <w:jc w:val="center"/>
        </w:trPr>
        <w:tc>
          <w:tcPr>
            <w:tcW w:w="4896" w:type="dxa"/>
            <w:vAlign w:val="center"/>
          </w:tcPr>
          <w:p w14:paraId="1D4496FC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Highest-priority CRO page</w:t>
            </w:r>
          </w:p>
        </w:tc>
        <w:tc>
          <w:tcPr>
            <w:tcW w:w="4896" w:type="dxa"/>
            <w:vAlign w:val="center"/>
          </w:tcPr>
          <w:p w14:paraId="6B610C53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HP-001: /house-party, because it is the main commercial landing page.</w:t>
            </w:r>
          </w:p>
        </w:tc>
      </w:tr>
      <w:tr w:rsidR="00C76E14" w:rsidRPr="00C76E14" w14:paraId="7C7DD03E" w14:textId="77777777" w:rsidTr="0097172E">
        <w:trPr>
          <w:jc w:val="center"/>
        </w:trPr>
        <w:tc>
          <w:tcPr>
            <w:tcW w:w="4896" w:type="dxa"/>
            <w:vAlign w:val="center"/>
          </w:tcPr>
          <w:p w14:paraId="1EDF00A9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HP-001 primary CTA</w:t>
            </w:r>
          </w:p>
        </w:tc>
        <w:tc>
          <w:tcPr>
            <w:tcW w:w="4896" w:type="dxa"/>
            <w:vAlign w:val="center"/>
          </w:tcPr>
          <w:p w14:paraId="6C2903A5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Check your date and postcode.</w:t>
            </w:r>
          </w:p>
        </w:tc>
      </w:tr>
      <w:tr w:rsidR="00C76E14" w:rsidRPr="00C76E14" w14:paraId="743BC0A7" w14:textId="77777777" w:rsidTr="0097172E">
        <w:trPr>
          <w:jc w:val="center"/>
        </w:trPr>
        <w:tc>
          <w:tcPr>
            <w:tcW w:w="4896" w:type="dxa"/>
            <w:vAlign w:val="center"/>
          </w:tcPr>
          <w:p w14:paraId="01AACBBF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HP-002 primary CTA</w:t>
            </w:r>
          </w:p>
        </w:tc>
        <w:tc>
          <w:tcPr>
            <w:tcW w:w="4896" w:type="dxa"/>
            <w:vAlign w:val="center"/>
          </w:tcPr>
          <w:p w14:paraId="1056FD2F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Check Melbourne availability.</w:t>
            </w:r>
          </w:p>
        </w:tc>
      </w:tr>
      <w:tr w:rsidR="00C76E14" w:rsidRPr="00C76E14" w14:paraId="7AC299B6" w14:textId="77777777" w:rsidTr="0097172E">
        <w:trPr>
          <w:jc w:val="center"/>
        </w:trPr>
        <w:tc>
          <w:tcPr>
            <w:tcW w:w="4896" w:type="dxa"/>
            <w:vAlign w:val="center"/>
          </w:tcPr>
          <w:p w14:paraId="335AA993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HP-003 primary CTA</w:t>
            </w:r>
          </w:p>
        </w:tc>
        <w:tc>
          <w:tcPr>
            <w:tcW w:w="4896" w:type="dxa"/>
            <w:vAlign w:val="center"/>
          </w:tcPr>
          <w:p w14:paraId="38283D40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Compare hosted VR house party options.</w:t>
            </w:r>
          </w:p>
        </w:tc>
      </w:tr>
      <w:tr w:rsidR="00C76E14" w:rsidRPr="00C76E14" w14:paraId="48D684E8" w14:textId="77777777" w:rsidTr="0097172E">
        <w:trPr>
          <w:jc w:val="center"/>
        </w:trPr>
        <w:tc>
          <w:tcPr>
            <w:tcW w:w="4896" w:type="dxa"/>
            <w:vAlign w:val="center"/>
          </w:tcPr>
          <w:p w14:paraId="168FD6AD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HP-003 role</w:t>
            </w:r>
          </w:p>
        </w:tc>
        <w:tc>
          <w:tcPr>
            <w:tcW w:w="4896" w:type="dxa"/>
            <w:vAlign w:val="center"/>
          </w:tcPr>
          <w:p w14:paraId="272B728E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Guide suitable informational-search users to HP-001.</w:t>
            </w:r>
          </w:p>
        </w:tc>
      </w:tr>
      <w:tr w:rsidR="00C76E14" w:rsidRPr="00C76E14" w14:paraId="4732DB17" w14:textId="77777777" w:rsidTr="0097172E">
        <w:trPr>
          <w:jc w:val="center"/>
        </w:trPr>
        <w:tc>
          <w:tcPr>
            <w:tcW w:w="4896" w:type="dxa"/>
            <w:vAlign w:val="center"/>
          </w:tcPr>
          <w:p w14:paraId="68B59185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Primary reporting areas</w:t>
            </w:r>
          </w:p>
        </w:tc>
        <w:tc>
          <w:tcPr>
            <w:tcW w:w="4896" w:type="dxa"/>
            <w:vAlign w:val="center"/>
          </w:tcPr>
          <w:p w14:paraId="189C81F9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SEO visibility, engagement, CTA activity, qualified enquiries, and downstream bookings.</w:t>
            </w:r>
          </w:p>
        </w:tc>
      </w:tr>
      <w:tr w:rsidR="00C76E14" w:rsidRPr="00C76E14" w14:paraId="11A2E875" w14:textId="77777777" w:rsidTr="0097172E">
        <w:trPr>
          <w:jc w:val="center"/>
        </w:trPr>
        <w:tc>
          <w:tcPr>
            <w:tcW w:w="4896" w:type="dxa"/>
            <w:vAlign w:val="center"/>
          </w:tcPr>
          <w:p w14:paraId="050BCC96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Privacy rule</w:t>
            </w:r>
          </w:p>
        </w:tc>
        <w:tc>
          <w:tcPr>
            <w:tcW w:w="4896" w:type="dxa"/>
            <w:vAlign w:val="center"/>
          </w:tcPr>
          <w:p w14:paraId="30B4580E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Do not send personally identifiable information or raw form responses to GA4.</w:t>
            </w:r>
          </w:p>
        </w:tc>
      </w:tr>
    </w:tbl>
    <w:p w14:paraId="31BC7C0A" w14:textId="77777777" w:rsidR="00C76E14" w:rsidRPr="00C76E14" w:rsidRDefault="00C76E14" w:rsidP="00C76E14">
      <w:pPr>
        <w:rPr>
          <w:rFonts w:asciiTheme="minorHAnsi" w:hAnsiTheme="minorHAnsi" w:cstheme="minorHAnsi"/>
          <w:sz w:val="20"/>
          <w:szCs w:val="20"/>
        </w:rPr>
      </w:pPr>
    </w:p>
    <w:p w14:paraId="26EF5391" w14:textId="77777777" w:rsidR="00C76E14" w:rsidRPr="0035717F" w:rsidRDefault="00C76E14" w:rsidP="00C76E14">
      <w:pPr>
        <w:pStyle w:val="Heading1"/>
        <w:rPr>
          <w:rFonts w:asciiTheme="minorHAnsi" w:hAnsiTheme="minorHAnsi" w:cstheme="minorHAnsi"/>
          <w:color w:val="auto"/>
          <w:sz w:val="22"/>
          <w:szCs w:val="22"/>
        </w:rPr>
      </w:pPr>
      <w:r w:rsidRPr="0035717F">
        <w:rPr>
          <w:rFonts w:asciiTheme="minorHAnsi" w:hAnsiTheme="minorHAnsi" w:cstheme="minorHAnsi"/>
          <w:color w:val="auto"/>
          <w:sz w:val="22"/>
          <w:szCs w:val="22"/>
        </w:rPr>
        <w:t>4. Page Review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04"/>
        <w:gridCol w:w="2219"/>
        <w:gridCol w:w="3091"/>
      </w:tblGrid>
      <w:tr w:rsidR="00C76E14" w:rsidRPr="00C76E14" w14:paraId="51474B62" w14:textId="77777777" w:rsidTr="0097172E">
        <w:trPr>
          <w:jc w:val="center"/>
        </w:trPr>
        <w:tc>
          <w:tcPr>
            <w:tcW w:w="2448" w:type="dxa"/>
            <w:vAlign w:val="center"/>
          </w:tcPr>
          <w:p w14:paraId="4665A38A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b/>
                <w:sz w:val="20"/>
                <w:szCs w:val="20"/>
              </w:rPr>
              <w:t>Page</w:t>
            </w:r>
          </w:p>
        </w:tc>
        <w:tc>
          <w:tcPr>
            <w:tcW w:w="2448" w:type="dxa"/>
            <w:vAlign w:val="center"/>
          </w:tcPr>
          <w:p w14:paraId="443FB202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b/>
                <w:sz w:val="20"/>
                <w:szCs w:val="20"/>
              </w:rPr>
              <w:t>Purpose</w:t>
            </w:r>
          </w:p>
        </w:tc>
        <w:tc>
          <w:tcPr>
            <w:tcW w:w="2448" w:type="dxa"/>
            <w:vAlign w:val="center"/>
          </w:tcPr>
          <w:p w14:paraId="5A9CDE80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b/>
                <w:sz w:val="20"/>
                <w:szCs w:val="20"/>
              </w:rPr>
              <w:t>Review focus</w:t>
            </w:r>
          </w:p>
        </w:tc>
        <w:tc>
          <w:tcPr>
            <w:tcW w:w="2448" w:type="dxa"/>
            <w:vAlign w:val="center"/>
          </w:tcPr>
          <w:p w14:paraId="4F10C44B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b/>
                <w:sz w:val="20"/>
                <w:szCs w:val="20"/>
              </w:rPr>
              <w:t>Primary event</w:t>
            </w:r>
          </w:p>
        </w:tc>
      </w:tr>
      <w:tr w:rsidR="00C76E14" w:rsidRPr="00C76E14" w14:paraId="380DAC00" w14:textId="77777777" w:rsidTr="0097172E">
        <w:trPr>
          <w:jc w:val="center"/>
        </w:trPr>
        <w:tc>
          <w:tcPr>
            <w:tcW w:w="2448" w:type="dxa"/>
            <w:vAlign w:val="center"/>
          </w:tcPr>
          <w:p w14:paraId="3723DC26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HP-001 — /house-party</w:t>
            </w:r>
          </w:p>
        </w:tc>
        <w:tc>
          <w:tcPr>
            <w:tcW w:w="2448" w:type="dxa"/>
            <w:vAlign w:val="center"/>
          </w:tcPr>
          <w:p w14:paraId="75C166B5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Main commercial House Party landing page.</w:t>
            </w:r>
          </w:p>
        </w:tc>
        <w:tc>
          <w:tcPr>
            <w:tcW w:w="2448" w:type="dxa"/>
            <w:vAlign w:val="center"/>
          </w:tcPr>
          <w:p w14:paraId="178E23D8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General service explanation, home/private-space suitability, availability CTA, enquiry flow, trust content, and conversion path.</w:t>
            </w:r>
          </w:p>
        </w:tc>
        <w:tc>
          <w:tcPr>
            <w:tcW w:w="2448" w:type="dxa"/>
            <w:vAlign w:val="center"/>
          </w:tcPr>
          <w:p w14:paraId="4301D323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cta_house_party_availability_click</w:t>
            </w:r>
            <w:proofErr w:type="spellEnd"/>
          </w:p>
        </w:tc>
      </w:tr>
      <w:tr w:rsidR="00C76E14" w:rsidRPr="00C76E14" w14:paraId="4B045CE2" w14:textId="77777777" w:rsidTr="0097172E">
        <w:trPr>
          <w:jc w:val="center"/>
        </w:trPr>
        <w:tc>
          <w:tcPr>
            <w:tcW w:w="2448" w:type="dxa"/>
            <w:vAlign w:val="center"/>
          </w:tcPr>
          <w:p w14:paraId="7F8C3E02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HP-002 — /house-party/</w:t>
            </w:r>
            <w:proofErr w:type="spellStart"/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melbourne</w:t>
            </w:r>
            <w:proofErr w:type="spellEnd"/>
          </w:p>
        </w:tc>
        <w:tc>
          <w:tcPr>
            <w:tcW w:w="2448" w:type="dxa"/>
            <w:vAlign w:val="center"/>
          </w:tcPr>
          <w:p w14:paraId="4233D3E7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Melbourne local-service landing page.</w:t>
            </w:r>
          </w:p>
        </w:tc>
        <w:tc>
          <w:tcPr>
            <w:tcW w:w="2448" w:type="dxa"/>
            <w:vAlign w:val="center"/>
          </w:tcPr>
          <w:p w14:paraId="59552473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Local service areas, travel and access rules, availability by date/suburb, local proof, and local enquiry path.</w:t>
            </w:r>
          </w:p>
        </w:tc>
        <w:tc>
          <w:tcPr>
            <w:tcW w:w="2448" w:type="dxa"/>
            <w:vAlign w:val="center"/>
          </w:tcPr>
          <w:p w14:paraId="32644052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cta_melbourne_availability_click</w:t>
            </w:r>
            <w:proofErr w:type="spellEnd"/>
          </w:p>
        </w:tc>
      </w:tr>
      <w:tr w:rsidR="00C76E14" w:rsidRPr="00C76E14" w14:paraId="2FCA23AA" w14:textId="77777777" w:rsidTr="0097172E">
        <w:trPr>
          <w:jc w:val="center"/>
        </w:trPr>
        <w:tc>
          <w:tcPr>
            <w:tcW w:w="2448" w:type="dxa"/>
            <w:vAlign w:val="center"/>
          </w:tcPr>
          <w:p w14:paraId="016C34CE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HP-003 — /house-party-ideas</w:t>
            </w:r>
          </w:p>
        </w:tc>
        <w:tc>
          <w:tcPr>
            <w:tcW w:w="2448" w:type="dxa"/>
            <w:vAlign w:val="center"/>
          </w:tcPr>
          <w:p w14:paraId="2F326920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Informational House Party Ideas guide.</w:t>
            </w:r>
          </w:p>
        </w:tc>
        <w:tc>
          <w:tcPr>
            <w:tcW w:w="2448" w:type="dxa"/>
            <w:vAlign w:val="center"/>
          </w:tcPr>
          <w:p w14:paraId="3BF7C37F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Useful planning content, engagement, internal routing to HP-001, and assisted conversion path.</w:t>
            </w:r>
          </w:p>
        </w:tc>
        <w:tc>
          <w:tcPr>
            <w:tcW w:w="2448" w:type="dxa"/>
            <w:vAlign w:val="center"/>
          </w:tcPr>
          <w:p w14:paraId="2B13C06F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cta_house_party_comparison_click</w:t>
            </w:r>
            <w:proofErr w:type="spellEnd"/>
            <w:r w:rsidRPr="00C76E14">
              <w:rPr>
                <w:rFonts w:asciiTheme="minorHAnsi" w:hAnsiTheme="minorHAnsi" w:cstheme="minorHAnsi"/>
                <w:sz w:val="20"/>
                <w:szCs w:val="20"/>
              </w:rPr>
              <w:t xml:space="preserve"> / hp003_to_hp001_click</w:t>
            </w:r>
          </w:p>
        </w:tc>
      </w:tr>
    </w:tbl>
    <w:p w14:paraId="78C6F337" w14:textId="77777777" w:rsidR="00C76E14" w:rsidRPr="00C76E14" w:rsidRDefault="00C76E14" w:rsidP="00C76E14">
      <w:pPr>
        <w:rPr>
          <w:rFonts w:asciiTheme="minorHAnsi" w:hAnsiTheme="minorHAnsi" w:cstheme="minorHAnsi"/>
          <w:sz w:val="20"/>
          <w:szCs w:val="20"/>
        </w:rPr>
      </w:pPr>
    </w:p>
    <w:p w14:paraId="036D899C" w14:textId="77777777" w:rsidR="00C76E14" w:rsidRPr="0035717F" w:rsidRDefault="00C76E14" w:rsidP="00C76E14">
      <w:pPr>
        <w:pStyle w:val="Heading1"/>
        <w:rPr>
          <w:rFonts w:asciiTheme="minorHAnsi" w:hAnsiTheme="minorHAnsi" w:cstheme="minorHAnsi"/>
          <w:color w:val="auto"/>
          <w:sz w:val="22"/>
          <w:szCs w:val="22"/>
        </w:rPr>
      </w:pPr>
      <w:r w:rsidRPr="0035717F">
        <w:rPr>
          <w:rFonts w:asciiTheme="minorHAnsi" w:hAnsiTheme="minorHAnsi" w:cstheme="minorHAnsi"/>
          <w:color w:val="auto"/>
          <w:sz w:val="22"/>
          <w:szCs w:val="22"/>
        </w:rPr>
        <w:t>5. Tracking Requirements</w:t>
      </w:r>
    </w:p>
    <w:p w14:paraId="1C44C645" w14:textId="77777777" w:rsidR="00C76E14" w:rsidRPr="00C76E14" w:rsidRDefault="00C76E14" w:rsidP="00C76E14">
      <w:pPr>
        <w:rPr>
          <w:rFonts w:asciiTheme="minorHAnsi" w:hAnsiTheme="minorHAnsi" w:cstheme="minorHAnsi"/>
          <w:sz w:val="20"/>
          <w:szCs w:val="20"/>
        </w:rPr>
      </w:pPr>
      <w:r w:rsidRPr="00C76E14">
        <w:rPr>
          <w:rFonts w:asciiTheme="minorHAnsi" w:hAnsiTheme="minorHAnsi" w:cstheme="minorHAnsi"/>
          <w:sz w:val="20"/>
          <w:szCs w:val="20"/>
        </w:rPr>
        <w:t>The following events should be configured and tested in Google Analytics 4 before or at launch:</w:t>
      </w:r>
    </w:p>
    <w:p w14:paraId="1576F912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proofErr w:type="spellStart"/>
      <w:r w:rsidRPr="00C76E14">
        <w:rPr>
          <w:rFonts w:asciiTheme="minorHAnsi" w:hAnsiTheme="minorHAnsi" w:cstheme="minorHAnsi"/>
          <w:sz w:val="20"/>
          <w:szCs w:val="20"/>
        </w:rPr>
        <w:t>page_view</w:t>
      </w:r>
      <w:proofErr w:type="spellEnd"/>
    </w:p>
    <w:p w14:paraId="103DDD44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proofErr w:type="spellStart"/>
      <w:r w:rsidRPr="00C76E14">
        <w:rPr>
          <w:rFonts w:asciiTheme="minorHAnsi" w:hAnsiTheme="minorHAnsi" w:cstheme="minorHAnsi"/>
          <w:sz w:val="20"/>
          <w:szCs w:val="20"/>
        </w:rPr>
        <w:t>scroll_depth</w:t>
      </w:r>
      <w:proofErr w:type="spellEnd"/>
    </w:p>
    <w:p w14:paraId="305E363F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proofErr w:type="spellStart"/>
      <w:r w:rsidRPr="00C76E14">
        <w:rPr>
          <w:rFonts w:asciiTheme="minorHAnsi" w:hAnsiTheme="minorHAnsi" w:cstheme="minorHAnsi"/>
          <w:sz w:val="20"/>
          <w:szCs w:val="20"/>
        </w:rPr>
        <w:t>cta_house_party_availability_click</w:t>
      </w:r>
      <w:proofErr w:type="spellEnd"/>
    </w:p>
    <w:p w14:paraId="2953DFBC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proofErr w:type="spellStart"/>
      <w:r w:rsidRPr="00C76E14">
        <w:rPr>
          <w:rFonts w:asciiTheme="minorHAnsi" w:hAnsiTheme="minorHAnsi" w:cstheme="minorHAnsi"/>
          <w:sz w:val="20"/>
          <w:szCs w:val="20"/>
        </w:rPr>
        <w:t>cta_melbourne_availability_click</w:t>
      </w:r>
      <w:proofErr w:type="spellEnd"/>
    </w:p>
    <w:p w14:paraId="11BB08C4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proofErr w:type="spellStart"/>
      <w:r w:rsidRPr="00C76E14">
        <w:rPr>
          <w:rFonts w:asciiTheme="minorHAnsi" w:hAnsiTheme="minorHAnsi" w:cstheme="minorHAnsi"/>
          <w:sz w:val="20"/>
          <w:szCs w:val="20"/>
        </w:rPr>
        <w:t>cta_house_party_comparison_click</w:t>
      </w:r>
      <w:proofErr w:type="spellEnd"/>
    </w:p>
    <w:p w14:paraId="4F4BF608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proofErr w:type="spellStart"/>
      <w:r w:rsidRPr="00C76E14">
        <w:rPr>
          <w:rFonts w:asciiTheme="minorHAnsi" w:hAnsiTheme="minorHAnsi" w:cstheme="minorHAnsi"/>
          <w:sz w:val="20"/>
          <w:szCs w:val="20"/>
        </w:rPr>
        <w:t>availability_check_start</w:t>
      </w:r>
      <w:proofErr w:type="spellEnd"/>
    </w:p>
    <w:p w14:paraId="302A7EE7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proofErr w:type="spellStart"/>
      <w:r w:rsidRPr="00C76E14">
        <w:rPr>
          <w:rFonts w:asciiTheme="minorHAnsi" w:hAnsiTheme="minorHAnsi" w:cstheme="minorHAnsi"/>
          <w:sz w:val="20"/>
          <w:szCs w:val="20"/>
        </w:rPr>
        <w:t>availability_check_complete</w:t>
      </w:r>
      <w:proofErr w:type="spellEnd"/>
    </w:p>
    <w:p w14:paraId="69533045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proofErr w:type="spellStart"/>
      <w:r w:rsidRPr="00C76E14">
        <w:rPr>
          <w:rFonts w:asciiTheme="minorHAnsi" w:hAnsiTheme="minorHAnsi" w:cstheme="minorHAnsi"/>
          <w:sz w:val="20"/>
          <w:szCs w:val="20"/>
        </w:rPr>
        <w:t>house_party_enquiry_start</w:t>
      </w:r>
      <w:proofErr w:type="spellEnd"/>
    </w:p>
    <w:p w14:paraId="376FA46E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proofErr w:type="spellStart"/>
      <w:r w:rsidRPr="00C76E14">
        <w:rPr>
          <w:rFonts w:asciiTheme="minorHAnsi" w:hAnsiTheme="minorHAnsi" w:cstheme="minorHAnsi"/>
          <w:sz w:val="20"/>
          <w:szCs w:val="20"/>
        </w:rPr>
        <w:t>house_party_enquiry_submit</w:t>
      </w:r>
      <w:proofErr w:type="spellEnd"/>
    </w:p>
    <w:p w14:paraId="5103CFE0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proofErr w:type="spellStart"/>
      <w:r w:rsidRPr="00C76E14">
        <w:rPr>
          <w:rFonts w:asciiTheme="minorHAnsi" w:hAnsiTheme="minorHAnsi" w:cstheme="minorHAnsi"/>
          <w:sz w:val="20"/>
          <w:szCs w:val="20"/>
        </w:rPr>
        <w:t>house_party_form_error</w:t>
      </w:r>
      <w:proofErr w:type="spellEnd"/>
    </w:p>
    <w:p w14:paraId="1A4A9BE5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proofErr w:type="spellStart"/>
      <w:r w:rsidRPr="00C76E14">
        <w:rPr>
          <w:rFonts w:asciiTheme="minorHAnsi" w:hAnsiTheme="minorHAnsi" w:cstheme="minorHAnsi"/>
          <w:sz w:val="20"/>
          <w:szCs w:val="20"/>
        </w:rPr>
        <w:t>house_party_form_abandonment</w:t>
      </w:r>
      <w:proofErr w:type="spellEnd"/>
    </w:p>
    <w:p w14:paraId="3B4B59A9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r w:rsidRPr="00C76E14">
        <w:rPr>
          <w:rFonts w:asciiTheme="minorHAnsi" w:hAnsiTheme="minorHAnsi" w:cstheme="minorHAnsi"/>
          <w:sz w:val="20"/>
          <w:szCs w:val="20"/>
        </w:rPr>
        <w:t>hp003_to_hp001_click</w:t>
      </w:r>
    </w:p>
    <w:p w14:paraId="54BB8E72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proofErr w:type="spellStart"/>
      <w:r w:rsidRPr="00C76E14">
        <w:rPr>
          <w:rFonts w:asciiTheme="minorHAnsi" w:hAnsiTheme="minorHAnsi" w:cstheme="minorHAnsi"/>
          <w:sz w:val="20"/>
          <w:szCs w:val="20"/>
        </w:rPr>
        <w:t>house_party_booking_start</w:t>
      </w:r>
      <w:proofErr w:type="spellEnd"/>
    </w:p>
    <w:p w14:paraId="3A549464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proofErr w:type="spellStart"/>
      <w:r w:rsidRPr="00C76E14">
        <w:rPr>
          <w:rFonts w:asciiTheme="minorHAnsi" w:hAnsiTheme="minorHAnsi" w:cstheme="minorHAnsi"/>
          <w:sz w:val="20"/>
          <w:szCs w:val="20"/>
        </w:rPr>
        <w:t>house_party_booking_complete</w:t>
      </w:r>
      <w:proofErr w:type="spellEnd"/>
    </w:p>
    <w:p w14:paraId="59CD8629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proofErr w:type="spellStart"/>
      <w:r w:rsidRPr="00C76E14">
        <w:rPr>
          <w:rFonts w:asciiTheme="minorHAnsi" w:hAnsiTheme="minorHAnsi" w:cstheme="minorHAnsi"/>
          <w:sz w:val="20"/>
          <w:szCs w:val="20"/>
        </w:rPr>
        <w:lastRenderedPageBreak/>
        <w:t>phone_click</w:t>
      </w:r>
      <w:proofErr w:type="spellEnd"/>
    </w:p>
    <w:p w14:paraId="3CA0B7D3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proofErr w:type="spellStart"/>
      <w:r w:rsidRPr="00C76E14">
        <w:rPr>
          <w:rFonts w:asciiTheme="minorHAnsi" w:hAnsiTheme="minorHAnsi" w:cstheme="minorHAnsi"/>
          <w:sz w:val="20"/>
          <w:szCs w:val="20"/>
        </w:rPr>
        <w:t>email_click</w:t>
      </w:r>
      <w:proofErr w:type="spellEnd"/>
    </w:p>
    <w:p w14:paraId="7CB8E6D3" w14:textId="77777777" w:rsidR="00C76E14" w:rsidRPr="00C76E14" w:rsidRDefault="00C76E14" w:rsidP="00C76E14">
      <w:pPr>
        <w:rPr>
          <w:rFonts w:asciiTheme="minorHAnsi" w:hAnsiTheme="minorHAnsi" w:cstheme="minorHAnsi"/>
          <w:sz w:val="20"/>
          <w:szCs w:val="20"/>
        </w:rPr>
      </w:pPr>
      <w:r w:rsidRPr="00C76E14">
        <w:rPr>
          <w:rFonts w:asciiTheme="minorHAnsi" w:hAnsiTheme="minorHAnsi" w:cstheme="minorHAnsi"/>
          <w:sz w:val="20"/>
          <w:szCs w:val="20"/>
        </w:rPr>
        <w:t>For relevant interactions, capture CTA label, CTA location, page URL, page title, page type or hypothesis ID, device type, traffic source, and form status where technically feasible.</w:t>
      </w:r>
    </w:p>
    <w:p w14:paraId="5C7C304D" w14:textId="77777777" w:rsidR="00C76E14" w:rsidRPr="00C76E14" w:rsidRDefault="00C76E14" w:rsidP="00C76E14">
      <w:pPr>
        <w:rPr>
          <w:rFonts w:asciiTheme="minorHAnsi" w:hAnsiTheme="minorHAnsi" w:cstheme="minorHAnsi"/>
          <w:sz w:val="20"/>
          <w:szCs w:val="20"/>
        </w:rPr>
      </w:pPr>
      <w:r w:rsidRPr="00C76E14">
        <w:rPr>
          <w:rFonts w:asciiTheme="minorHAnsi" w:hAnsiTheme="minorHAnsi" w:cstheme="minorHAnsi"/>
          <w:sz w:val="20"/>
          <w:szCs w:val="20"/>
        </w:rPr>
        <w:t xml:space="preserve">Configure </w:t>
      </w:r>
      <w:proofErr w:type="spellStart"/>
      <w:r w:rsidRPr="00C76E14">
        <w:rPr>
          <w:rFonts w:asciiTheme="minorHAnsi" w:hAnsiTheme="minorHAnsi" w:cstheme="minorHAnsi"/>
          <w:sz w:val="20"/>
          <w:szCs w:val="20"/>
        </w:rPr>
        <w:t>house_party_enquiry_submit</w:t>
      </w:r>
      <w:proofErr w:type="spellEnd"/>
      <w:r w:rsidRPr="00C76E14">
        <w:rPr>
          <w:rFonts w:asciiTheme="minorHAnsi" w:hAnsiTheme="minorHAnsi" w:cstheme="minorHAnsi"/>
          <w:sz w:val="20"/>
          <w:szCs w:val="20"/>
        </w:rPr>
        <w:t xml:space="preserve"> as the primary GA4 key event. Report </w:t>
      </w:r>
      <w:proofErr w:type="spellStart"/>
      <w:r w:rsidRPr="00C76E14">
        <w:rPr>
          <w:rFonts w:asciiTheme="minorHAnsi" w:hAnsiTheme="minorHAnsi" w:cstheme="minorHAnsi"/>
          <w:sz w:val="20"/>
          <w:szCs w:val="20"/>
        </w:rPr>
        <w:t>house_party_booking_complete</w:t>
      </w:r>
      <w:proofErr w:type="spellEnd"/>
      <w:r w:rsidRPr="00C76E14">
        <w:rPr>
          <w:rFonts w:asciiTheme="minorHAnsi" w:hAnsiTheme="minorHAnsi" w:cstheme="minorHAnsi"/>
          <w:sz w:val="20"/>
          <w:szCs w:val="20"/>
        </w:rPr>
        <w:t xml:space="preserve"> as the final downstream business outcome. Form abandonment requires an agreed custom implementation or funnel definition; it should not be assumed to be available automatically.</w:t>
      </w:r>
    </w:p>
    <w:p w14:paraId="2355D95C" w14:textId="77777777" w:rsidR="00C76E14" w:rsidRPr="0035717F" w:rsidRDefault="00C76E14" w:rsidP="00C76E14">
      <w:pPr>
        <w:pStyle w:val="Heading1"/>
        <w:rPr>
          <w:rFonts w:asciiTheme="minorHAnsi" w:hAnsiTheme="minorHAnsi" w:cstheme="minorHAnsi"/>
          <w:color w:val="auto"/>
          <w:sz w:val="22"/>
          <w:szCs w:val="22"/>
        </w:rPr>
      </w:pPr>
      <w:r w:rsidRPr="0035717F">
        <w:rPr>
          <w:rFonts w:asciiTheme="minorHAnsi" w:hAnsiTheme="minorHAnsi" w:cstheme="minorHAnsi"/>
          <w:color w:val="auto"/>
          <w:sz w:val="22"/>
          <w:szCs w:val="22"/>
        </w:rPr>
        <w:t>6. Outstanding Dependencies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3260"/>
        <w:gridCol w:w="3261"/>
      </w:tblGrid>
      <w:tr w:rsidR="00C76E14" w:rsidRPr="00C76E14" w14:paraId="4E1D2CD1" w14:textId="77777777" w:rsidTr="0097172E">
        <w:trPr>
          <w:jc w:val="center"/>
        </w:trPr>
        <w:tc>
          <w:tcPr>
            <w:tcW w:w="3264" w:type="dxa"/>
            <w:vAlign w:val="center"/>
          </w:tcPr>
          <w:p w14:paraId="2F805AAA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b/>
                <w:sz w:val="20"/>
                <w:szCs w:val="20"/>
              </w:rPr>
              <w:t>Dependency</w:t>
            </w:r>
          </w:p>
        </w:tc>
        <w:tc>
          <w:tcPr>
            <w:tcW w:w="3264" w:type="dxa"/>
            <w:vAlign w:val="center"/>
          </w:tcPr>
          <w:p w14:paraId="6A230718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b/>
                <w:sz w:val="20"/>
                <w:szCs w:val="20"/>
              </w:rPr>
              <w:t>Required action</w:t>
            </w:r>
          </w:p>
        </w:tc>
        <w:tc>
          <w:tcPr>
            <w:tcW w:w="3264" w:type="dxa"/>
            <w:vAlign w:val="center"/>
          </w:tcPr>
          <w:p w14:paraId="5CD40DAA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b/>
                <w:sz w:val="20"/>
                <w:szCs w:val="20"/>
              </w:rPr>
              <w:t>Owner / approver</w:t>
            </w:r>
          </w:p>
        </w:tc>
      </w:tr>
      <w:tr w:rsidR="00C76E14" w:rsidRPr="00C76E14" w14:paraId="6FE6E746" w14:textId="77777777" w:rsidTr="0097172E">
        <w:trPr>
          <w:jc w:val="center"/>
        </w:trPr>
        <w:tc>
          <w:tcPr>
            <w:tcW w:w="3264" w:type="dxa"/>
            <w:vAlign w:val="center"/>
          </w:tcPr>
          <w:p w14:paraId="504D23A5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Page mapping</w:t>
            </w:r>
          </w:p>
        </w:tc>
        <w:tc>
          <w:tcPr>
            <w:tcW w:w="3264" w:type="dxa"/>
            <w:vAlign w:val="center"/>
          </w:tcPr>
          <w:p w14:paraId="3A5D42FD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Confirm whether HP-001, HP-002, and HP-003 replace, or map to, the previous concepts: VR Party at Home, VR Party at Your Venue, and Fully Hosted VR Party.</w:t>
            </w:r>
          </w:p>
        </w:tc>
        <w:tc>
          <w:tcPr>
            <w:tcW w:w="3264" w:type="dxa"/>
            <w:vAlign w:val="center"/>
          </w:tcPr>
          <w:p w14:paraId="26DFB9C8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Ajith/client</w:t>
            </w:r>
          </w:p>
        </w:tc>
      </w:tr>
      <w:tr w:rsidR="00C76E14" w:rsidRPr="00C76E14" w14:paraId="652BC5B6" w14:textId="77777777" w:rsidTr="0097172E">
        <w:trPr>
          <w:jc w:val="center"/>
        </w:trPr>
        <w:tc>
          <w:tcPr>
            <w:tcW w:w="3264" w:type="dxa"/>
            <w:vAlign w:val="center"/>
          </w:tcPr>
          <w:p w14:paraId="08435C6C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Final CRO approval</w:t>
            </w:r>
          </w:p>
        </w:tc>
        <w:tc>
          <w:tcPr>
            <w:tcW w:w="3264" w:type="dxa"/>
            <w:vAlign w:val="center"/>
          </w:tcPr>
          <w:p w14:paraId="1B3D559B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Provide final Section 13 approval once the page mapping is confirmed.</w:t>
            </w:r>
          </w:p>
        </w:tc>
        <w:tc>
          <w:tcPr>
            <w:tcW w:w="3264" w:type="dxa"/>
            <w:vAlign w:val="center"/>
          </w:tcPr>
          <w:p w14:paraId="1B09E1E5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Mirna</w:t>
            </w:r>
          </w:p>
        </w:tc>
      </w:tr>
      <w:tr w:rsidR="00C76E14" w:rsidRPr="00C76E14" w14:paraId="4CC6A63B" w14:textId="77777777" w:rsidTr="0097172E">
        <w:trPr>
          <w:jc w:val="center"/>
        </w:trPr>
        <w:tc>
          <w:tcPr>
            <w:tcW w:w="3264" w:type="dxa"/>
            <w:vAlign w:val="center"/>
          </w:tcPr>
          <w:p w14:paraId="5B4CC7CF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Legacy conversion validation</w:t>
            </w:r>
          </w:p>
        </w:tc>
        <w:tc>
          <w:tcPr>
            <w:tcW w:w="3264" w:type="dxa"/>
            <w:vAlign w:val="center"/>
          </w:tcPr>
          <w:p w14:paraId="2B9A313C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Confirm whether the existing 70 and 17 configured conversions represent genuine qualified enquiries, completed bookings, or another action.</w:t>
            </w:r>
          </w:p>
        </w:tc>
        <w:tc>
          <w:tcPr>
            <w:tcW w:w="3264" w:type="dxa"/>
            <w:vAlign w:val="center"/>
          </w:tcPr>
          <w:p w14:paraId="555F86E3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GA4/CRM/booking owner</w:t>
            </w:r>
          </w:p>
        </w:tc>
      </w:tr>
      <w:tr w:rsidR="00C76E14" w:rsidRPr="00C76E14" w14:paraId="270631FF" w14:textId="77777777" w:rsidTr="0097172E">
        <w:trPr>
          <w:jc w:val="center"/>
        </w:trPr>
        <w:tc>
          <w:tcPr>
            <w:tcW w:w="3264" w:type="dxa"/>
            <w:vAlign w:val="center"/>
          </w:tcPr>
          <w:p w14:paraId="7BE3F142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Analytics and data access</w:t>
            </w:r>
          </w:p>
        </w:tc>
        <w:tc>
          <w:tcPr>
            <w:tcW w:w="3264" w:type="dxa"/>
            <w:vAlign w:val="center"/>
          </w:tcPr>
          <w:p w14:paraId="72AB6A48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Confirm access to GA4, Google Search Console, CRM/form tool, booking platform, and GTM if used.</w:t>
            </w:r>
          </w:p>
        </w:tc>
        <w:tc>
          <w:tcPr>
            <w:tcW w:w="3264" w:type="dxa"/>
            <w:vAlign w:val="center"/>
          </w:tcPr>
          <w:p w14:paraId="35194F5B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Client / technical owner</w:t>
            </w:r>
          </w:p>
        </w:tc>
      </w:tr>
      <w:tr w:rsidR="00C76E14" w:rsidRPr="00C76E14" w14:paraId="32FE81CE" w14:textId="77777777" w:rsidTr="0097172E">
        <w:trPr>
          <w:jc w:val="center"/>
        </w:trPr>
        <w:tc>
          <w:tcPr>
            <w:tcW w:w="3264" w:type="dxa"/>
            <w:vAlign w:val="center"/>
          </w:tcPr>
          <w:p w14:paraId="33B8D89B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Qualified enquiry definition</w:t>
            </w:r>
          </w:p>
        </w:tc>
        <w:tc>
          <w:tcPr>
            <w:tcW w:w="3264" w:type="dxa"/>
            <w:vAlign w:val="center"/>
          </w:tcPr>
          <w:p w14:paraId="555A8B66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Confirm minimum information required for an enquiry to be treated as qualified.</w:t>
            </w:r>
          </w:p>
        </w:tc>
        <w:tc>
          <w:tcPr>
            <w:tcW w:w="3264" w:type="dxa"/>
            <w:vAlign w:val="center"/>
          </w:tcPr>
          <w:p w14:paraId="0DA2A0C6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ViriVR/client</w:t>
            </w:r>
          </w:p>
        </w:tc>
      </w:tr>
      <w:tr w:rsidR="00C76E14" w:rsidRPr="00C76E14" w14:paraId="5C781669" w14:textId="77777777" w:rsidTr="0097172E">
        <w:trPr>
          <w:jc w:val="center"/>
        </w:trPr>
        <w:tc>
          <w:tcPr>
            <w:tcW w:w="3264" w:type="dxa"/>
            <w:vAlign w:val="center"/>
          </w:tcPr>
          <w:p w14:paraId="68C68650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Form-abandonment rule</w:t>
            </w:r>
          </w:p>
        </w:tc>
        <w:tc>
          <w:tcPr>
            <w:tcW w:w="3264" w:type="dxa"/>
            <w:vAlign w:val="center"/>
          </w:tcPr>
          <w:p w14:paraId="231B9A09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Confirm the session or attribution window and the technical method for identifying abandonment.</w:t>
            </w:r>
          </w:p>
        </w:tc>
        <w:tc>
          <w:tcPr>
            <w:tcW w:w="3264" w:type="dxa"/>
            <w:vAlign w:val="center"/>
          </w:tcPr>
          <w:p w14:paraId="74F0FF1E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Technical / analytics owner</w:t>
            </w:r>
          </w:p>
        </w:tc>
      </w:tr>
      <w:tr w:rsidR="00C76E14" w:rsidRPr="00C76E14" w14:paraId="2DA9AE91" w14:textId="77777777" w:rsidTr="0097172E">
        <w:trPr>
          <w:jc w:val="center"/>
        </w:trPr>
        <w:tc>
          <w:tcPr>
            <w:tcW w:w="3264" w:type="dxa"/>
            <w:vAlign w:val="center"/>
          </w:tcPr>
          <w:p w14:paraId="0600A55F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Baseline reporting period</w:t>
            </w:r>
          </w:p>
        </w:tc>
        <w:tc>
          <w:tcPr>
            <w:tcW w:w="3264" w:type="dxa"/>
            <w:vAlign w:val="center"/>
          </w:tcPr>
          <w:p w14:paraId="61D4DE37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Agree a baseline start date, end date, and post-launch review checkpoints.</w:t>
            </w:r>
          </w:p>
        </w:tc>
        <w:tc>
          <w:tcPr>
            <w:tcW w:w="3264" w:type="dxa"/>
            <w:vAlign w:val="center"/>
          </w:tcPr>
          <w:p w14:paraId="3E5DC05E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Ajith/client and analytics owner</w:t>
            </w:r>
          </w:p>
        </w:tc>
      </w:tr>
      <w:tr w:rsidR="00C76E14" w:rsidRPr="00C76E14" w14:paraId="65DBCB3C" w14:textId="77777777" w:rsidTr="0097172E">
        <w:trPr>
          <w:jc w:val="center"/>
        </w:trPr>
        <w:tc>
          <w:tcPr>
            <w:tcW w:w="3264" w:type="dxa"/>
            <w:vAlign w:val="center"/>
          </w:tcPr>
          <w:p w14:paraId="619AB10A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Operational local evidence</w:t>
            </w:r>
          </w:p>
        </w:tc>
        <w:tc>
          <w:tcPr>
            <w:tcW w:w="3264" w:type="dxa"/>
            <w:vAlign w:val="center"/>
          </w:tcPr>
          <w:p w14:paraId="0686A799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Confirm Melbourne service areas, travel rules, fees, access conditions, and genuine local proof for HP-002.</w:t>
            </w:r>
          </w:p>
        </w:tc>
        <w:tc>
          <w:tcPr>
            <w:tcW w:w="3264" w:type="dxa"/>
            <w:vAlign w:val="center"/>
          </w:tcPr>
          <w:p w14:paraId="76D85FB0" w14:textId="77777777" w:rsidR="00C76E14" w:rsidRPr="00C76E14" w:rsidRDefault="00C76E14" w:rsidP="0097172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76E14">
              <w:rPr>
                <w:rFonts w:asciiTheme="minorHAnsi" w:hAnsiTheme="minorHAnsi" w:cstheme="minorHAnsi"/>
                <w:sz w:val="20"/>
                <w:szCs w:val="20"/>
              </w:rPr>
              <w:t>ViriVR/client</w:t>
            </w:r>
          </w:p>
        </w:tc>
      </w:tr>
    </w:tbl>
    <w:p w14:paraId="3C10B701" w14:textId="77777777" w:rsidR="00C76E14" w:rsidRPr="00C76E14" w:rsidRDefault="00C76E14" w:rsidP="00C76E14">
      <w:pPr>
        <w:rPr>
          <w:rFonts w:asciiTheme="minorHAnsi" w:hAnsiTheme="minorHAnsi" w:cstheme="minorHAnsi"/>
          <w:sz w:val="20"/>
          <w:szCs w:val="20"/>
        </w:rPr>
      </w:pPr>
    </w:p>
    <w:p w14:paraId="68498504" w14:textId="77777777" w:rsidR="00C76E14" w:rsidRPr="0035717F" w:rsidRDefault="00C76E14" w:rsidP="00C76E14">
      <w:pPr>
        <w:pStyle w:val="Heading1"/>
        <w:rPr>
          <w:rFonts w:asciiTheme="minorHAnsi" w:hAnsiTheme="minorHAnsi" w:cstheme="minorHAnsi"/>
          <w:color w:val="auto"/>
          <w:sz w:val="22"/>
          <w:szCs w:val="22"/>
        </w:rPr>
      </w:pPr>
      <w:r w:rsidRPr="0035717F">
        <w:rPr>
          <w:rFonts w:asciiTheme="minorHAnsi" w:hAnsiTheme="minorHAnsi" w:cstheme="minorHAnsi"/>
          <w:color w:val="auto"/>
          <w:sz w:val="22"/>
          <w:szCs w:val="22"/>
        </w:rPr>
        <w:lastRenderedPageBreak/>
        <w:t>7. Questions for Ajith</w:t>
      </w:r>
    </w:p>
    <w:p w14:paraId="6780DA9E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r w:rsidRPr="00C76E14">
        <w:rPr>
          <w:rFonts w:asciiTheme="minorHAnsi" w:hAnsiTheme="minorHAnsi" w:cstheme="minorHAnsi"/>
          <w:sz w:val="20"/>
          <w:szCs w:val="20"/>
        </w:rPr>
        <w:t>Do HP-001 /house-party, HP-002 /house-party/</w:t>
      </w:r>
      <w:proofErr w:type="spellStart"/>
      <w:r w:rsidRPr="00C76E14">
        <w:rPr>
          <w:rFonts w:asciiTheme="minorHAnsi" w:hAnsiTheme="minorHAnsi" w:cstheme="minorHAnsi"/>
          <w:sz w:val="20"/>
          <w:szCs w:val="20"/>
        </w:rPr>
        <w:t>melbourne</w:t>
      </w:r>
      <w:proofErr w:type="spellEnd"/>
      <w:r w:rsidRPr="00C76E14">
        <w:rPr>
          <w:rFonts w:asciiTheme="minorHAnsi" w:hAnsiTheme="minorHAnsi" w:cstheme="minorHAnsi"/>
          <w:sz w:val="20"/>
          <w:szCs w:val="20"/>
        </w:rPr>
        <w:t>, and HP-003 /house-party-ideas formally replace the former concepts: VR Party at Home, VR Party at Your Venue, and Fully Hosted VR Party? If not, what is the agreed mapping?</w:t>
      </w:r>
    </w:p>
    <w:p w14:paraId="554FDC61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r w:rsidRPr="00C76E14">
        <w:rPr>
          <w:rFonts w:asciiTheme="minorHAnsi" w:hAnsiTheme="minorHAnsi" w:cstheme="minorHAnsi"/>
          <w:sz w:val="20"/>
          <w:szCs w:val="20"/>
        </w:rPr>
        <w:t>Which analytics, Search Console, CRM, form, booking, and tag-management access can be provided, and who is responsible for implementation?</w:t>
      </w:r>
    </w:p>
    <w:p w14:paraId="73C64E2D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r w:rsidRPr="00C76E14">
        <w:rPr>
          <w:rFonts w:asciiTheme="minorHAnsi" w:hAnsiTheme="minorHAnsi" w:cstheme="minorHAnsi"/>
          <w:sz w:val="20"/>
          <w:szCs w:val="20"/>
        </w:rPr>
        <w:t>What exact event or action created the historical 70 conversions on /</w:t>
      </w:r>
      <w:proofErr w:type="spellStart"/>
      <w:r w:rsidRPr="00C76E14">
        <w:rPr>
          <w:rFonts w:asciiTheme="minorHAnsi" w:hAnsiTheme="minorHAnsi" w:cstheme="minorHAnsi"/>
          <w:sz w:val="20"/>
          <w:szCs w:val="20"/>
        </w:rPr>
        <w:t>vr</w:t>
      </w:r>
      <w:proofErr w:type="spellEnd"/>
      <w:r w:rsidRPr="00C76E14">
        <w:rPr>
          <w:rFonts w:asciiTheme="minorHAnsi" w:hAnsiTheme="minorHAnsi" w:cstheme="minorHAnsi"/>
          <w:sz w:val="20"/>
          <w:szCs w:val="20"/>
        </w:rPr>
        <w:t>-party and 17 conversions on /</w:t>
      </w:r>
      <w:proofErr w:type="spellStart"/>
      <w:r w:rsidRPr="00C76E14">
        <w:rPr>
          <w:rFonts w:asciiTheme="minorHAnsi" w:hAnsiTheme="minorHAnsi" w:cstheme="minorHAnsi"/>
          <w:sz w:val="20"/>
          <w:szCs w:val="20"/>
        </w:rPr>
        <w:t>vr</w:t>
      </w:r>
      <w:proofErr w:type="spellEnd"/>
      <w:r w:rsidRPr="00C76E14">
        <w:rPr>
          <w:rFonts w:asciiTheme="minorHAnsi" w:hAnsiTheme="minorHAnsi" w:cstheme="minorHAnsi"/>
          <w:sz w:val="20"/>
          <w:szCs w:val="20"/>
        </w:rPr>
        <w:t>-party/birthday?</w:t>
      </w:r>
    </w:p>
    <w:p w14:paraId="19B2057E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r w:rsidRPr="00C76E14">
        <w:rPr>
          <w:rFonts w:asciiTheme="minorHAnsi" w:hAnsiTheme="minorHAnsi" w:cstheme="minorHAnsi"/>
          <w:sz w:val="20"/>
          <w:szCs w:val="20"/>
        </w:rPr>
        <w:t>What minimum information makes a House Party enquiry qualified?</w:t>
      </w:r>
    </w:p>
    <w:p w14:paraId="5D89710A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r w:rsidRPr="00C76E14">
        <w:rPr>
          <w:rFonts w:asciiTheme="minorHAnsi" w:hAnsiTheme="minorHAnsi" w:cstheme="minorHAnsi"/>
          <w:sz w:val="20"/>
          <w:szCs w:val="20"/>
        </w:rPr>
        <w:t>What reporting period should be used as the approved baseline?</w:t>
      </w:r>
    </w:p>
    <w:p w14:paraId="7CC2644C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r w:rsidRPr="00C76E14">
        <w:rPr>
          <w:rFonts w:asciiTheme="minorHAnsi" w:hAnsiTheme="minorHAnsi" w:cstheme="minorHAnsi"/>
          <w:sz w:val="20"/>
          <w:szCs w:val="20"/>
        </w:rPr>
        <w:t>Who signs off the technical tracking QA and launch readiness?</w:t>
      </w:r>
    </w:p>
    <w:p w14:paraId="488EA561" w14:textId="77777777" w:rsidR="00C76E14" w:rsidRPr="0035717F" w:rsidRDefault="00C76E14" w:rsidP="00C76E14">
      <w:pPr>
        <w:pStyle w:val="Heading1"/>
        <w:rPr>
          <w:rFonts w:asciiTheme="minorHAnsi" w:hAnsiTheme="minorHAnsi" w:cstheme="minorHAnsi"/>
          <w:color w:val="auto"/>
          <w:sz w:val="22"/>
          <w:szCs w:val="22"/>
        </w:rPr>
      </w:pPr>
      <w:r w:rsidRPr="0035717F">
        <w:rPr>
          <w:rFonts w:asciiTheme="minorHAnsi" w:hAnsiTheme="minorHAnsi" w:cstheme="minorHAnsi"/>
          <w:color w:val="auto"/>
          <w:sz w:val="22"/>
          <w:szCs w:val="22"/>
        </w:rPr>
        <w:t xml:space="preserve">8. Recommendations for </w:t>
      </w:r>
      <w:proofErr w:type="spellStart"/>
      <w:r w:rsidRPr="0035717F">
        <w:rPr>
          <w:rFonts w:asciiTheme="minorHAnsi" w:hAnsiTheme="minorHAnsi" w:cstheme="minorHAnsi"/>
          <w:color w:val="auto"/>
          <w:sz w:val="22"/>
          <w:szCs w:val="22"/>
        </w:rPr>
        <w:t>Jeron</w:t>
      </w:r>
      <w:proofErr w:type="spellEnd"/>
    </w:p>
    <w:p w14:paraId="236B5820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r w:rsidRPr="00C76E14">
        <w:rPr>
          <w:rFonts w:asciiTheme="minorHAnsi" w:hAnsiTheme="minorHAnsi" w:cstheme="minorHAnsi"/>
          <w:sz w:val="20"/>
          <w:szCs w:val="20"/>
        </w:rPr>
        <w:t>Use the updated ViriVR Three-Page Measurement Requirements document as the implementation reference for HP-001, HP-002, and HP-003.</w:t>
      </w:r>
    </w:p>
    <w:p w14:paraId="68208DF4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proofErr w:type="spellStart"/>
      <w:r w:rsidRPr="00C76E14">
        <w:rPr>
          <w:rFonts w:asciiTheme="minorHAnsi" w:hAnsiTheme="minorHAnsi" w:cstheme="minorHAnsi"/>
          <w:sz w:val="20"/>
          <w:szCs w:val="20"/>
        </w:rPr>
        <w:t>Prioritise</w:t>
      </w:r>
      <w:proofErr w:type="spellEnd"/>
      <w:r w:rsidRPr="00C76E14">
        <w:rPr>
          <w:rFonts w:asciiTheme="minorHAnsi" w:hAnsiTheme="minorHAnsi" w:cstheme="minorHAnsi"/>
          <w:sz w:val="20"/>
          <w:szCs w:val="20"/>
        </w:rPr>
        <w:t xml:space="preserve"> HP-001 for CRO: place “Check your date and postcode” prominently near the top and repeat it after service information and trust content.</w:t>
      </w:r>
    </w:p>
    <w:p w14:paraId="43F2AAAC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r w:rsidRPr="00C76E14">
        <w:rPr>
          <w:rFonts w:asciiTheme="minorHAnsi" w:hAnsiTheme="minorHAnsi" w:cstheme="minorHAnsi"/>
          <w:sz w:val="20"/>
          <w:szCs w:val="20"/>
        </w:rPr>
        <w:t>Ensure HP-003 directs suitable users to HP-001 through tracked contextual CTAs and internal links.</w:t>
      </w:r>
    </w:p>
    <w:p w14:paraId="4F8A6AF1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r w:rsidRPr="00C76E14">
        <w:rPr>
          <w:rFonts w:asciiTheme="minorHAnsi" w:hAnsiTheme="minorHAnsi" w:cstheme="minorHAnsi"/>
          <w:sz w:val="20"/>
          <w:szCs w:val="20"/>
        </w:rPr>
        <w:t>Do not publish unverified Melbourne service suburbs, travel fees, venue claims, pricing, or local testimonials on HP-002.</w:t>
      </w:r>
    </w:p>
    <w:p w14:paraId="0C356CF5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r w:rsidRPr="00C76E14">
        <w:rPr>
          <w:rFonts w:asciiTheme="minorHAnsi" w:hAnsiTheme="minorHAnsi" w:cstheme="minorHAnsi"/>
          <w:sz w:val="20"/>
          <w:szCs w:val="20"/>
        </w:rPr>
        <w:t xml:space="preserve">Configure and test events before publication; use GA4 </w:t>
      </w:r>
      <w:proofErr w:type="spellStart"/>
      <w:r w:rsidRPr="00C76E14">
        <w:rPr>
          <w:rFonts w:asciiTheme="minorHAnsi" w:hAnsiTheme="minorHAnsi" w:cstheme="minorHAnsi"/>
          <w:sz w:val="20"/>
          <w:szCs w:val="20"/>
        </w:rPr>
        <w:t>DebugView</w:t>
      </w:r>
      <w:proofErr w:type="spellEnd"/>
      <w:r w:rsidRPr="00C76E14">
        <w:rPr>
          <w:rFonts w:asciiTheme="minorHAnsi" w:hAnsiTheme="minorHAnsi" w:cstheme="minorHAnsi"/>
          <w:sz w:val="20"/>
          <w:szCs w:val="20"/>
        </w:rPr>
        <w:t xml:space="preserve"> or an equivalent QA process.</w:t>
      </w:r>
    </w:p>
    <w:p w14:paraId="78A19877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r w:rsidRPr="00C76E14">
        <w:rPr>
          <w:rFonts w:asciiTheme="minorHAnsi" w:hAnsiTheme="minorHAnsi" w:cstheme="minorHAnsi"/>
          <w:sz w:val="20"/>
          <w:szCs w:val="20"/>
        </w:rPr>
        <w:t>Validate the 70 and 17 historic configured conversions before using them as qualified-enquiry or booking baseline data.</w:t>
      </w:r>
    </w:p>
    <w:p w14:paraId="6A63068A" w14:textId="77777777" w:rsidR="00C76E14" w:rsidRPr="00C76E14" w:rsidRDefault="00C76E14" w:rsidP="00C76E14">
      <w:pPr>
        <w:pStyle w:val="ListBullet"/>
        <w:rPr>
          <w:rFonts w:asciiTheme="minorHAnsi" w:hAnsiTheme="minorHAnsi" w:cstheme="minorHAnsi"/>
          <w:sz w:val="20"/>
          <w:szCs w:val="20"/>
        </w:rPr>
      </w:pPr>
      <w:r w:rsidRPr="00C76E14">
        <w:rPr>
          <w:rFonts w:asciiTheme="minorHAnsi" w:hAnsiTheme="minorHAnsi" w:cstheme="minorHAnsi"/>
          <w:sz w:val="20"/>
          <w:szCs w:val="20"/>
        </w:rPr>
        <w:t>Maintain the privacy rule: never send names, email addresses, telephone numbers, addresses, payment data, or raw form answers to GA4.</w:t>
      </w:r>
    </w:p>
    <w:p w14:paraId="73FEB8F7" w14:textId="77777777" w:rsidR="00C76E14" w:rsidRPr="0035717F" w:rsidRDefault="00C76E14" w:rsidP="00C76E14">
      <w:pPr>
        <w:pStyle w:val="Heading1"/>
        <w:rPr>
          <w:rFonts w:asciiTheme="minorHAnsi" w:hAnsiTheme="minorHAnsi" w:cstheme="minorHAnsi"/>
          <w:color w:val="auto"/>
          <w:sz w:val="22"/>
          <w:szCs w:val="22"/>
        </w:rPr>
      </w:pPr>
      <w:r w:rsidRPr="0035717F">
        <w:rPr>
          <w:rFonts w:asciiTheme="minorHAnsi" w:hAnsiTheme="minorHAnsi" w:cstheme="minorHAnsi"/>
          <w:color w:val="auto"/>
          <w:sz w:val="22"/>
          <w:szCs w:val="22"/>
        </w:rPr>
        <w:t>9. Completion Note</w:t>
      </w:r>
    </w:p>
    <w:p w14:paraId="0E0ADDF6" w14:textId="77777777" w:rsidR="00C76E14" w:rsidRPr="00C76E14" w:rsidRDefault="00C76E14" w:rsidP="00C76E14">
      <w:pPr>
        <w:rPr>
          <w:rFonts w:asciiTheme="minorHAnsi" w:hAnsiTheme="minorHAnsi" w:cstheme="minorHAnsi"/>
          <w:sz w:val="20"/>
          <w:szCs w:val="20"/>
        </w:rPr>
      </w:pPr>
      <w:r w:rsidRPr="00C76E14">
        <w:rPr>
          <w:rFonts w:asciiTheme="minorHAnsi" w:hAnsiTheme="minorHAnsi" w:cstheme="minorHAnsi"/>
          <w:sz w:val="20"/>
          <w:szCs w:val="20"/>
        </w:rPr>
        <w:t xml:space="preserve">The three-page measurement review has been completed. The measurement framework, CTA and CRO requirements, engagement indicators, conversion hierarchy, tracking events, validation criteria, questions for Ajith, and recommendations for </w:t>
      </w:r>
      <w:proofErr w:type="spellStart"/>
      <w:r w:rsidRPr="00C76E14">
        <w:rPr>
          <w:rFonts w:asciiTheme="minorHAnsi" w:hAnsiTheme="minorHAnsi" w:cstheme="minorHAnsi"/>
          <w:sz w:val="20"/>
          <w:szCs w:val="20"/>
        </w:rPr>
        <w:t>Jeron</w:t>
      </w:r>
      <w:proofErr w:type="spellEnd"/>
      <w:r w:rsidRPr="00C76E14">
        <w:rPr>
          <w:rFonts w:asciiTheme="minorHAnsi" w:hAnsiTheme="minorHAnsi" w:cstheme="minorHAnsi"/>
          <w:sz w:val="20"/>
          <w:szCs w:val="20"/>
        </w:rPr>
        <w:t xml:space="preserve"> have been documented. The remaining items are approvals, data-access confirmations, technical implementation, and baseline validation tasks rather than uncompleted analysis work.</w:t>
      </w:r>
    </w:p>
    <w:p w14:paraId="51F1CE27" w14:textId="77777777" w:rsidR="00C76E14" w:rsidRPr="0035717F" w:rsidRDefault="00C76E14" w:rsidP="00C76E14">
      <w:pPr>
        <w:pStyle w:val="Heading1"/>
        <w:rPr>
          <w:rFonts w:asciiTheme="minorHAnsi" w:hAnsiTheme="minorHAnsi" w:cstheme="minorHAnsi"/>
          <w:color w:val="auto"/>
          <w:sz w:val="22"/>
          <w:szCs w:val="22"/>
        </w:rPr>
      </w:pPr>
      <w:r w:rsidRPr="0035717F">
        <w:rPr>
          <w:rFonts w:asciiTheme="minorHAnsi" w:hAnsiTheme="minorHAnsi" w:cstheme="minorHAnsi"/>
          <w:color w:val="auto"/>
          <w:sz w:val="22"/>
          <w:szCs w:val="22"/>
        </w:rPr>
        <w:t>10. Planner Handover Note</w:t>
      </w:r>
    </w:p>
    <w:p w14:paraId="4ACF115C" w14:textId="36EB95ED" w:rsidR="00335B59" w:rsidRPr="0035717F" w:rsidRDefault="0035717F" w:rsidP="0035717F">
      <w:pPr>
        <w:rPr>
          <w:rFonts w:asciiTheme="minorHAnsi" w:hAnsiTheme="minorHAnsi" w:cstheme="minorHAnsi"/>
          <w:sz w:val="18"/>
          <w:szCs w:val="18"/>
        </w:rPr>
      </w:pPr>
      <w:r w:rsidRPr="0035717F">
        <w:rPr>
          <w:rFonts w:asciiTheme="minorHAnsi" w:hAnsiTheme="minorHAnsi" w:cstheme="minorHAnsi"/>
          <w:sz w:val="20"/>
          <w:szCs w:val="20"/>
        </w:rPr>
        <w:t>Done:</w:t>
      </w:r>
      <w:r w:rsidR="00A926C9">
        <w:rPr>
          <w:rFonts w:asciiTheme="minorHAnsi" w:hAnsiTheme="minorHAnsi" w:cstheme="minorHAnsi"/>
          <w:sz w:val="20"/>
          <w:szCs w:val="20"/>
        </w:rPr>
        <w:t xml:space="preserve"> </w:t>
      </w:r>
      <w:r w:rsidRPr="0035717F">
        <w:rPr>
          <w:rFonts w:asciiTheme="minorHAnsi" w:hAnsiTheme="minorHAnsi" w:cstheme="minorHAnsi"/>
          <w:sz w:val="20"/>
          <w:szCs w:val="20"/>
        </w:rPr>
        <w:t>Reviewed HP-001, HP-002, and HP-003 to ensure each proposed page has measurable</w:t>
      </w:r>
      <w:r w:rsidR="00A926C9">
        <w:rPr>
          <w:rFonts w:asciiTheme="minorHAnsi" w:hAnsiTheme="minorHAnsi" w:cstheme="minorHAnsi"/>
          <w:sz w:val="20"/>
          <w:szCs w:val="20"/>
        </w:rPr>
        <w:t xml:space="preserve"> </w:t>
      </w:r>
      <w:r w:rsidRPr="0035717F">
        <w:rPr>
          <w:rFonts w:asciiTheme="minorHAnsi" w:hAnsiTheme="minorHAnsi" w:cstheme="minorHAnsi"/>
          <w:sz w:val="20"/>
          <w:szCs w:val="20"/>
        </w:rPr>
        <w:t>success criteria and appropriate tracking considerations. Checked CTA</w:t>
      </w:r>
      <w:r w:rsidR="00A926C9">
        <w:rPr>
          <w:rFonts w:asciiTheme="minorHAnsi" w:hAnsiTheme="minorHAnsi" w:cstheme="minorHAnsi"/>
          <w:sz w:val="20"/>
          <w:szCs w:val="20"/>
        </w:rPr>
        <w:t xml:space="preserve"> </w:t>
      </w:r>
      <w:r w:rsidRPr="0035717F">
        <w:rPr>
          <w:rFonts w:asciiTheme="minorHAnsi" w:hAnsiTheme="minorHAnsi" w:cstheme="minorHAnsi"/>
          <w:sz w:val="20"/>
          <w:szCs w:val="20"/>
        </w:rPr>
        <w:t>measurement requirements, engagement indicators, conversion indicators,</w:t>
      </w:r>
      <w:r w:rsidR="00A926C9">
        <w:rPr>
          <w:rFonts w:asciiTheme="minorHAnsi" w:hAnsiTheme="minorHAnsi" w:cstheme="minorHAnsi"/>
          <w:sz w:val="20"/>
          <w:szCs w:val="20"/>
        </w:rPr>
        <w:t xml:space="preserve"> </w:t>
      </w:r>
      <w:r w:rsidRPr="0035717F">
        <w:rPr>
          <w:rFonts w:asciiTheme="minorHAnsi" w:hAnsiTheme="minorHAnsi" w:cstheme="minorHAnsi"/>
          <w:sz w:val="20"/>
          <w:szCs w:val="20"/>
        </w:rPr>
        <w:t>Mirna’s relevant CRO/CTA recommendations, tracking gaps, validation criteria,</w:t>
      </w:r>
      <w:r w:rsidR="00A926C9">
        <w:rPr>
          <w:rFonts w:asciiTheme="minorHAnsi" w:hAnsiTheme="minorHAnsi" w:cstheme="minorHAnsi"/>
          <w:sz w:val="20"/>
          <w:szCs w:val="20"/>
        </w:rPr>
        <w:t xml:space="preserve"> </w:t>
      </w:r>
      <w:bookmarkStart w:id="0" w:name="_GoBack"/>
      <w:bookmarkEnd w:id="0"/>
      <w:r w:rsidRPr="0035717F">
        <w:rPr>
          <w:rFonts w:asciiTheme="minorHAnsi" w:hAnsiTheme="minorHAnsi" w:cstheme="minorHAnsi"/>
          <w:sz w:val="20"/>
          <w:szCs w:val="20"/>
        </w:rPr>
        <w:t xml:space="preserve">important analytics questions for Ajith, and recommendations for </w:t>
      </w:r>
      <w:proofErr w:type="spellStart"/>
      <w:r w:rsidRPr="0035717F">
        <w:rPr>
          <w:rFonts w:asciiTheme="minorHAnsi" w:hAnsiTheme="minorHAnsi" w:cstheme="minorHAnsi"/>
          <w:sz w:val="20"/>
          <w:szCs w:val="20"/>
        </w:rPr>
        <w:t>Jeron</w:t>
      </w:r>
      <w:proofErr w:type="spellEnd"/>
      <w:r w:rsidRPr="0035717F">
        <w:rPr>
          <w:rFonts w:asciiTheme="minorHAnsi" w:hAnsiTheme="minorHAnsi" w:cstheme="minorHAnsi"/>
          <w:sz w:val="20"/>
          <w:szCs w:val="20"/>
        </w:rPr>
        <w:t>.</w:t>
      </w:r>
      <w:r w:rsidRPr="0035717F">
        <w:rPr>
          <w:rFonts w:asciiTheme="minorHAnsi" w:hAnsiTheme="minorHAnsi" w:cstheme="minorHAnsi"/>
          <w:sz w:val="20"/>
          <w:szCs w:val="20"/>
        </w:rPr>
        <w:br/>
      </w:r>
      <w:r w:rsidRPr="0035717F">
        <w:rPr>
          <w:rFonts w:asciiTheme="minorHAnsi" w:hAnsiTheme="minorHAnsi" w:cstheme="minorHAnsi"/>
          <w:sz w:val="20"/>
          <w:szCs w:val="20"/>
        </w:rPr>
        <w:br/>
        <w:t>Deliverable: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35717F">
        <w:rPr>
          <w:rFonts w:asciiTheme="minorHAnsi" w:hAnsiTheme="minorHAnsi" w:cstheme="minorHAnsi"/>
          <w:sz w:val="20"/>
          <w:szCs w:val="20"/>
        </w:rPr>
        <w:t>ViriVR Three-Page Measurement &amp; Validation Recommendations.</w:t>
      </w:r>
      <w:r w:rsidRPr="0035717F">
        <w:rPr>
          <w:rFonts w:asciiTheme="minorHAnsi" w:hAnsiTheme="minorHAnsi" w:cstheme="minorHAnsi"/>
          <w:sz w:val="20"/>
          <w:szCs w:val="20"/>
        </w:rPr>
        <w:br/>
      </w:r>
      <w:r w:rsidRPr="0035717F">
        <w:rPr>
          <w:rFonts w:asciiTheme="minorHAnsi" w:hAnsiTheme="minorHAnsi" w:cstheme="minorHAnsi"/>
          <w:sz w:val="20"/>
          <w:szCs w:val="20"/>
        </w:rPr>
        <w:br/>
        <w:t>Notes for the next role: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35717F">
        <w:rPr>
          <w:rFonts w:asciiTheme="minorHAnsi" w:hAnsiTheme="minorHAnsi" w:cstheme="minorHAnsi"/>
          <w:sz w:val="20"/>
          <w:szCs w:val="20"/>
        </w:rPr>
        <w:t>Confirm page mapping with Ajith/client; obtain Mirna’s final approval; confirm</w:t>
      </w:r>
      <w:r w:rsidRPr="0035717F">
        <w:rPr>
          <w:rFonts w:asciiTheme="minorHAnsi" w:hAnsiTheme="minorHAnsi" w:cstheme="minorHAnsi"/>
          <w:sz w:val="20"/>
          <w:szCs w:val="20"/>
        </w:rPr>
        <w:br/>
        <w:t>analytics, Search Console, CRM/form, booking-platform, and tag-manager access;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35717F">
        <w:rPr>
          <w:rFonts w:asciiTheme="minorHAnsi" w:hAnsiTheme="minorHAnsi" w:cstheme="minorHAnsi"/>
          <w:sz w:val="20"/>
          <w:szCs w:val="20"/>
        </w:rPr>
        <w:t>validate legacy configured conversions; configure and QA the required events;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35717F">
        <w:rPr>
          <w:rFonts w:asciiTheme="minorHAnsi" w:hAnsiTheme="minorHAnsi" w:cstheme="minorHAnsi"/>
          <w:sz w:val="20"/>
          <w:szCs w:val="20"/>
        </w:rPr>
        <w:t>confirm the qualified-enquiry definition, form-abandonment rule,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35717F">
        <w:rPr>
          <w:rFonts w:asciiTheme="minorHAnsi" w:hAnsiTheme="minorHAnsi" w:cstheme="minorHAnsi"/>
          <w:sz w:val="20"/>
          <w:szCs w:val="20"/>
        </w:rPr>
        <w:t>baseline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35717F">
        <w:rPr>
          <w:rFonts w:asciiTheme="minorHAnsi" w:hAnsiTheme="minorHAnsi" w:cstheme="minorHAnsi"/>
          <w:sz w:val="20"/>
          <w:szCs w:val="20"/>
        </w:rPr>
        <w:t>period, and review date; and validate all Melbourne-specific operational claims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35717F">
        <w:rPr>
          <w:rFonts w:asciiTheme="minorHAnsi" w:hAnsiTheme="minorHAnsi" w:cstheme="minorHAnsi"/>
          <w:sz w:val="20"/>
          <w:szCs w:val="20"/>
        </w:rPr>
        <w:t>before HP-002 is published.</w:t>
      </w:r>
    </w:p>
    <w:sectPr w:rsidR="00335B59" w:rsidRPr="0035717F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6000000020004"/>
    <w:charset w:val="00"/>
    <w:family w:val="auto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4178F4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4D"/>
    <w:rsid w:val="00335B59"/>
    <w:rsid w:val="0035717F"/>
    <w:rsid w:val="00A926C9"/>
    <w:rsid w:val="00C76E14"/>
    <w:rsid w:val="00D9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98510"/>
  <w15:chartTrackingRefBased/>
  <w15:docId w15:val="{F0232FDB-5E8A-4723-8287-8672B117F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76E14"/>
    <w:pPr>
      <w:spacing w:after="200" w:line="276" w:lineRule="auto"/>
    </w:pPr>
    <w:rPr>
      <w:rFonts w:ascii="Arial" w:eastAsiaTheme="minorEastAsia" w:hAnsi="Arial"/>
      <w:sz w:val="21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6E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E14"/>
    <w:rPr>
      <w:rFonts w:asciiTheme="majorHAnsi" w:eastAsiaTheme="majorEastAsia" w:hAnsiTheme="majorHAnsi" w:cstheme="majorBidi"/>
      <w:b/>
      <w:bCs/>
      <w:color w:val="2F5496" w:themeColor="accent1" w:themeShade="BF"/>
      <w:sz w:val="24"/>
      <w:szCs w:val="28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C76E14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23E4F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76E14"/>
    <w:rPr>
      <w:rFonts w:asciiTheme="majorHAnsi" w:eastAsiaTheme="majorEastAsia" w:hAnsiTheme="majorHAnsi" w:cstheme="majorBidi"/>
      <w:b/>
      <w:color w:val="323E4F" w:themeColor="text2" w:themeShade="BF"/>
      <w:spacing w:val="5"/>
      <w:kern w:val="28"/>
      <w:sz w:val="32"/>
      <w:szCs w:val="52"/>
      <w:lang w:bidi="ar-SA"/>
    </w:rPr>
  </w:style>
  <w:style w:type="paragraph" w:styleId="ListBullet">
    <w:name w:val="List Bullet"/>
    <w:basedOn w:val="Normal"/>
    <w:uiPriority w:val="99"/>
    <w:unhideWhenUsed/>
    <w:rsid w:val="00C76E14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C76E14"/>
    <w:pPr>
      <w:spacing w:after="0" w:line="240" w:lineRule="auto"/>
    </w:pPr>
    <w:rPr>
      <w:rFonts w:eastAsiaTheme="minorEastAsia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1335</Words>
  <Characters>7610</Characters>
  <Application>Microsoft Office Word</Application>
  <DocSecurity>0</DocSecurity>
  <Lines>63</Lines>
  <Paragraphs>17</Paragraphs>
  <ScaleCrop>false</ScaleCrop>
  <Company/>
  <LinksUpToDate>false</LinksUpToDate>
  <CharactersWithSpaces>8928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Heng VONG</dc:creator>
  <cp:keywords/>
  <dc:description/>
  <cp:lastModifiedBy>Chung Heng VONG</cp:lastModifiedBy>
  <cp:revision>4</cp:revision>
  <dcterms:created xsi:type="dcterms:W3CDTF">2026-09-21T17:20:00Z</dcterms:created>
  <dcterms:modified xsi:type="dcterms:W3CDTF">2026-09-21T17:25:00Z</dcterms:modified>
</cp:coreProperties>
</file>