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Authority Manager AI Agent Review of HP 001 Pre Development Work</w:t>
      </w:r>
    </w:p>
    <w:p>
      <w:pPr>
        <w:pStyle w:val="Subtitle"/>
      </w:pPr>
      <w:r>
        <w:t>Observed performance, weaknesses and practices to retain</w:t>
      </w:r>
    </w:p>
    <w:tbl>
      <w:tblPr>
        <w:tblW w:type="auto" w:w="0"/>
        <w:jc w:val="center"/>
        <w:tblLayout w:type="fixed"/>
        <w:tblLook w:firstColumn="1" w:firstRow="1" w:lastColumn="0" w:lastRow="0" w:noHBand="0" w:noVBand="1" w:val="04A0"/>
      </w:tblPr>
      <w:tblGrid>
        <w:gridCol w:w="1944"/>
        <w:gridCol w:w="7949"/>
      </w:tblGrid>
      <w:tr>
        <w:trPr>
          <w:cantSplit/>
          <w:tblHeader w:val="true"/>
        </w:trPr>
        <w:tc>
          <w:tcPr>
            <w:tcW w:type="dxa" w:w="1944"/>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8"/>
              </w:rPr>
              <w:t>Field</w:t>
            </w:r>
          </w:p>
        </w:tc>
        <w:tc>
          <w:tcPr>
            <w:tcW w:type="dxa" w:w="7949"/>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8"/>
              </w:rPr>
              <w:t>Review record</w:t>
            </w:r>
          </w:p>
        </w:tc>
      </w:tr>
      <w:tr>
        <w:trPr>
          <w:cantSplit/>
        </w:trPr>
        <w:tc>
          <w:tcPr>
            <w:tcW w:type="dxa" w:w="1944"/>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Review subject</w:t>
            </w:r>
          </w:p>
        </w:tc>
        <w:tc>
          <w:tcPr>
            <w:tcW w:type="dxa" w:w="7949"/>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Authority Manager AI Agent output for HP-001 Pre Development</w:t>
            </w:r>
          </w:p>
        </w:tc>
      </w:tr>
      <w:tr>
        <w:trPr>
          <w:cantSplit/>
        </w:trPr>
        <w:tc>
          <w:tcPr>
            <w:tcW w:type="dxa" w:w="1944"/>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Prepared for</w:t>
            </w:r>
          </w:p>
        </w:tc>
        <w:tc>
          <w:tcPr>
            <w:tcW w:type="dxa" w:w="7949"/>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Human Authority Manager and relevant Viri VR project owners</w:t>
            </w:r>
          </w:p>
        </w:tc>
      </w:tr>
      <w:tr>
        <w:trPr>
          <w:cantSplit/>
        </w:trPr>
        <w:tc>
          <w:tcPr>
            <w:tcW w:type="dxa" w:w="1944"/>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Date and status</w:t>
            </w:r>
          </w:p>
        </w:tc>
        <w:tc>
          <w:tcPr>
            <w:tcW w:type="dxa" w:w="7949"/>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15 October 2026  |  Evaluation only  |  Version 1.0</w:t>
            </w:r>
          </w:p>
        </w:tc>
      </w:tr>
      <w:tr>
        <w:trPr>
          <w:cantSplit/>
        </w:trPr>
        <w:tc>
          <w:tcPr>
            <w:tcW w:type="dxa" w:w="1944"/>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Decision boundary</w:t>
            </w:r>
          </w:p>
        </w:tc>
        <w:tc>
          <w:tcPr>
            <w:tcW w:type="dxa" w:w="7949"/>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No agent instruction, HP-001 finding, specialist gate or publication approval is changed by this review.</w:t>
            </w:r>
          </w:p>
        </w:tc>
      </w:tr>
    </w:tbl>
    <w:p>
      <w:pPr>
        <w:spacing w:after="0"/>
      </w:pPr>
    </w:p>
    <w:p>
      <w:r>
        <w:t>The agent completed the HP-001 pre-development Authority handoff effectively enough for controlled content planning. It withheld many unverified operational claims, identified first-party proof needs and routed specialist work. The report is less effective as a reusable audit trail: its F-series findings are hard to retrieve as primary records, and one high-level service classification may be read as current operational verification. The broader manager role—reviewing three specialist agents, measuring KPIs and managing improvements—cannot be judged from this one report.</w:t>
      </w:r>
    </w:p>
    <w:p>
      <w:pPr>
        <w:pStyle w:val="Heading1"/>
      </w:pPr>
      <w:r>
        <w:t>1 Scope, sources and assessment method</w:t>
      </w:r>
    </w:p>
    <w:p>
      <w:r>
        <w:t>This review assesses observed HP-001 output against the supplied written Authority Manager specification and approved governance. It carries forward the completed HP-001 evaluation and adds bounded questions about the agent’s wider management workflow. A cited document is a review source; it is not proof that an unverified Viri VR operational statement is true.</w:t>
      </w:r>
    </w:p>
    <w:tbl>
      <w:tblPr>
        <w:tblW w:type="auto" w:w="0"/>
        <w:jc w:val="center"/>
        <w:tblLayout w:type="fixed"/>
        <w:tblLook w:firstColumn="1" w:firstRow="1" w:lastColumn="0" w:lastRow="0" w:noHBand="0" w:noVBand="1" w:val="04A0"/>
      </w:tblPr>
      <w:tblGrid>
        <w:gridCol w:w="792"/>
        <w:gridCol w:w="9101"/>
      </w:tblGrid>
      <w:tr>
        <w:trPr>
          <w:cantSplit/>
          <w:tblHeader w:val="true"/>
        </w:trPr>
        <w:tc>
          <w:tcPr>
            <w:tcW w:type="dxa" w:w="792"/>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8"/>
              </w:rPr>
              <w:t>Key</w:t>
            </w:r>
          </w:p>
        </w:tc>
        <w:tc>
          <w:tcPr>
            <w:tcW w:type="dxa" w:w="9101"/>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8"/>
              </w:rPr>
              <w:t>Source and useful location</w:t>
            </w:r>
          </w:p>
        </w:tc>
      </w:tr>
      <w:tr>
        <w:trPr>
          <w:cantSplit/>
        </w:trPr>
        <w:tc>
          <w:tcPr>
            <w:tcW w:type="dxa" w:w="79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R</w:t>
            </w:r>
          </w:p>
        </w:tc>
        <w:tc>
          <w:tcPr>
            <w:tcW w:type="dxa" w:w="9101"/>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HP-001 Pre Development Authority Manager Recommendation Report; §§1–8, its tables and source note.</w:t>
            </w:r>
          </w:p>
        </w:tc>
      </w:tr>
      <w:tr>
        <w:trPr>
          <w:cantSplit/>
        </w:trPr>
        <w:tc>
          <w:tcPr>
            <w:tcW w:type="dxa" w:w="792"/>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E</w:t>
            </w:r>
          </w:p>
        </w:tc>
        <w:tc>
          <w:tcPr>
            <w:tcW w:type="dxa" w:w="9101"/>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Authority Manager AI Agent Evaluation — HP-001 Review, 15 October 2026; §§2–5.</w:t>
            </w:r>
          </w:p>
        </w:tc>
      </w:tr>
      <w:tr>
        <w:trPr>
          <w:cantSplit/>
        </w:trPr>
        <w:tc>
          <w:tcPr>
            <w:tcW w:type="dxa" w:w="79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S</w:t>
            </w:r>
          </w:p>
        </w:tc>
        <w:tc>
          <w:tcPr>
            <w:tcW w:type="dxa" w:w="9101"/>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Authority Manager Agent Specification, updated 16 September 2026; revised Workflows 1–3, §9 and KPI table.</w:t>
            </w:r>
          </w:p>
        </w:tc>
      </w:tr>
      <w:tr>
        <w:trPr>
          <w:cantSplit/>
        </w:trPr>
        <w:tc>
          <w:tcPr>
            <w:tcW w:type="dxa" w:w="792"/>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H</w:t>
            </w:r>
          </w:p>
        </w:tc>
        <w:tc>
          <w:tcPr>
            <w:tcW w:type="dxa" w:w="9101"/>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Digital Marketing Centre of Excellence Graduate Handbook, neutral edition v1.0, August 2026; pp. 11–13, 16 and 24.</w:t>
            </w:r>
          </w:p>
        </w:tc>
      </w:tr>
      <w:tr>
        <w:trPr>
          <w:cantSplit/>
        </w:trPr>
        <w:tc>
          <w:tcPr>
            <w:tcW w:type="dxa" w:w="79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C</w:t>
            </w:r>
          </w:p>
        </w:tc>
        <w:tc>
          <w:tcPr>
            <w:tcW w:type="dxa" w:w="9101"/>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Authority Manager Audit Criteria Framework v1, 16 September 2026; AM-01–AM-14, P-AM-01–P-AM-06 and §7.</w:t>
            </w:r>
          </w:p>
        </w:tc>
      </w:tr>
    </w:tbl>
    <w:p>
      <w:pPr>
        <w:spacing w:after="0"/>
      </w:pPr>
    </w:p>
    <w:p>
      <w:r>
        <w:t>Classification used below: a confirmed output weakness is visible in R; a potential instruction-design weakness is an ambiguity or missing explicit step in S and is not proof of a defective live prompt; a source limitation is an input this review could not verify; a proposed improvement has not been implemented. High and Medium impact labels are qualitative review judgments, not approved Viri VR severity levels or escalation thresholds (C AM-14 and P-AM-02/P-AM-06).</w:t>
      </w:r>
    </w:p>
    <w:p>
      <w:pPr>
        <w:pStyle w:val="Heading1"/>
      </w:pPr>
      <w:r>
        <w:t>2 Successful Authority Manager patterns to retain</w:t>
      </w:r>
    </w:p>
    <w:p>
      <w:pPr>
        <w:keepNext/>
      </w:pPr>
      <w:r>
        <w:t>These practices were demonstrated in HP-001 and should remain part of future Authority assessments, subject to the evidence available for each new page.</w:t>
      </w:r>
    </w:p>
    <w:tbl>
      <w:tblPr>
        <w:tblW w:type="auto" w:w="0"/>
        <w:jc w:val="center"/>
        <w:tblLayout w:type="fixed"/>
        <w:tblLook w:firstColumn="1" w:firstRow="1" w:lastColumn="0" w:lastRow="0" w:noHBand="0" w:noVBand="1" w:val="04A0"/>
      </w:tblPr>
      <w:tblGrid>
        <w:gridCol w:w="2160"/>
        <w:gridCol w:w="3931"/>
        <w:gridCol w:w="3802"/>
      </w:tblGrid>
      <w:tr>
        <w:trPr>
          <w:cantSplit/>
          <w:tblHeader w:val="true"/>
        </w:trPr>
        <w:tc>
          <w:tcPr>
            <w:tcW w:type="dxa" w:w="2160"/>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8"/>
              </w:rPr>
              <w:t>Practice</w:t>
            </w:r>
          </w:p>
        </w:tc>
        <w:tc>
          <w:tcPr>
            <w:tcW w:type="dxa" w:w="3931"/>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8"/>
              </w:rPr>
              <w:t>Observed evidence and value</w:t>
            </w:r>
          </w:p>
        </w:tc>
        <w:tc>
          <w:tcPr>
            <w:tcW w:type="dxa" w:w="3802"/>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8"/>
              </w:rPr>
              <w:t>Retain in future work</w:t>
            </w:r>
          </w:p>
        </w:tc>
      </w:tr>
      <w:tr>
        <w:trPr>
          <w:cantSplit/>
        </w:trPr>
        <w:tc>
          <w:tcPr>
            <w:tcW w:type="dxa" w:w="2160"/>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Conditional development handoff</w:t>
            </w:r>
          </w:p>
        </w:tc>
        <w:tc>
          <w:tcPr>
            <w:tcW w:type="dxa" w:w="3931"/>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R §§2 and 8 allow structural content work while holding factual wording and explicitly excluding publication approval.</w:t>
            </w:r>
          </w:p>
        </w:tc>
        <w:tc>
          <w:tcPr>
            <w:tcW w:type="dxa" w:w="380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Give the next team a usable status with the conditions, open evidence and human gate stated plainly.</w:t>
            </w:r>
          </w:p>
        </w:tc>
      </w:tr>
      <w:tr>
        <w:trPr>
          <w:cantSplit/>
        </w:trPr>
        <w:tc>
          <w:tcPr>
            <w:tcW w:type="dxa" w:w="2160"/>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Claim-to-evidence discipline</w:t>
            </w:r>
          </w:p>
        </w:tc>
        <w:tc>
          <w:tcPr>
            <w:tcW w:type="dxa" w:w="3931"/>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R §5 lists package, capacity, safety, technical, pricing, service-area and proof claims with evidence needs and owners.</w:t>
            </w:r>
          </w:p>
        </w:tc>
        <w:tc>
          <w:tcPr>
            <w:tcW w:type="dxa" w:w="3802"/>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Continue claim-matched proof checks and withhold material assertions whose approved evidence is missing.</w:t>
            </w:r>
          </w:p>
        </w:tc>
      </w:tr>
      <w:tr>
        <w:trPr>
          <w:cantSplit/>
        </w:trPr>
        <w:tc>
          <w:tcPr>
            <w:tcW w:type="dxa" w:w="2160"/>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Planning and search boundaries</w:t>
            </w:r>
          </w:p>
        </w:tc>
        <w:tc>
          <w:tcPr>
            <w:tcW w:type="dxa" w:w="3931"/>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R §4 marks framework-only keyword variants as proposed and does not use keyword observations as service proof.</w:t>
            </w:r>
          </w:p>
        </w:tc>
        <w:tc>
          <w:tcPr>
            <w:tcW w:type="dxa" w:w="380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Label search and architecture inputs as planning support; keep factual service validation separate.</w:t>
            </w:r>
          </w:p>
        </w:tc>
      </w:tr>
      <w:tr>
        <w:trPr>
          <w:cantSplit/>
        </w:trPr>
        <w:tc>
          <w:tcPr>
            <w:tcW w:type="dxa" w:w="2160"/>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Page ownership and local boundary</w:t>
            </w:r>
          </w:p>
        </w:tc>
        <w:tc>
          <w:tcPr>
            <w:tcW w:type="dxa" w:w="3931"/>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R §§4–6 keeps HP-001 on its at-home role, routes Melbourne eligibility detail to HP-002 and flags cross-page overlap for Strategy/Search.</w:t>
            </w:r>
          </w:p>
        </w:tc>
        <w:tc>
          <w:tcPr>
            <w:tcW w:type="dxa" w:w="3802"/>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Identify the page owner, refer overlapping topics to the right page and hold unresolved positioning decisions.</w:t>
            </w:r>
          </w:p>
        </w:tc>
      </w:tr>
      <w:tr>
        <w:trPr>
          <w:cantSplit/>
        </w:trPr>
        <w:tc>
          <w:tcPr>
            <w:tcW w:type="dxa" w:w="2160"/>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First-party proof and specialist routing</w:t>
            </w:r>
          </w:p>
        </w:tc>
        <w:tc>
          <w:tcPr>
            <w:tcW w:type="dxa" w:w="3931"/>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R §3 R-05–R-08 and §6 O-05/O-09 require provenance and permission, and assign deeper brand, link or PR analysis to specialists.</w:t>
            </w:r>
          </w:p>
        </w:tc>
        <w:tc>
          <w:tcPr>
            <w:tcW w:type="dxa" w:w="380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Develop proof opportunities only after source rights and factual basis are established; do not treat specialist assessment or outcomes as complete.</w:t>
            </w:r>
          </w:p>
        </w:tc>
      </w:tr>
    </w:tbl>
    <w:p>
      <w:pPr>
        <w:spacing w:after="0"/>
      </w:pPr>
    </w:p>
    <w:p>
      <w:r>
        <w:t>R also resists invented prices, equipment quantities, safety assurances, customer evidence and performance guarantees. “Ready for Content Development with Conditions” is a development handoff status. It is not a completed-page audit rating or publication approval.</w:t>
      </w:r>
    </w:p>
    <w:p>
      <w:pPr>
        <w:pStyle w:val="Heading1"/>
      </w:pPr>
      <w:r>
        <w:t>3 Confirmed weaknesses in the HP-001 output</w:t>
      </w:r>
    </w:p>
    <w:p>
      <w:r>
        <w:t>O1–O5 concern the document’s reporting and classification. They do not establish that any unverified business claim is false. O5 may partly reflect inputs that were unavailable to the agent.</w:t>
      </w:r>
    </w:p>
    <w:tbl>
      <w:tblPr>
        <w:tblW w:type="auto" w:w="0"/>
        <w:jc w:val="center"/>
        <w:tblLayout w:type="fixed"/>
        <w:tblLook w:firstColumn="1" w:firstRow="1" w:lastColumn="0" w:lastRow="0" w:noHBand="0" w:noVBand="1" w:val="04A0"/>
      </w:tblPr>
      <w:tblGrid>
        <w:gridCol w:w="2059"/>
        <w:gridCol w:w="4392"/>
        <w:gridCol w:w="3442"/>
      </w:tblGrid>
      <w:tr>
        <w:trPr>
          <w:cantSplit/>
          <w:tblHeader w:val="true"/>
        </w:trPr>
        <w:tc>
          <w:tcPr>
            <w:tcW w:type="dxa" w:w="2059"/>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7"/>
              </w:rPr>
              <w:t>ID and observed weakness</w:t>
            </w:r>
          </w:p>
        </w:tc>
        <w:tc>
          <w:tcPr>
            <w:tcW w:type="dxa" w:w="4392"/>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7"/>
              </w:rPr>
              <w:t>Evidence and why it matters</w:t>
            </w:r>
          </w:p>
        </w:tc>
        <w:tc>
          <w:tcPr>
            <w:tcW w:type="dxa" w:w="3442"/>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7"/>
              </w:rPr>
              <w:t>Provisional impact and treatment</w:t>
            </w:r>
          </w:p>
        </w:tc>
      </w:tr>
      <w:tr>
        <w:trPr>
          <w:cantSplit/>
        </w:trPr>
        <w:tc>
          <w:tcPr>
            <w:tcW w:type="dxa" w:w="2059"/>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7"/>
              </w:rPr>
              <w:t>O1  Finding trail is not self-contained</w:t>
            </w:r>
          </w:p>
        </w:tc>
        <w:tc>
          <w:tcPr>
            <w:tcW w:type="dxa" w:w="439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R §§3–8 cite F-01–F-19 without a primary F-series register or a precise pointer to its controlled record. The source note lists documents, not each finding’s evidence and status. C AM-04 and §7 call for traceable source/version and record fields.</w:t>
            </w:r>
          </w:p>
        </w:tc>
        <w:tc>
          <w:tcPr>
            <w:tcW w:type="dxa" w:w="344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High for auditability. Give each finding one primary record with source location/version, status, required action and owner; reference its ID elsewhere.</w:t>
            </w:r>
          </w:p>
        </w:tc>
      </w:tr>
      <w:tr>
        <w:trPr>
          <w:cantSplit/>
        </w:trPr>
        <w:tc>
          <w:tcPr>
            <w:tcW w:type="dxa" w:w="2059"/>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7"/>
              </w:rPr>
              <w:t>O2  Planning support could imply service verification</w:t>
            </w:r>
          </w:p>
        </w:tc>
        <w:tc>
          <w:tcPr>
            <w:tcW w:type="dxa" w:w="4392"/>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R §5 calls “Hosted / fully hosted at-home service” supported at a high level while requesting current operational evidence; §7 puts the concept under “Can Use Now.” The approved page proposition does not itself verify present fulfilment (E §3; C AM-04–05).</w:t>
            </w:r>
          </w:p>
        </w:tc>
        <w:tc>
          <w:tcPr>
            <w:tcW w:type="dxa" w:w="3442"/>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High for claim control. Mark the page proposition supported planning; hold present-tense fulfilment details as evidence-required until current owner evidence is recorded.</w:t>
            </w:r>
          </w:p>
        </w:tc>
      </w:tr>
      <w:tr>
        <w:trPr>
          <w:cantSplit/>
        </w:trPr>
        <w:tc>
          <w:tcPr>
            <w:tcW w:type="dxa" w:w="2059"/>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7"/>
              </w:rPr>
              <w:t>O3  Actions are repeated</w:t>
            </w:r>
          </w:p>
        </w:tc>
        <w:tc>
          <w:tcPr>
            <w:tcW w:type="dxa" w:w="439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The package/equipment F-05 restriction appears in R §3 R-02, several §5 rows, §6 O-01, §7 and §8. Repeated full actions can drift apart during revision (E §3).</w:t>
            </w:r>
          </w:p>
        </w:tc>
        <w:tc>
          <w:tcPr>
            <w:tcW w:type="dxa" w:w="344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Medium for maintainability. Record full evidence/action/owner treatment once; summaries should cite that record and state only the effect on their reader.</w:t>
            </w:r>
          </w:p>
        </w:tc>
      </w:tr>
      <w:tr>
        <w:trPr>
          <w:cantSplit/>
        </w:trPr>
        <w:tc>
          <w:tcPr>
            <w:tcW w:type="dxa" w:w="2059"/>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7"/>
              </w:rPr>
              <w:t>O4  Priority labels lack a qualifier</w:t>
            </w:r>
          </w:p>
        </w:tc>
        <w:tc>
          <w:tcPr>
            <w:tcW w:type="dxa" w:w="4392"/>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R §3 uses High and Medium-High. S Workflow 2 step 9 permits prioritisation, while C P-AM-02/P-AM-06 leave formal severity levels and a risk matrix unapproved.</w:t>
            </w:r>
          </w:p>
        </w:tc>
        <w:tc>
          <w:tcPr>
            <w:tcW w:type="dxa" w:w="3442"/>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Medium for governance. State that labels are provisional review priorities with a qualitative basis, not binding severity gates.</w:t>
            </w:r>
          </w:p>
        </w:tc>
      </w:tr>
      <w:tr>
        <w:trPr>
          <w:cantSplit/>
        </w:trPr>
        <w:tc>
          <w:tcPr>
            <w:tcW w:type="dxa" w:w="2059"/>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7"/>
              </w:rPr>
              <w:t>O5  Readiness and accountability trail is incomplete</w:t>
            </w:r>
          </w:p>
        </w:tc>
        <w:tc>
          <w:tcPr>
            <w:tcW w:type="dxa" w:w="439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R cover names a recipient and reviewer role, but §§1/7 do not provide a compact status for the accountable human, due date, task-specific acceptance criteria and permissions. H pp. 11 and 16 and S Workflow 1 step 3 require readiness/accountability controls.</w:t>
            </w:r>
          </w:p>
        </w:tc>
        <w:tc>
          <w:tcPr>
            <w:tcW w:type="dxa" w:w="344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Medium to high for handoff readiness. Record each field as confirmed, not supplied or awaiting decision. Some values may not have been provided; do not invent them.</w:t>
            </w:r>
          </w:p>
        </w:tc>
      </w:tr>
    </w:tbl>
    <w:p>
      <w:pPr>
        <w:spacing w:after="0"/>
      </w:pPr>
    </w:p>
    <w:p>
      <w:r>
        <w:t>R addresses much of C AM-01–AM-14 in substance. A full completed-page criterion scorecard was outside the pre-development assignment, so its absence is not scored as a failure. A compact applicability map would make later reviews more repeatable (E §3).</w:t>
      </w:r>
    </w:p>
    <w:p>
      <w:pPr>
        <w:pStyle w:val="Heading1"/>
      </w:pPr>
      <w:r>
        <w:t>4 Potential instruction-design and operating risks</w:t>
      </w:r>
    </w:p>
    <w:p>
      <w:r>
        <w:t>The points in this section arise from the supplied written S, H and C. The actual live agent prompt and configuration were not supplied. “Potential” means a control is not explicit or remains unresolved in the reviewed materials; it does not show that the operating agent failed. D1–D4 carry forward E; D5–D9 extend the review to the wider management role.</w:t>
      </w:r>
    </w:p>
    <w:p>
      <w:pPr>
        <w:pStyle w:val="Heading2"/>
      </w:pPr>
      <w:r>
        <w:t>4.1 Existing potential design contributions</w:t>
      </w:r>
    </w:p>
    <w:tbl>
      <w:tblPr>
        <w:tblW w:type="auto" w:w="0"/>
        <w:jc w:val="center"/>
        <w:tblLayout w:type="fixed"/>
        <w:tblLook w:firstColumn="1" w:firstRow="1" w:lastColumn="0" w:lastRow="0" w:noHBand="0" w:noVBand="1" w:val="04A0"/>
      </w:tblPr>
      <w:tblGrid>
        <w:gridCol w:w="2232"/>
        <w:gridCol w:w="4565"/>
        <w:gridCol w:w="3096"/>
      </w:tblGrid>
      <w:tr>
        <w:trPr>
          <w:cantSplit/>
          <w:tblHeader w:val="true"/>
        </w:trPr>
        <w:tc>
          <w:tcPr>
            <w:tcW w:type="dxa" w:w="2232"/>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8"/>
              </w:rPr>
              <w:t>ID and topic</w:t>
            </w:r>
          </w:p>
        </w:tc>
        <w:tc>
          <w:tcPr>
            <w:tcW w:type="dxa" w:w="4565"/>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8"/>
              </w:rPr>
              <w:t>Written-source basis</w:t>
            </w:r>
          </w:p>
        </w:tc>
        <w:tc>
          <w:tcPr>
            <w:tcW w:type="dxa" w:w="3096"/>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8"/>
              </w:rPr>
              <w:t>Possible effect and provisional impact</w:t>
            </w:r>
          </w:p>
        </w:tc>
      </w:tr>
      <w:tr>
        <w:trPr>
          <w:cantSplit/>
        </w:trPr>
        <w:tc>
          <w:tcPr>
            <w:tcW w:type="dxa" w:w="223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D1  Pre-development route</w:t>
            </w:r>
          </w:p>
        </w:tc>
        <w:tc>
          <w:tcPr>
            <w:tcW w:type="dxa" w:w="4565"/>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S Workflow 2 begins with completed content, whereas HP-001 required an assessment before development. R adapted reasonably (E §4).</w:t>
            </w:r>
          </w:p>
        </w:tc>
        <w:tc>
          <w:tcPr>
            <w:tcW w:type="dxa" w:w="3096"/>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Medium. A planned page could be assessed with a completed-page verdict unless a separate pre-development route is made explicit.</w:t>
            </w:r>
          </w:p>
        </w:tc>
      </w:tr>
      <w:tr>
        <w:trPr>
          <w:cantSplit/>
        </w:trPr>
        <w:tc>
          <w:tcPr>
            <w:tcW w:type="dxa" w:w="2232"/>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D2  Primary finding record</w:t>
            </w:r>
          </w:p>
        </w:tc>
        <w:tc>
          <w:tcPr>
            <w:tcW w:type="dxa" w:w="4565"/>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S requires provenance and broad report contents but does not define a single pre-development finding schema. C §7 supplies audit fields; the project’s record-once rule and O1/O3 call for a primary record (E §4).</w:t>
            </w:r>
          </w:p>
        </w:tc>
        <w:tc>
          <w:tcPr>
            <w:tcW w:type="dxa" w:w="3096"/>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Medium to high. Traceability and revision control depend on consistent fields and cross-references.</w:t>
            </w:r>
          </w:p>
        </w:tc>
      </w:tr>
      <w:tr>
        <w:trPr>
          <w:cantSplit/>
        </w:trPr>
        <w:tc>
          <w:tcPr>
            <w:tcW w:type="dxa" w:w="223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D3  Planning versus operational fact</w:t>
            </w:r>
          </w:p>
        </w:tc>
        <w:tc>
          <w:tcPr>
            <w:tcW w:type="dxa" w:w="4565"/>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S Workflow 2 step 3 requires approved sources but does not expressly distinguish an approved content architecture from proof of current fulfilment. The HP-001 task did require that distinction (E §4).</w:t>
            </w:r>
          </w:p>
        </w:tc>
        <w:tc>
          <w:tcPr>
            <w:tcW w:type="dxa" w:w="3096"/>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Medium to high. O2 is chiefly an execution issue; a clearer instruction could reduce recurrence.</w:t>
            </w:r>
          </w:p>
        </w:tc>
      </w:tr>
      <w:tr>
        <w:trPr>
          <w:cantSplit/>
        </w:trPr>
        <w:tc>
          <w:tcPr>
            <w:tcW w:type="dxa" w:w="2232"/>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D4  Decision rights and thresholds</w:t>
            </w:r>
          </w:p>
        </w:tc>
        <w:tc>
          <w:tcPr>
            <w:tcW w:type="dxa" w:w="4565"/>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S Workflow 3 distinguishes routine progression from human escalation, while §9 asks what the agent may change and what escalation threshold applies. C P-AM-02/P-AM-06 leave severity/risk rules unapproved (E §4).</w:t>
            </w:r>
          </w:p>
        </w:tc>
        <w:tc>
          <w:tcPr>
            <w:tcW w:type="dxa" w:w="3096"/>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High for a future approval decision. R itself did not claim publication authority; the permitted routine actions and human approver need definition.</w:t>
            </w:r>
          </w:p>
        </w:tc>
      </w:tr>
    </w:tbl>
    <w:p>
      <w:pPr>
        <w:spacing w:after="0"/>
      </w:pPr>
    </w:p>
    <w:p>
      <w:pPr>
        <w:pStyle w:val="Heading2"/>
      </w:pPr>
      <w:r>
        <w:t>4.2 Additional management risks to check</w:t>
      </w:r>
    </w:p>
    <w:tbl>
      <w:tblPr>
        <w:tblW w:type="auto" w:w="0"/>
        <w:jc w:val="center"/>
        <w:tblLayout w:type="fixed"/>
        <w:tblLook w:firstColumn="1" w:firstRow="1" w:lastColumn="0" w:lastRow="0" w:noHBand="0" w:noVBand="1" w:val="04A0"/>
      </w:tblPr>
      <w:tblGrid>
        <w:gridCol w:w="2232"/>
        <w:gridCol w:w="4565"/>
        <w:gridCol w:w="3096"/>
      </w:tblGrid>
      <w:tr>
        <w:trPr>
          <w:cantSplit/>
          <w:tblHeader w:val="true"/>
        </w:trPr>
        <w:tc>
          <w:tcPr>
            <w:tcW w:type="dxa" w:w="2232"/>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7"/>
              </w:rPr>
              <w:t>ID and topic</w:t>
            </w:r>
          </w:p>
        </w:tc>
        <w:tc>
          <w:tcPr>
            <w:tcW w:type="dxa" w:w="4565"/>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7"/>
              </w:rPr>
              <w:t>Written-source basis</w:t>
            </w:r>
          </w:p>
        </w:tc>
        <w:tc>
          <w:tcPr>
            <w:tcW w:type="dxa" w:w="3096"/>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7"/>
              </w:rPr>
              <w:t>Possible effect and provisional impact</w:t>
            </w:r>
          </w:p>
        </w:tc>
      </w:tr>
      <w:tr>
        <w:trPr>
          <w:cantSplit/>
        </w:trPr>
        <w:tc>
          <w:tcPr>
            <w:tcW w:type="dxa" w:w="223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7"/>
              </w:rPr>
              <w:t>D5  Specialist deliverable gate</w:t>
            </w:r>
          </w:p>
        </w:tc>
        <w:tc>
          <w:tcPr>
            <w:tcW w:type="dxa" w:w="4565"/>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S Workflow 2 reviews completed content, and Workflow 3 begins by consolidating “reviewed” specialist outputs. An individual pass/rework check for each specialist deliverable is not clearly sequenced. H p. 24 calls for manager review against departmental and enterprise gates.</w:t>
            </w:r>
          </w:p>
        </w:tc>
        <w:tc>
          <w:tcPr>
            <w:tcW w:type="dxa" w:w="3096"/>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High for managing the three specialists. Weak work could enter a consolidated recommendation before its own acceptance criteria are checked. R demonstrates routing, not this gate in operation.</w:t>
            </w:r>
          </w:p>
        </w:tc>
      </w:tr>
      <w:tr>
        <w:trPr>
          <w:cantSplit/>
        </w:trPr>
        <w:tc>
          <w:tcPr>
            <w:tcW w:type="dxa" w:w="2232"/>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7"/>
              </w:rPr>
              <w:t>D6  KPI measurement design</w:t>
            </w:r>
          </w:p>
        </w:tc>
        <w:tc>
          <w:tcPr>
            <w:tcW w:type="dxa" w:w="4565"/>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S KPI table calls for individual agent and before/after improvement measures, but §9 leaves baseline timeframe unresolved. H pp. 12 and 24 require baseline, target, owner, cadence and departmental KPIs.</w:t>
            </w:r>
          </w:p>
        </w:tc>
        <w:tc>
          <w:tcPr>
            <w:tcW w:type="dxa" w:w="3096"/>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High for performance management; limited effect on a single claim check. Without approved specialist targets and a measurement design, improvement or contribution cannot be established reliably.</w:t>
            </w:r>
          </w:p>
        </w:tc>
      </w:tr>
      <w:tr>
        <w:trPr>
          <w:cantSplit/>
        </w:trPr>
        <w:tc>
          <w:tcPr>
            <w:tcW w:type="dxa" w:w="223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7"/>
              </w:rPr>
              <w:t>D7  Agent version and knowledge pack</w:t>
            </w:r>
          </w:p>
        </w:tc>
        <w:tc>
          <w:tcPr>
            <w:tcW w:type="dxa" w:w="4565"/>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H pp. 12 and 24 require agent registry/version and selection of the approved knowledge pack. S original generic workflow mentions approved knowledge and versioned handoffs; the revised workflows do not make selection and recording a distinct step.</w:t>
            </w:r>
          </w:p>
        </w:tc>
        <w:tc>
          <w:tcPr>
            <w:tcW w:type="dxa" w:w="3096"/>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Medium for repeatability. Comparing outputs made under different versions or source packs becomes difficult without a recorded configuration.</w:t>
            </w:r>
          </w:p>
        </w:tc>
      </w:tr>
      <w:tr>
        <w:trPr>
          <w:cantSplit/>
        </w:trPr>
        <w:tc>
          <w:tcPr>
            <w:tcW w:type="dxa" w:w="2232"/>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7"/>
              </w:rPr>
              <w:t>D8  Source freshness trigger</w:t>
            </w:r>
          </w:p>
        </w:tc>
        <w:tc>
          <w:tcPr>
            <w:tcW w:type="dxa" w:w="4565"/>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H pp. 12–13 requires source review dates/freshness and escalation for stale sources. S checks approved sources and conflicts; C AM-04 asks for source version/date where applicable. No explicit recheck trigger for mutable operational facts appears in the revised workflow.</w:t>
            </w:r>
          </w:p>
        </w:tc>
        <w:tc>
          <w:tcPr>
            <w:tcW w:type="dxa" w:w="3096"/>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High for HP-002 local facts and medium more broadly. A formerly approved coverage, fee or availability record might be used after it changes. This is a workflow risk, not a finding that a current claim is stale.</w:t>
            </w:r>
          </w:p>
        </w:tc>
      </w:tr>
      <w:tr>
        <w:trPr>
          <w:cantSplit/>
        </w:trPr>
        <w:tc>
          <w:tcPr>
            <w:tcW w:type="dxa" w:w="2232"/>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7"/>
              </w:rPr>
              <w:t>D9  Improvement closure</w:t>
            </w:r>
          </w:p>
        </w:tc>
        <w:tc>
          <w:tcPr>
            <w:tcW w:type="dxa" w:w="4565"/>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S key responsibilities require an improvement backlog and Workflow 3 records corrective outcomes. H pp. 12 and 24 calls for defect review, tests, version control and improvement. A step-by-step retest and closure check is not specified in the revised workflows.</w:t>
            </w:r>
          </w:p>
        </w:tc>
        <w:tc>
          <w:tcPr>
            <w:tcW w:type="dxa" w:w="3096"/>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Medium for sustained quality. A reported defect can recur unless the change is tested, released under approval and reviewed for recurrence.</w:t>
            </w:r>
          </w:p>
        </w:tc>
      </w:tr>
    </w:tbl>
    <w:p>
      <w:pPr>
        <w:spacing w:after="0"/>
      </w:pPr>
    </w:p>
    <w:p>
      <w:pPr>
        <w:pStyle w:val="Heading1"/>
      </w:pPr>
      <w:r>
        <w:t>5 Evidence and configuration limits</w:t>
      </w:r>
    </w:p>
    <w:p>
      <w:r>
        <w:t>The following limits constrain a judgment about the agent itself. They should be logged as unavailable or unresolved rather than converted into negative performance findings.</w:t>
      </w:r>
    </w:p>
    <w:tbl>
      <w:tblPr>
        <w:tblW w:type="auto" w:w="0"/>
        <w:jc w:val="center"/>
        <w:tblLayout w:type="fixed"/>
        <w:tblLook w:firstColumn="1" w:firstRow="1" w:lastColumn="0" w:lastRow="0" w:noHBand="0" w:noVBand="1" w:val="04A0"/>
      </w:tblPr>
      <w:tblGrid>
        <w:gridCol w:w="3010"/>
        <w:gridCol w:w="6883"/>
      </w:tblGrid>
      <w:tr>
        <w:trPr>
          <w:cantSplit/>
          <w:tblHeader w:val="true"/>
        </w:trPr>
        <w:tc>
          <w:tcPr>
            <w:tcW w:type="dxa" w:w="3010"/>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8"/>
              </w:rPr>
              <w:t>Limit</w:t>
            </w:r>
          </w:p>
        </w:tc>
        <w:tc>
          <w:tcPr>
            <w:tcW w:type="dxa" w:w="6883"/>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8"/>
              </w:rPr>
              <w:t>Effect on this review</w:t>
            </w:r>
          </w:p>
        </w:tc>
      </w:tr>
      <w:tr>
        <w:trPr>
          <w:cantSplit/>
        </w:trPr>
        <w:tc>
          <w:tcPr>
            <w:tcW w:type="dxa" w:w="3010"/>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Live agent setup was not supplied</w:t>
            </w:r>
          </w:p>
        </w:tc>
        <w:tc>
          <w:tcPr>
            <w:tcW w:type="dxa" w:w="6883"/>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The actual prompt, tool permissions, approved knowledge-pack version and release history were unavailable. D1–D9 cannot be attributed to a defective live configuration without checking it (E §§1 and 4).</w:t>
            </w:r>
          </w:p>
        </w:tc>
      </w:tr>
      <w:tr>
        <w:trPr>
          <w:cantSplit/>
        </w:trPr>
        <w:tc>
          <w:tcPr>
            <w:tcW w:type="dxa" w:w="3010"/>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Operational and proof records were not supplied for HP-001</w:t>
            </w:r>
          </w:p>
        </w:tc>
        <w:tc>
          <w:tcPr>
            <w:tcW w:type="dxa" w:w="6883"/>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Current packages, serviceability, safety/insurance, technical details, pricing and consented proof could not be verified. R largely held those claims; the missing business records are not themselves agent failures (R §§4–6; E §4).</w:t>
            </w:r>
          </w:p>
        </w:tc>
      </w:tr>
      <w:tr>
        <w:trPr>
          <w:cantSplit/>
        </w:trPr>
        <w:tc>
          <w:tcPr>
            <w:tcW w:type="dxa" w:w="3010"/>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Some cited planning material was unavailable to this evaluation</w:t>
            </w:r>
          </w:p>
        </w:tc>
        <w:tc>
          <w:tcPr>
            <w:tcW w:type="dxa" w:w="6883"/>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The combined Keyword, AEO &amp; Authority Framework cited in R was not in the evaluated file set. Its specific variant classifications and version could not be independently checked. This is not proof that R fabricated the source (E §§1 and 4).</w:t>
            </w:r>
          </w:p>
        </w:tc>
      </w:tr>
      <w:tr>
        <w:trPr>
          <w:cantSplit/>
        </w:trPr>
        <w:tc>
          <w:tcPr>
            <w:tcW w:type="dxa" w:w="3010"/>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Specialist performance inputs were not reviewed</w:t>
            </w:r>
          </w:p>
        </w:tc>
        <w:tc>
          <w:tcPr>
            <w:tcW w:type="dxa" w:w="6883"/>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No completed set of three specialist deliverables, approved individual KPI targets or baseline series was evaluated here. This HP-001 task shows referral decisions, not ongoing specialist review or measurable business outcomes (S KPI table; H p. 24).</w:t>
            </w:r>
          </w:p>
        </w:tc>
      </w:tr>
    </w:tbl>
    <w:p>
      <w:pPr>
        <w:spacing w:after="0"/>
      </w:pPr>
    </w:p>
    <w:p>
      <w:pPr>
        <w:pStyle w:val="Heading1"/>
      </w:pPr>
      <w:r>
        <w:t>6 Improvement proposals for human review</w:t>
      </w:r>
    </w:p>
    <w:p>
      <w:r>
        <w:t>The first six proposals are retained from E §5 for HP-002 and future comparable work. They have not been implemented by this review. They should be checked against the live configuration and approved through the appropriate human process before any agent instruction is changed.</w:t>
      </w:r>
    </w:p>
    <w:tbl>
      <w:tblPr>
        <w:tblW w:type="auto" w:w="0"/>
        <w:jc w:val="center"/>
        <w:tblLayout w:type="fixed"/>
        <w:tblLook w:firstColumn="1" w:firstRow="1" w:lastColumn="0" w:lastRow="0" w:noHBand="0" w:noVBand="1" w:val="04A0"/>
      </w:tblPr>
      <w:tblGrid>
        <w:gridCol w:w="634"/>
        <w:gridCol w:w="7488"/>
        <w:gridCol w:w="1771"/>
      </w:tblGrid>
      <w:tr>
        <w:trPr>
          <w:cantSplit/>
          <w:tblHeader w:val="true"/>
        </w:trPr>
        <w:tc>
          <w:tcPr>
            <w:tcW w:type="dxa" w:w="634"/>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7"/>
              </w:rPr>
              <w:t>No.</w:t>
            </w:r>
          </w:p>
        </w:tc>
        <w:tc>
          <w:tcPr>
            <w:tcW w:type="dxa" w:w="7488"/>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7"/>
              </w:rPr>
              <w:t>Previously proposed HP-002 instruction improvement</w:t>
            </w:r>
          </w:p>
        </w:tc>
        <w:tc>
          <w:tcPr>
            <w:tcW w:type="dxa" w:w="1771"/>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7"/>
              </w:rPr>
              <w:t>Linked issue</w:t>
            </w:r>
          </w:p>
        </w:tc>
      </w:tr>
      <w:tr>
        <w:trPr>
          <w:cantSplit/>
        </w:trPr>
        <w:tc>
          <w:tcPr>
            <w:tcW w:type="dxa" w:w="634"/>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1</w:t>
            </w:r>
          </w:p>
        </w:tc>
        <w:tc>
          <w:tcPr>
            <w:tcW w:type="dxa" w:w="7488"/>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Add a pre-development route: assess the approved local page job and proposed wording without a completed-page or publication verdict.</w:t>
            </w:r>
          </w:p>
        </w:tc>
        <w:tc>
          <w:tcPr>
            <w:tcW w:type="dxa" w:w="1771"/>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D1</w:t>
            </w:r>
          </w:p>
        </w:tc>
      </w:tr>
      <w:tr>
        <w:trPr>
          <w:cantSplit/>
        </w:trPr>
        <w:tc>
          <w:tcPr>
            <w:tcW w:type="dxa" w:w="634"/>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2</w:t>
            </w:r>
          </w:p>
        </w:tc>
        <w:tc>
          <w:tcPr>
            <w:tcW w:type="dxa" w:w="7488"/>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Use one primary finding/claim record: ID, exact proposed claim, source and location/version, planning-versus-fact classification, evidence status, risk basis, permissible treatment, action and owner. Reference its ID in summaries.</w:t>
            </w:r>
          </w:p>
        </w:tc>
        <w:tc>
          <w:tcPr>
            <w:tcW w:type="dxa" w:w="1771"/>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O1, O3, D2</w:t>
            </w:r>
          </w:p>
        </w:tc>
      </w:tr>
      <w:tr>
        <w:trPr>
          <w:cantSplit/>
        </w:trPr>
        <w:tc>
          <w:tcPr>
            <w:tcW w:type="dxa" w:w="634"/>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3</w:t>
            </w:r>
          </w:p>
        </w:tc>
        <w:tc>
          <w:tcPr>
            <w:tcW w:type="dxa" w:w="7488"/>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Make HP-002’s local claim gate explicit: suburb/postcode coverage, exceptions, travel/fees, availability/booking, packages/prices, setup/capacity, safety/insurance, technical needs and local customer proof require current owner evidence. A proposed Melbourne checker or meta description is not proof it works.</w:t>
            </w:r>
          </w:p>
        </w:tc>
        <w:tc>
          <w:tcPr>
            <w:tcW w:type="dxa" w:w="1771"/>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O2, D3, D8</w:t>
            </w:r>
          </w:p>
        </w:tc>
      </w:tr>
      <w:tr>
        <w:trPr>
          <w:cantSplit/>
        </w:trPr>
        <w:tc>
          <w:tcPr>
            <w:tcW w:type="dxa" w:w="634"/>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4</w:t>
            </w:r>
          </w:p>
        </w:tc>
        <w:tc>
          <w:tcPr>
            <w:tcW w:type="dxa" w:w="7488"/>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Record a bounded readiness check: identify missing due date, acceptance criteria, permissions or evidence as unresolved; name the accountable human and Content Manager recipient without inventing an approval.</w:t>
            </w:r>
          </w:p>
        </w:tc>
        <w:tc>
          <w:tcPr>
            <w:tcW w:type="dxa" w:w="1771"/>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O5</w:t>
            </w:r>
          </w:p>
        </w:tc>
      </w:tr>
      <w:tr>
        <w:trPr>
          <w:cantSplit/>
        </w:trPr>
        <w:tc>
          <w:tcPr>
            <w:tcW w:type="dxa" w:w="634"/>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5</w:t>
            </w:r>
          </w:p>
        </w:tc>
        <w:tc>
          <w:tcPr>
            <w:tcW w:type="dxa" w:w="7488"/>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Label working priorities provisional and leave formal severity and escalation thresholds subject to human approval.</w:t>
            </w:r>
          </w:p>
        </w:tc>
        <w:tc>
          <w:tcPr>
            <w:tcW w:type="dxa" w:w="1771"/>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O4, D4</w:t>
            </w:r>
          </w:p>
        </w:tc>
      </w:tr>
      <w:tr>
        <w:trPr>
          <w:cantSplit/>
        </w:trPr>
        <w:tc>
          <w:tcPr>
            <w:tcW w:type="dxa" w:w="634"/>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6</w:t>
            </w:r>
          </w:p>
        </w:tc>
        <w:tc>
          <w:tcPr>
            <w:tcW w:type="dxa" w:w="7488"/>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Retain specialist boundaries: Brand Authority Builder for proof/brand-presence depth; Backlink Auditor for link profiles; Digital PR Specialist for PR; and appropriate owners for technical, analytics, search-strategy and sensitive operational decisions.</w:t>
            </w:r>
          </w:p>
        </w:tc>
        <w:tc>
          <w:tcPr>
            <w:tcW w:type="dxa" w:w="1771"/>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7"/>
              </w:rPr>
              <w:t>Successful routing</w:t>
            </w:r>
          </w:p>
        </w:tc>
      </w:tr>
    </w:tbl>
    <w:p>
      <w:pPr>
        <w:spacing w:after="0"/>
      </w:pPr>
    </w:p>
    <w:p>
      <w:pPr>
        <w:pStyle w:val="Heading2"/>
      </w:pPr>
      <w:r>
        <w:t>Additional candidates from this review</w:t>
      </w:r>
    </w:p>
    <w:tbl>
      <w:tblPr>
        <w:tblW w:type="auto" w:w="0"/>
        <w:jc w:val="center"/>
        <w:tblLayout w:type="fixed"/>
        <w:tblLook w:firstColumn="1" w:firstRow="1" w:lastColumn="0" w:lastRow="0" w:noHBand="0" w:noVBand="1" w:val="04A0"/>
      </w:tblPr>
      <w:tblGrid>
        <w:gridCol w:w="2938"/>
        <w:gridCol w:w="6955"/>
      </w:tblGrid>
      <w:tr>
        <w:trPr>
          <w:cantSplit/>
          <w:tblHeader w:val="true"/>
        </w:trPr>
        <w:tc>
          <w:tcPr>
            <w:tcW w:type="dxa" w:w="2938"/>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8"/>
              </w:rPr>
              <w:t>Candidate</w:t>
            </w:r>
          </w:p>
        </w:tc>
        <w:tc>
          <w:tcPr>
            <w:tcW w:type="dxa" w:w="6955"/>
            <w:vAlign w:val="center"/>
            <w:shd w:fill="183558"/>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FFFFFF"/>
                <w:sz w:val="18"/>
              </w:rPr>
              <w:t>Decision to consider before implementation</w:t>
            </w:r>
          </w:p>
        </w:tc>
      </w:tr>
      <w:tr>
        <w:trPr>
          <w:cantSplit/>
        </w:trPr>
        <w:tc>
          <w:tcPr>
            <w:tcW w:type="dxa" w:w="2938"/>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Individual specialist review gate</w:t>
            </w:r>
          </w:p>
        </w:tc>
        <w:tc>
          <w:tcPr>
            <w:tcW w:type="dxa" w:w="6955"/>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Specify the per-deliverable acceptance check, rework decision, evidence trail and manager approval boundary before consolidation (D5).</w:t>
            </w:r>
          </w:p>
        </w:tc>
      </w:tr>
      <w:tr>
        <w:trPr>
          <w:cantSplit/>
        </w:trPr>
        <w:tc>
          <w:tcPr>
            <w:tcW w:type="dxa" w:w="2938"/>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Version and source control</w:t>
            </w:r>
          </w:p>
        </w:tc>
        <w:tc>
          <w:tcPr>
            <w:tcW w:type="dxa" w:w="6955"/>
            <w:vAlign w:val="center"/>
            <w:shd w:fill="FFFFFF"/>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Record agent version, approved knowledge pack and review date; define when mutable facts must be revalidated and routed to the owner (D7–D8).</w:t>
            </w:r>
          </w:p>
        </w:tc>
      </w:tr>
      <w:tr>
        <w:trPr>
          <w:cantSplit/>
        </w:trPr>
        <w:tc>
          <w:tcPr>
            <w:tcW w:type="dxa" w:w="2938"/>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color w:val="242C36"/>
                <w:sz w:val="18"/>
              </w:rPr>
              <w:t>Measurement and improvement loop</w:t>
            </w:r>
          </w:p>
        </w:tc>
        <w:tc>
          <w:tcPr>
            <w:tcW w:type="dxa" w:w="6955"/>
            <w:vAlign w:val="center"/>
            <w:shd w:fill="F1F4F7"/>
            <w:tcBorders>
              <w:top w:val="single" w:sz="4" w:color="C9D1DA"/>
              <w:left w:val="single" w:sz="4" w:color="C9D1DA"/>
              <w:bottom w:val="single" w:sz="4" w:color="C9D1DA"/>
              <w:right w:val="single" w:sz="4" w:color="C9D1DA"/>
            </w:tcBorders>
            <w:tcMar>
              <w:top w:type="dxa" w:w="88"/>
              <w:bottom w:type="dxa" w:w="88"/>
              <w:start w:type="dxa" w:w="96"/>
              <w:end w:type="dxa" w:w="96"/>
            </w:tcMar>
          </w:tcPr>
          <w:p>
            <w:pPr>
              <w:spacing w:after="0" w:line="264" w:lineRule="auto"/>
            </w:pPr>
            <w:r>
              <w:rPr>
                <w:rFonts w:ascii="Liberation Sans" w:hAnsi="Liberation Sans"/>
                <w:b w:val="0"/>
                <w:color w:val="242C36"/>
                <w:sz w:val="18"/>
              </w:rPr>
              <w:t>Approve specialist KPIs, baseline, target, owner and review cadence; test and version instruction changes, then check defect recurrence without assuming causal SEO results (D6, D9).</w:t>
            </w:r>
          </w:p>
        </w:tc>
      </w:tr>
    </w:tbl>
    <w:p>
      <w:pPr>
        <w:spacing w:after="0"/>
      </w:pPr>
    </w:p>
    <w:p>
      <w:pPr>
        <w:pStyle w:val="Heading1"/>
      </w:pPr>
      <w:r>
        <w:t>7 Overall judgment and next decision</w:t>
      </w:r>
    </w:p>
    <w:p>
      <w:r>
        <w:t>For HP-001, the Authority Manager AI Agent was effective at producing a conditional, evidence-aware pre-development handoff. The strongest reusable practices are claim-to-evidence control, careful development status, page ownership, first-party proof provenance and specialist routing. O1 and O2 are the most consequential observed improvements: the primary finding trail needs to be retrievable, and planning support must not imply a verified operational service. O3–O5 affect maintenance, priority governance and readiness clarity.</w:t>
      </w:r>
    </w:p>
    <w:p>
      <w:r>
        <w:t>The wider manager capabilities in S remain partly untested. A human review of the live configuration, individual specialist outputs, source controls and approved KPI/approval rules is needed before describing D1–D9 as operating-agent defects or adopting the proposed instruction changes. Until then, retain the successful HP-001 practices and treat every proposal in §6 as pending review. This document changes no agent instructions, business evidence or approval gate.</w:t>
      </w:r>
    </w:p>
    <w:sectPr w:rsidR="00FC693F" w:rsidRPr="0006063C" w:rsidSect="00034616">
      <w:headerReference w:type="default" r:id="rId9"/>
      <w:footerReference w:type="default" r:id="rId10"/>
      <w:pgSz w:w="11909" w:h="16834"/>
      <w:pgMar w:top="1008" w:right="1008" w:bottom="979"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B646F"/>
        <w:sz w:val="16"/>
      </w:rPr>
      <w:t xml:space="preserve">Evaluation only  |  Instruction changes pending human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395F8C"/>
        <w:sz w:val="16"/>
      </w:rPr>
      <w:t>Viri VR  |  Authority Manager review  |  HP-001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20"/>
    </w:pPr>
    <w:rPr>
      <w:rFonts w:ascii="Liberation Sans" w:hAnsi="Liberation Sans"/>
      <w:color w:val="242C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Liberation Sans" w:hAnsi="Liberation Sans"/>
      <w:b/>
      <w:bCs/>
      <w:color w:val="183558"/>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395F8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Liberation Sans" w:hAnsi="Liberation Sans"/>
      <w:b/>
      <w:color w:val="242C3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Liberation Sans" w:hAnsi="Liberation Sans"/>
      <w:b w:val="0"/>
      <w:i/>
      <w:iCs/>
      <w:color w:val="5B646F"/>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Authority Manager AI Agent Review of HP 001 Pre Development Work</dc:title>
  <dc:subject>Evaluation of observed HP-001 output and potential Authority Manager workflow improvements</dc:subject>
  <dc:creator>Authority Manager AI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