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HP-002 Authority Evidence Report v1.0</w:t>
      </w:r>
    </w:p>
    <w:p>
      <w:r>
        <w:rPr>
          <w:color w:val="586575"/>
          <w:sz w:val="22"/>
        </w:rPr>
        <w:t>Pre-development recommendations to the Content Manager</w:t>
      </w:r>
    </w:p>
    <w:tbl>
      <w:tblPr>
        <w:tblStyle w:val="TableGrid"/>
        <w:tblW w:type="auto" w:w="0"/>
        <w:jc w:val="center"/>
        <w:tblLayout w:type="fixed"/>
        <w:tblLook w:firstColumn="1" w:firstRow="1" w:lastColumn="0" w:lastRow="0" w:noHBand="0" w:noVBand="1" w:val="04A0"/>
      </w:tblPr>
      <w:tblGrid>
        <w:gridCol w:w="2376"/>
        <w:gridCol w:w="12024"/>
      </w:tblGrid>
      <w:tr>
        <w:trPr>
          <w:tblHeader w:val="true"/>
          <w:cantSplit/>
        </w:trPr>
        <w:tc>
          <w:tcPr>
            <w:tcW w:type="dxa" w:w="2376"/>
            <w:shd w:fill="213750"/>
            <w:vAlign w:val="center"/>
            <w:tcMar>
              <w:top w:w="90" w:type="dxa"/>
              <w:start w:w="105" w:type="dxa"/>
              <w:bottom w:w="90" w:type="dxa"/>
              <w:end w:w="105" w:type="dxa"/>
            </w:tcMar>
          </w:tcPr>
          <w:p>
            <w:pPr>
              <w:pStyle w:val="TableBody"/>
              <w:spacing w:after="0"/>
            </w:pPr>
            <w:r/>
            <w:r>
              <w:rPr>
                <w:b/>
                <w:color w:val="FFFFFF"/>
                <w:sz w:val="18"/>
              </w:rPr>
              <w:t>Control</w:t>
            </w:r>
          </w:p>
        </w:tc>
        <w:tc>
          <w:tcPr>
            <w:tcW w:type="dxa" w:w="12024"/>
            <w:shd w:fill="213750"/>
            <w:vAlign w:val="center"/>
            <w:tcMar>
              <w:top w:w="90" w:type="dxa"/>
              <w:start w:w="105" w:type="dxa"/>
              <w:bottom w:w="90" w:type="dxa"/>
              <w:end w:w="105" w:type="dxa"/>
            </w:tcMar>
          </w:tcPr>
          <w:p>
            <w:pPr>
              <w:pStyle w:val="TableBody"/>
              <w:spacing w:after="0"/>
            </w:pPr>
            <w:r/>
            <w:r>
              <w:rPr>
                <w:b/>
                <w:color w:val="FFFFFF"/>
                <w:sz w:val="18"/>
              </w:rPr>
              <w:t>Report record</w:t>
            </w:r>
          </w:p>
        </w:tc>
      </w:tr>
      <w:tr>
        <w:trPr>
          <w:cantSplit/>
        </w:trPr>
        <w:tc>
          <w:tcPr>
            <w:tcW w:type="dxa" w:w="2376"/>
            <w:vAlign w:val="center"/>
            <w:tcMar>
              <w:top w:w="90" w:type="dxa"/>
              <w:start w:w="105" w:type="dxa"/>
              <w:bottom w:w="90" w:type="dxa"/>
              <w:end w:w="105" w:type="dxa"/>
            </w:tcMar>
          </w:tcPr>
          <w:p>
            <w:pPr>
              <w:pStyle w:val="TableBody"/>
              <w:spacing w:after="0"/>
            </w:pPr>
            <w:r/>
            <w:r>
              <w:rPr>
                <w:b w:val="0"/>
                <w:color w:val="202B36"/>
                <w:sz w:val="18"/>
              </w:rPr>
              <w:t>Reviewer and recipient</w:t>
            </w:r>
          </w:p>
        </w:tc>
        <w:tc>
          <w:tcPr>
            <w:tcW w:type="dxa" w:w="12024"/>
            <w:vAlign w:val="center"/>
            <w:tcMar>
              <w:top w:w="90" w:type="dxa"/>
              <w:start w:w="105" w:type="dxa"/>
              <w:bottom w:w="90" w:type="dxa"/>
              <w:end w:w="105" w:type="dxa"/>
            </w:tcMar>
          </w:tcPr>
          <w:p>
            <w:pPr>
              <w:pStyle w:val="TableBody"/>
              <w:spacing w:after="0"/>
            </w:pPr>
            <w:r/>
            <w:r>
              <w:rPr>
                <w:b w:val="0"/>
                <w:color w:val="202B36"/>
                <w:sz w:val="18"/>
              </w:rPr>
              <w:t>Authority Manager AI Agent  →  Content Manager</w:t>
            </w:r>
          </w:p>
        </w:tc>
      </w:tr>
      <w:tr>
        <w:trPr>
          <w:cantSplit/>
        </w:trPr>
        <w:tc>
          <w:tcPr>
            <w:tcW w:type="dxa" w:w="2376"/>
            <w:shd w:fill="F4F6F8"/>
            <w:vAlign w:val="center"/>
            <w:tcMar>
              <w:top w:w="90" w:type="dxa"/>
              <w:start w:w="105" w:type="dxa"/>
              <w:bottom w:w="90" w:type="dxa"/>
              <w:end w:w="105" w:type="dxa"/>
            </w:tcMar>
          </w:tcPr>
          <w:p>
            <w:pPr>
              <w:pStyle w:val="TableBody"/>
              <w:spacing w:after="0"/>
            </w:pPr>
            <w:r/>
            <w:r>
              <w:rPr>
                <w:b w:val="0"/>
                <w:color w:val="202B36"/>
                <w:sz w:val="18"/>
              </w:rPr>
              <w:t>Page</w:t>
            </w:r>
          </w:p>
        </w:tc>
        <w:tc>
          <w:tcPr>
            <w:tcW w:type="dxa" w:w="12024"/>
            <w:shd w:fill="F4F6F8"/>
            <w:vAlign w:val="center"/>
            <w:tcMar>
              <w:top w:w="90" w:type="dxa"/>
              <w:start w:w="105" w:type="dxa"/>
              <w:bottom w:w="90" w:type="dxa"/>
              <w:end w:w="105" w:type="dxa"/>
            </w:tcMar>
          </w:tcPr>
          <w:p>
            <w:pPr>
              <w:pStyle w:val="TableBody"/>
              <w:spacing w:after="0"/>
            </w:pPr>
            <w:r/>
            <w:r>
              <w:rPr>
                <w:b w:val="0"/>
                <w:color w:val="202B36"/>
                <w:sz w:val="18"/>
              </w:rPr>
              <w:t>HP-002, proposed Melbourne local service page at /house-party/melbourne/</w:t>
            </w:r>
          </w:p>
        </w:tc>
      </w:tr>
      <w:tr>
        <w:trPr>
          <w:cantSplit/>
        </w:trPr>
        <w:tc>
          <w:tcPr>
            <w:tcW w:type="dxa" w:w="2376"/>
            <w:vAlign w:val="center"/>
            <w:tcMar>
              <w:top w:w="90" w:type="dxa"/>
              <w:start w:w="105" w:type="dxa"/>
              <w:bottom w:w="90" w:type="dxa"/>
              <w:end w:w="105" w:type="dxa"/>
            </w:tcMar>
          </w:tcPr>
          <w:p>
            <w:pPr>
              <w:pStyle w:val="TableBody"/>
              <w:spacing w:after="0"/>
            </w:pPr>
            <w:r/>
            <w:r>
              <w:rPr>
                <w:b w:val="0"/>
                <w:color w:val="202B36"/>
                <w:sz w:val="18"/>
              </w:rPr>
              <w:t>Date and version</w:t>
            </w:r>
          </w:p>
        </w:tc>
        <w:tc>
          <w:tcPr>
            <w:tcW w:type="dxa" w:w="12024"/>
            <w:vAlign w:val="center"/>
            <w:tcMar>
              <w:top w:w="90" w:type="dxa"/>
              <w:start w:w="105" w:type="dxa"/>
              <w:bottom w:w="90" w:type="dxa"/>
              <w:end w:w="105" w:type="dxa"/>
            </w:tcMar>
          </w:tcPr>
          <w:p>
            <w:pPr>
              <w:pStyle w:val="TableBody"/>
              <w:spacing w:after="0"/>
            </w:pPr>
            <w:r/>
            <w:r>
              <w:rPr>
                <w:b w:val="0"/>
                <w:color w:val="202B36"/>
                <w:sz w:val="18"/>
              </w:rPr>
              <w:t>15 October 2026  |  Version 1.0</w:t>
            </w:r>
          </w:p>
        </w:tc>
      </w:tr>
      <w:tr>
        <w:trPr>
          <w:cantSplit/>
        </w:trPr>
        <w:tc>
          <w:tcPr>
            <w:tcW w:type="dxa" w:w="2376"/>
            <w:shd w:fill="F4F6F8"/>
            <w:vAlign w:val="center"/>
            <w:tcMar>
              <w:top w:w="90" w:type="dxa"/>
              <w:start w:w="105" w:type="dxa"/>
              <w:bottom w:w="90" w:type="dxa"/>
              <w:end w:w="105" w:type="dxa"/>
            </w:tcMar>
          </w:tcPr>
          <w:p>
            <w:pPr>
              <w:pStyle w:val="TableBody"/>
              <w:spacing w:after="0"/>
            </w:pPr>
            <w:r/>
            <w:r>
              <w:rPr>
                <w:b w:val="0"/>
                <w:color w:val="202B36"/>
                <w:sz w:val="18"/>
              </w:rPr>
              <w:t>Readiness</w:t>
            </w:r>
          </w:p>
        </w:tc>
        <w:tc>
          <w:tcPr>
            <w:tcW w:type="dxa" w:w="12024"/>
            <w:shd w:fill="F4F6F8"/>
            <w:vAlign w:val="center"/>
            <w:tcMar>
              <w:top w:w="90" w:type="dxa"/>
              <w:start w:w="105" w:type="dxa"/>
              <w:bottom w:w="90" w:type="dxa"/>
              <w:end w:w="105" w:type="dxa"/>
            </w:tcMar>
          </w:tcPr>
          <w:p>
            <w:pPr>
              <w:pStyle w:val="TableBody"/>
              <w:spacing w:after="0"/>
            </w:pPr>
            <w:r/>
            <w:r>
              <w:rPr>
                <w:b w:val="0"/>
                <w:color w:val="202B36"/>
                <w:sz w:val="18"/>
              </w:rPr>
              <w:t>Ready for structural development with conditions; factual service copy requires current owner evidence. This is not a completed-page audit or publication approval.</w:t>
            </w:r>
          </w:p>
        </w:tc>
      </w:tr>
    </w:tbl>
    <w:p>
      <w:pPr>
        <w:pStyle w:val="Heading1"/>
        <w:keepNext/>
      </w:pPr>
      <w:r>
        <w:t>1 Purpose, scope and source basis</w:t>
      </w:r>
    </w:p>
    <w:p>
      <w:r>
        <w:t>The approved workbook defines HP-002 as a planned Melbourne local service page. It does not establish which addresses or dates Viri VR can serve, what a mobile package includes, or whether the proposed checker works. This assessment reviews the workbook content and the supplied search and visibility inputs, not a completed webpage.</w:t>
      </w:r>
    </w:p>
    <w:tbl>
      <w:tblPr>
        <w:tblStyle w:val="TableGrid"/>
        <w:tblW w:type="auto" w:w="0"/>
        <w:jc w:val="center"/>
        <w:tblLayout w:type="fixed"/>
        <w:tblLook w:firstColumn="1" w:firstRow="1" w:lastColumn="0" w:lastRow="0" w:noHBand="0" w:noVBand="1" w:val="04A0"/>
      </w:tblPr>
      <w:tblGrid>
        <w:gridCol w:w="720"/>
        <w:gridCol w:w="6552"/>
        <w:gridCol w:w="7128"/>
      </w:tblGrid>
      <w:tr>
        <w:trPr>
          <w:tblHeader w:val="true"/>
          <w:cantSplit/>
        </w:trPr>
        <w:tc>
          <w:tcPr>
            <w:tcW w:type="dxa" w:w="720"/>
            <w:shd w:fill="213750"/>
            <w:vAlign w:val="center"/>
            <w:tcMar>
              <w:top w:w="90" w:type="dxa"/>
              <w:start w:w="105" w:type="dxa"/>
              <w:bottom w:w="90" w:type="dxa"/>
              <w:end w:w="105" w:type="dxa"/>
            </w:tcMar>
          </w:tcPr>
          <w:p>
            <w:pPr>
              <w:pStyle w:val="TableBody"/>
              <w:spacing w:after="0"/>
            </w:pPr>
            <w:r/>
            <w:r>
              <w:rPr>
                <w:b/>
                <w:color w:val="FFFFFF"/>
                <w:sz w:val="17"/>
              </w:rPr>
              <w:t>Key</w:t>
            </w:r>
          </w:p>
        </w:tc>
        <w:tc>
          <w:tcPr>
            <w:tcW w:type="dxa" w:w="6552"/>
            <w:shd w:fill="213750"/>
            <w:vAlign w:val="center"/>
            <w:tcMar>
              <w:top w:w="90" w:type="dxa"/>
              <w:start w:w="105" w:type="dxa"/>
              <w:bottom w:w="90" w:type="dxa"/>
              <w:end w:w="105" w:type="dxa"/>
            </w:tcMar>
          </w:tcPr>
          <w:p>
            <w:pPr>
              <w:pStyle w:val="TableBody"/>
              <w:spacing w:after="0"/>
            </w:pPr>
            <w:r/>
            <w:r>
              <w:rPr>
                <w:b/>
                <w:color w:val="FFFFFF"/>
                <w:sz w:val="17"/>
              </w:rPr>
              <w:t>Source reviewed</w:t>
            </w:r>
          </w:p>
        </w:tc>
        <w:tc>
          <w:tcPr>
            <w:tcW w:type="dxa" w:w="7128"/>
            <w:shd w:fill="213750"/>
            <w:vAlign w:val="center"/>
            <w:tcMar>
              <w:top w:w="90" w:type="dxa"/>
              <w:start w:w="105" w:type="dxa"/>
              <w:bottom w:w="90" w:type="dxa"/>
              <w:end w:w="105" w:type="dxa"/>
            </w:tcMar>
          </w:tcPr>
          <w:p>
            <w:pPr>
              <w:pStyle w:val="TableBody"/>
              <w:spacing w:after="0"/>
            </w:pPr>
            <w:r/>
            <w:r>
              <w:rPr>
                <w:b/>
                <w:color w:val="FFFFFF"/>
                <w:sz w:val="17"/>
              </w:rPr>
              <w:t>Authority and limitation</w:t>
            </w:r>
          </w:p>
        </w:tc>
      </w:tr>
      <w:tr>
        <w:trPr>
          <w:cantSplit/>
        </w:trPr>
        <w:tc>
          <w:tcPr>
            <w:tcW w:type="dxa" w:w="720"/>
            <w:vAlign w:val="center"/>
            <w:tcMar>
              <w:top w:w="90" w:type="dxa"/>
              <w:start w:w="105" w:type="dxa"/>
              <w:bottom w:w="90" w:type="dxa"/>
              <w:end w:w="105" w:type="dxa"/>
            </w:tcMar>
          </w:tcPr>
          <w:p>
            <w:pPr>
              <w:pStyle w:val="TableBody"/>
              <w:spacing w:after="0"/>
            </w:pPr>
            <w:r/>
            <w:r>
              <w:rPr>
                <w:b w:val="0"/>
                <w:color w:val="202B36"/>
                <w:sz w:val="17"/>
              </w:rPr>
              <w:t>A</w:t>
            </w:r>
          </w:p>
        </w:tc>
        <w:tc>
          <w:tcPr>
            <w:tcW w:type="dxa" w:w="6552"/>
            <w:vAlign w:val="center"/>
            <w:tcMar>
              <w:top w:w="90" w:type="dxa"/>
              <w:start w:w="105" w:type="dxa"/>
              <w:bottom w:w="90" w:type="dxa"/>
              <w:end w:w="105" w:type="dxa"/>
            </w:tcMar>
          </w:tcPr>
          <w:p>
            <w:pPr>
              <w:pStyle w:val="TableBody"/>
              <w:spacing w:after="0"/>
            </w:pPr>
            <w:r/>
            <w:r>
              <w:rPr>
                <w:b w:val="0"/>
                <w:color w:val="202B36"/>
                <w:sz w:val="17"/>
              </w:rPr>
              <w:t>Viri_VR_House_Party_Content_Authority_Architecture_v1(1).xlsm; Architecture row 3, Content Briefs row 3, Internal Links rows 4–5, Keyword Map rows 2–9, Measurement Plan rows 7–9.</w:t>
            </w:r>
          </w:p>
        </w:tc>
        <w:tc>
          <w:tcPr>
            <w:tcW w:type="dxa" w:w="7128"/>
            <w:vAlign w:val="center"/>
            <w:tcMar>
              <w:top w:w="90" w:type="dxa"/>
              <w:start w:w="105" w:type="dxa"/>
              <w:bottom w:w="90" w:type="dxa"/>
              <w:end w:w="105" w:type="dxa"/>
            </w:tcMar>
          </w:tcPr>
          <w:p>
            <w:pPr>
              <w:pStyle w:val="TableBody"/>
              <w:spacing w:after="0"/>
            </w:pPr>
            <w:r/>
            <w:r>
              <w:rPr>
                <w:b w:val="0"/>
                <w:color w:val="202B36"/>
                <w:sz w:val="17"/>
              </w:rPr>
              <w:t>Approved planning. Proposed title, meta, modules and semantic relationships do not verify current operations. Summary rows 2 and 19–20 record dated search evidence and its limits.</w:t>
            </w:r>
          </w:p>
        </w:tc>
      </w:tr>
      <w:tr>
        <w:trPr>
          <w:cantSplit/>
        </w:trPr>
        <w:tc>
          <w:tcPr>
            <w:tcW w:type="dxa" w:w="720"/>
            <w:shd w:fill="F4F6F8"/>
            <w:vAlign w:val="center"/>
            <w:tcMar>
              <w:top w:w="90" w:type="dxa"/>
              <w:start w:w="105" w:type="dxa"/>
              <w:bottom w:w="90" w:type="dxa"/>
              <w:end w:w="105" w:type="dxa"/>
            </w:tcMar>
          </w:tcPr>
          <w:p>
            <w:pPr>
              <w:pStyle w:val="TableBody"/>
              <w:spacing w:after="0"/>
            </w:pPr>
            <w:r/>
            <w:r>
              <w:rPr>
                <w:b w:val="0"/>
                <w:color w:val="202B36"/>
                <w:sz w:val="17"/>
              </w:rPr>
              <w:t>S</w:t>
            </w:r>
          </w:p>
        </w:tc>
        <w:tc>
          <w:tcPr>
            <w:tcW w:type="dxa" w:w="6552"/>
            <w:shd w:fill="F4F6F8"/>
            <w:vAlign w:val="center"/>
            <w:tcMar>
              <w:top w:w="90" w:type="dxa"/>
              <w:start w:w="105" w:type="dxa"/>
              <w:bottom w:w="90" w:type="dxa"/>
              <w:end w:w="105" w:type="dxa"/>
            </w:tcMar>
          </w:tcPr>
          <w:p>
            <w:pPr>
              <w:pStyle w:val="TableBody"/>
              <w:spacing w:after="0"/>
            </w:pPr>
            <w:r/>
            <w:r>
              <w:rPr>
                <w:b w:val="0"/>
                <w:color w:val="202B36"/>
                <w:sz w:val="17"/>
              </w:rPr>
              <w:t>HP-002_Melbourne_AI_Search_Handoff_2026-09-22.docx; “HP-002 Answer-First &amp; AEO Requirements Research Findings,” pp. 1–4; 22 September 2026.</w:t>
            </w:r>
          </w:p>
        </w:tc>
        <w:tc>
          <w:tcPr>
            <w:tcW w:type="dxa" w:w="7128"/>
            <w:shd w:fill="F4F6F8"/>
            <w:vAlign w:val="center"/>
            <w:tcMar>
              <w:top w:w="90" w:type="dxa"/>
              <w:start w:w="105" w:type="dxa"/>
              <w:bottom w:w="90" w:type="dxa"/>
              <w:end w:w="105" w:type="dxa"/>
            </w:tcMar>
          </w:tcPr>
          <w:p>
            <w:pPr>
              <w:pStyle w:val="TableBody"/>
              <w:spacing w:after="0"/>
            </w:pPr>
            <w:r/>
            <w:r>
              <w:rPr>
                <w:b w:val="0"/>
                <w:color w:val="202B36"/>
                <w:sz w:val="17"/>
              </w:rPr>
              <w:t>Upstream search and answer-planning input. Three brief questions are distinguished from inferred questions. No formal approval status was supplied.</w:t>
            </w:r>
          </w:p>
        </w:tc>
      </w:tr>
      <w:tr>
        <w:trPr>
          <w:cantSplit/>
        </w:trPr>
        <w:tc>
          <w:tcPr>
            <w:tcW w:type="dxa" w:w="720"/>
            <w:vAlign w:val="center"/>
            <w:tcMar>
              <w:top w:w="90" w:type="dxa"/>
              <w:start w:w="105" w:type="dxa"/>
              <w:bottom w:w="90" w:type="dxa"/>
              <w:end w:w="105" w:type="dxa"/>
            </w:tcMar>
          </w:tcPr>
          <w:p>
            <w:pPr>
              <w:pStyle w:val="TableBody"/>
              <w:spacing w:after="0"/>
            </w:pPr>
            <w:r/>
            <w:r>
              <w:rPr>
                <w:b w:val="0"/>
                <w:color w:val="202B36"/>
                <w:sz w:val="17"/>
              </w:rPr>
              <w:t>V</w:t>
            </w:r>
          </w:p>
        </w:tc>
        <w:tc>
          <w:tcPr>
            <w:tcW w:type="dxa" w:w="6552"/>
            <w:vAlign w:val="center"/>
            <w:tcMar>
              <w:top w:w="90" w:type="dxa"/>
              <w:start w:w="105" w:type="dxa"/>
              <w:bottom w:w="90" w:type="dxa"/>
              <w:end w:w="105" w:type="dxa"/>
            </w:tcMar>
          </w:tcPr>
          <w:p>
            <w:pPr>
              <w:pStyle w:val="TableBody"/>
              <w:spacing w:after="0"/>
            </w:pPr>
            <w:r/>
            <w:r>
              <w:rPr>
                <w:b w:val="0"/>
                <w:color w:val="202B36"/>
                <w:sz w:val="17"/>
              </w:rPr>
              <w:t>vdvr-hp-002-corrected-keyword-aeo-prep.md; “HP-002 — Melbourne Local Service Keyword &amp; AEO Preparation.”</w:t>
            </w:r>
          </w:p>
        </w:tc>
        <w:tc>
          <w:tcPr>
            <w:tcW w:type="dxa" w:w="7128"/>
            <w:vAlign w:val="center"/>
            <w:tcMar>
              <w:top w:w="90" w:type="dxa"/>
              <w:start w:w="105" w:type="dxa"/>
              <w:bottom w:w="90" w:type="dxa"/>
              <w:end w:w="105" w:type="dxa"/>
            </w:tcMar>
          </w:tcPr>
          <w:p>
            <w:pPr>
              <w:pStyle w:val="TableBody"/>
              <w:spacing w:after="0"/>
            </w:pPr>
            <w:r/>
            <w:r>
              <w:rPr>
                <w:b w:val="0"/>
                <w:color w:val="202B36"/>
                <w:sz w:val="17"/>
              </w:rPr>
              <w:t>Supplied as AI Visibility Specialist preparation. The file has no stated date, version or measured visibility result.</w:t>
            </w:r>
          </w:p>
        </w:tc>
      </w:tr>
      <w:tr>
        <w:trPr>
          <w:cantSplit/>
        </w:trPr>
        <w:tc>
          <w:tcPr>
            <w:tcW w:type="dxa" w:w="720"/>
            <w:shd w:fill="F4F6F8"/>
            <w:vAlign w:val="center"/>
            <w:tcMar>
              <w:top w:w="90" w:type="dxa"/>
              <w:start w:w="105" w:type="dxa"/>
              <w:bottom w:w="90" w:type="dxa"/>
              <w:end w:w="105" w:type="dxa"/>
            </w:tcMar>
          </w:tcPr>
          <w:p>
            <w:pPr>
              <w:pStyle w:val="TableBody"/>
              <w:spacing w:after="0"/>
            </w:pPr>
            <w:r/>
            <w:r>
              <w:rPr>
                <w:b w:val="0"/>
                <w:color w:val="202B36"/>
                <w:sz w:val="17"/>
              </w:rPr>
              <w:t>M</w:t>
            </w:r>
          </w:p>
        </w:tc>
        <w:tc>
          <w:tcPr>
            <w:tcW w:type="dxa" w:w="6552"/>
            <w:shd w:fill="F4F6F8"/>
            <w:vAlign w:val="center"/>
            <w:tcMar>
              <w:top w:w="90" w:type="dxa"/>
              <w:start w:w="105" w:type="dxa"/>
              <w:bottom w:w="90" w:type="dxa"/>
              <w:end w:w="105" w:type="dxa"/>
            </w:tcMar>
          </w:tcPr>
          <w:p>
            <w:pPr>
              <w:pStyle w:val="TableBody"/>
              <w:spacing w:after="0"/>
            </w:pPr>
            <w:r/>
            <w:r>
              <w:rPr>
                <w:b w:val="0"/>
                <w:color w:val="202B36"/>
                <w:sz w:val="17"/>
              </w:rPr>
              <w:t>HP-002_Market_Research_Pack_v1.0_2026-10-04.md; 4 October 2026.</w:t>
            </w:r>
          </w:p>
        </w:tc>
        <w:tc>
          <w:tcPr>
            <w:tcW w:type="dxa" w:w="7128"/>
            <w:shd w:fill="F4F6F8"/>
            <w:vAlign w:val="center"/>
            <w:tcMar>
              <w:top w:w="90" w:type="dxa"/>
              <w:start w:w="105" w:type="dxa"/>
              <w:bottom w:w="90" w:type="dxa"/>
              <w:end w:w="105" w:type="dxa"/>
            </w:tcMar>
          </w:tcPr>
          <w:p>
            <w:pPr>
              <w:pStyle w:val="TableBody"/>
              <w:spacing w:after="0"/>
            </w:pPr>
            <w:r/>
            <w:r>
              <w:rPr>
                <w:b w:val="0"/>
                <w:color w:val="202B36"/>
                <w:sz w:val="17"/>
              </w:rPr>
              <w:t>Supplemental research draft pending Strategy Manager review. Competitor observations and audience hypotheses are not Viri VR operational evidence.</w:t>
            </w:r>
          </w:p>
        </w:tc>
      </w:tr>
    </w:tbl>
    <w:p>
      <w:r>
        <w:t>A, S, V and M establish internal provenance for this review; they are not publishable proof of a service claim. No current service map, tested checker, mobile offer sheet, safety or insurance record, or permissioned Melbourne event file was present in this reviewed source set. This does not assert that Viri VR has no such records elsewhere. The workbook’s dated search and public-page observations must not be presented as current service evidence.</w:t>
      </w:r>
    </w:p>
    <w:p>
      <w:pPr>
        <w:pStyle w:val="Heading1"/>
        <w:keepNext/>
      </w:pPr>
      <w:r>
        <w:t>2 Disposition of upstream inputs</w:t>
      </w:r>
    </w:p>
    <w:tbl>
      <w:tblPr>
        <w:tblStyle w:val="TableGrid"/>
        <w:tblW w:type="auto" w:w="0"/>
        <w:jc w:val="center"/>
        <w:tblLayout w:type="fixed"/>
        <w:tblLook w:firstColumn="1" w:firstRow="1" w:lastColumn="0" w:lastRow="0" w:noHBand="0" w:noVBand="1" w:val="04A0"/>
      </w:tblPr>
      <w:tblGrid>
        <w:gridCol w:w="2232"/>
        <w:gridCol w:w="6768"/>
        <w:gridCol w:w="5400"/>
      </w:tblGrid>
      <w:tr>
        <w:trPr>
          <w:tblHeader w:val="true"/>
          <w:cantSplit/>
        </w:trPr>
        <w:tc>
          <w:tcPr>
            <w:tcW w:type="dxa" w:w="2232"/>
            <w:shd w:fill="213750"/>
            <w:vAlign w:val="center"/>
            <w:tcMar>
              <w:top w:w="90" w:type="dxa"/>
              <w:start w:w="105" w:type="dxa"/>
              <w:bottom w:w="90" w:type="dxa"/>
              <w:end w:w="105" w:type="dxa"/>
            </w:tcMar>
          </w:tcPr>
          <w:p>
            <w:pPr>
              <w:pStyle w:val="TableBody"/>
              <w:spacing w:after="0"/>
            </w:pPr>
            <w:r/>
            <w:r>
              <w:rPr>
                <w:b/>
                <w:color w:val="FFFFFF"/>
                <w:sz w:val="18"/>
              </w:rPr>
              <w:t>Input</w:t>
            </w:r>
          </w:p>
        </w:tc>
        <w:tc>
          <w:tcPr>
            <w:tcW w:type="dxa" w:w="6768"/>
            <w:shd w:fill="213750"/>
            <w:vAlign w:val="center"/>
            <w:tcMar>
              <w:top w:w="90" w:type="dxa"/>
              <w:start w:w="105" w:type="dxa"/>
              <w:bottom w:w="90" w:type="dxa"/>
              <w:end w:w="105" w:type="dxa"/>
            </w:tcMar>
          </w:tcPr>
          <w:p>
            <w:pPr>
              <w:pStyle w:val="TableBody"/>
              <w:spacing w:after="0"/>
            </w:pPr>
            <w:r/>
            <w:r>
              <w:rPr>
                <w:b/>
                <w:color w:val="FFFFFF"/>
                <w:sz w:val="18"/>
              </w:rPr>
              <w:t>Authority Manager disposition</w:t>
            </w:r>
          </w:p>
        </w:tc>
        <w:tc>
          <w:tcPr>
            <w:tcW w:type="dxa" w:w="5400"/>
            <w:shd w:fill="213750"/>
            <w:vAlign w:val="center"/>
            <w:tcMar>
              <w:top w:w="90" w:type="dxa"/>
              <w:start w:w="105" w:type="dxa"/>
              <w:bottom w:w="90" w:type="dxa"/>
              <w:end w:w="105" w:type="dxa"/>
            </w:tcMar>
          </w:tcPr>
          <w:p>
            <w:pPr>
              <w:pStyle w:val="TableBody"/>
              <w:spacing w:after="0"/>
            </w:pPr>
            <w:r/>
            <w:r>
              <w:rPr>
                <w:b/>
                <w:color w:val="FFFFFF"/>
                <w:sz w:val="18"/>
              </w:rPr>
              <w:t>Content implication</w:t>
            </w:r>
          </w:p>
        </w:tc>
      </w:tr>
      <w:tr>
        <w:trPr>
          <w:cantSplit/>
        </w:trPr>
        <w:tc>
          <w:tcPr>
            <w:tcW w:type="dxa" w:w="2232"/>
            <w:vAlign w:val="center"/>
            <w:tcMar>
              <w:top w:w="90" w:type="dxa"/>
              <w:start w:w="105" w:type="dxa"/>
              <w:bottom w:w="90" w:type="dxa"/>
              <w:end w:w="105" w:type="dxa"/>
            </w:tcMar>
          </w:tcPr>
          <w:p>
            <w:pPr>
              <w:pStyle w:val="TableBody"/>
              <w:spacing w:after="0"/>
            </w:pPr>
            <w:r/>
            <w:r>
              <w:rPr>
                <w:b w:val="0"/>
                <w:color w:val="202B36"/>
                <w:sz w:val="18"/>
              </w:rPr>
              <w:t>AI Search handoff (S)</w:t>
            </w:r>
          </w:p>
        </w:tc>
        <w:tc>
          <w:tcPr>
            <w:tcW w:type="dxa" w:w="6768"/>
            <w:vAlign w:val="center"/>
            <w:tcMar>
              <w:top w:w="90" w:type="dxa"/>
              <w:start w:w="105" w:type="dxa"/>
              <w:bottom w:w="90" w:type="dxa"/>
              <w:end w:w="105" w:type="dxa"/>
            </w:tcMar>
          </w:tcPr>
          <w:p>
            <w:pPr>
              <w:pStyle w:val="TableBody"/>
              <w:spacing w:after="0"/>
            </w:pPr>
            <w:r/>
            <w:r>
              <w:rPr>
                <w:b w:val="0"/>
                <w:color w:val="202B36"/>
                <w:sz w:val="18"/>
              </w:rPr>
              <w:t>Accepted as planning input with qualifications. It correctly assigns the local eligibility decision to HP-002, keeps the general model with HP-001, and identifies the three briefed questions. Extra questions, answer order and the short opening format are editorial proposals, not measured demand.</w:t>
            </w:r>
          </w:p>
        </w:tc>
        <w:tc>
          <w:tcPr>
            <w:tcW w:type="dxa" w:w="5400"/>
            <w:vAlign w:val="center"/>
            <w:tcMar>
              <w:top w:w="90" w:type="dxa"/>
              <w:start w:w="105" w:type="dxa"/>
              <w:bottom w:w="90" w:type="dxa"/>
              <w:end w:w="105" w:type="dxa"/>
            </w:tcMar>
          </w:tcPr>
          <w:p>
            <w:pPr>
              <w:pStyle w:val="TableBody"/>
              <w:spacing w:after="0"/>
            </w:pPr>
            <w:r/>
            <w:r>
              <w:rPr>
                <w:b w:val="0"/>
                <w:color w:val="202B36"/>
                <w:sz w:val="18"/>
              </w:rPr>
              <w:t>Use the question framework. Hold factual answers on coverage, availability, fees, setup, safety and proof. The handoff does not approve page copy.</w:t>
            </w:r>
          </w:p>
        </w:tc>
      </w:tr>
      <w:tr>
        <w:trPr>
          <w:cantSplit/>
        </w:trPr>
        <w:tc>
          <w:tcPr>
            <w:tcW w:type="dxa" w:w="2232"/>
            <w:shd w:fill="F4F6F8"/>
            <w:vAlign w:val="center"/>
            <w:tcMar>
              <w:top w:w="90" w:type="dxa"/>
              <w:start w:w="105" w:type="dxa"/>
              <w:bottom w:w="90" w:type="dxa"/>
              <w:end w:w="105" w:type="dxa"/>
            </w:tcMar>
          </w:tcPr>
          <w:p>
            <w:pPr>
              <w:pStyle w:val="TableBody"/>
              <w:spacing w:after="0"/>
            </w:pPr>
            <w:r/>
            <w:r>
              <w:rPr>
                <w:b w:val="0"/>
                <w:color w:val="202B36"/>
                <w:sz w:val="18"/>
              </w:rPr>
              <w:t>AI Visibility preparation (V)</w:t>
            </w:r>
          </w:p>
        </w:tc>
        <w:tc>
          <w:tcPr>
            <w:tcW w:type="dxa" w:w="6768"/>
            <w:shd w:fill="F4F6F8"/>
            <w:vAlign w:val="center"/>
            <w:tcMar>
              <w:top w:w="90" w:type="dxa"/>
              <w:start w:w="105" w:type="dxa"/>
              <w:bottom w:w="90" w:type="dxa"/>
              <w:end w:w="105" w:type="dxa"/>
            </w:tcMar>
          </w:tcPr>
          <w:p>
            <w:pPr>
              <w:pStyle w:val="TableBody"/>
              <w:spacing w:after="0"/>
            </w:pPr>
            <w:r/>
            <w:r>
              <w:rPr>
                <w:b w:val="0"/>
                <w:color w:val="202B36"/>
                <w:sz w:val="18"/>
              </w:rPr>
              <w:t>Accepted with clarification. It preserves the page boundary and rejects blanket coverage. Its “mobile VR Melbourne” secondary phrase differs from A/Architecture row 3’s “mobile VR party hire Melbourne”; its postcode/date process remains proposed.</w:t>
            </w:r>
          </w:p>
        </w:tc>
        <w:tc>
          <w:tcPr>
            <w:tcW w:type="dxa" w:w="5400"/>
            <w:shd w:fill="F4F6F8"/>
            <w:vAlign w:val="center"/>
            <w:tcMar>
              <w:top w:w="90" w:type="dxa"/>
              <w:start w:w="105" w:type="dxa"/>
              <w:bottom w:w="90" w:type="dxa"/>
              <w:end w:w="105" w:type="dxa"/>
            </w:tcMar>
          </w:tcPr>
          <w:p>
            <w:pPr>
              <w:pStyle w:val="TableBody"/>
              <w:spacing w:after="0"/>
            </w:pPr>
            <w:r/>
            <w:r>
              <w:rPr>
                <w:b w:val="0"/>
                <w:color w:val="202B36"/>
                <w:sz w:val="18"/>
              </w:rPr>
              <w:t>Keep the workbook phrase as the approved planning assignment. Strategy/Search should decide whether the shorter phrase is an additional variation. No phrase has an HP-002 volume, ranking or AI-citation result here.</w:t>
            </w:r>
          </w:p>
        </w:tc>
      </w:tr>
      <w:tr>
        <w:trPr>
          <w:cantSplit/>
        </w:trPr>
        <w:tc>
          <w:tcPr>
            <w:tcW w:type="dxa" w:w="2232"/>
            <w:vAlign w:val="center"/>
            <w:tcMar>
              <w:top w:w="90" w:type="dxa"/>
              <w:start w:w="105" w:type="dxa"/>
              <w:bottom w:w="90" w:type="dxa"/>
              <w:end w:w="105" w:type="dxa"/>
            </w:tcMar>
          </w:tcPr>
          <w:p>
            <w:pPr>
              <w:pStyle w:val="TableBody"/>
              <w:spacing w:after="0"/>
            </w:pPr>
            <w:r/>
            <w:r>
              <w:rPr>
                <w:b w:val="0"/>
                <w:color w:val="202B36"/>
                <w:sz w:val="18"/>
              </w:rPr>
              <w:t>Supplemental market pack (M)</w:t>
            </w:r>
          </w:p>
        </w:tc>
        <w:tc>
          <w:tcPr>
            <w:tcW w:type="dxa" w:w="6768"/>
            <w:vAlign w:val="center"/>
            <w:tcMar>
              <w:top w:w="90" w:type="dxa"/>
              <w:start w:w="105" w:type="dxa"/>
              <w:bottom w:w="90" w:type="dxa"/>
              <w:end w:w="105" w:type="dxa"/>
            </w:tcMar>
          </w:tcPr>
          <w:p>
            <w:pPr>
              <w:pStyle w:val="TableBody"/>
              <w:spacing w:after="0"/>
            </w:pPr>
            <w:r/>
            <w:r>
              <w:rPr>
                <w:b w:val="0"/>
                <w:color w:val="202B36"/>
                <w:sz w:val="18"/>
              </w:rPr>
              <w:t>Use only as a research draft. Competitor presentation and inferred audience questions may inform questions to investigate, but cannot verify Viri VR policies or performance.</w:t>
            </w:r>
          </w:p>
        </w:tc>
        <w:tc>
          <w:tcPr>
            <w:tcW w:type="dxa" w:w="5400"/>
            <w:vAlign w:val="center"/>
            <w:tcMar>
              <w:top w:w="90" w:type="dxa"/>
              <w:start w:w="105" w:type="dxa"/>
              <w:bottom w:w="90" w:type="dxa"/>
              <w:end w:w="105" w:type="dxa"/>
            </w:tcMar>
          </w:tcPr>
          <w:p>
            <w:pPr>
              <w:pStyle w:val="TableBody"/>
              <w:spacing w:after="0"/>
            </w:pPr>
            <w:r/>
            <w:r>
              <w:rPr>
                <w:b w:val="0"/>
                <w:color w:val="202B36"/>
                <w:sz w:val="18"/>
              </w:rPr>
              <w:t>Do not import competitor prices, coverage, equipment or safety details. Strategy Manager review remains pending.</w:t>
            </w:r>
          </w:p>
        </w:tc>
      </w:tr>
    </w:tbl>
    <w:p>
      <w:r>
        <w:t>These are upstream inputs rather than Authority Manager approval of search-specialist deliverables. Search strategy, query measurement and technical implementation remain with their owning roles.</w:t>
      </w:r>
    </w:p>
    <w:p>
      <w:pPr>
        <w:pStyle w:val="Heading1"/>
        <w:keepNext/>
      </w:pPr>
      <w:r>
        <w:t>3 Primary findings and required actions</w:t>
      </w:r>
    </w:p>
    <w:p>
      <w:r>
        <w:t>Each ID is the primary record for its material issue. High and Medium are provisional review priorities based on the stated claim or trust risk, not formal severity levels. No operational fact is verified by these planning inputs.</w:t>
      </w:r>
    </w:p>
    <w:tbl>
      <w:tblPr>
        <w:tblStyle w:val="TableGrid"/>
        <w:tblW w:type="auto" w:w="0"/>
        <w:jc w:val="center"/>
        <w:tblLayout w:type="fixed"/>
        <w:tblLook w:firstColumn="1" w:firstRow="1" w:lastColumn="0" w:lastRow="0" w:noHBand="0" w:noVBand="1" w:val="04A0"/>
      </w:tblPr>
      <w:tblGrid>
        <w:gridCol w:w="950"/>
        <w:gridCol w:w="4925"/>
        <w:gridCol w:w="3485"/>
        <w:gridCol w:w="5040"/>
      </w:tblGrid>
      <w:tr>
        <w:trPr>
          <w:tblHeader w:val="true"/>
          <w:cantSplit/>
        </w:trPr>
        <w:tc>
          <w:tcPr>
            <w:tcW w:type="dxa" w:w="950"/>
            <w:shd w:fill="213750"/>
            <w:vAlign w:val="center"/>
            <w:tcMar>
              <w:top w:w="90" w:type="dxa"/>
              <w:start w:w="105" w:type="dxa"/>
              <w:bottom w:w="90" w:type="dxa"/>
              <w:end w:w="105" w:type="dxa"/>
            </w:tcMar>
          </w:tcPr>
          <w:p>
            <w:pPr>
              <w:pStyle w:val="TableBody"/>
              <w:spacing w:after="0"/>
            </w:pPr>
            <w:r/>
            <w:r>
              <w:rPr>
                <w:b/>
                <w:color w:val="FFFFFF"/>
                <w:sz w:val="17"/>
              </w:rPr>
              <w:t>ID</w:t>
            </w:r>
          </w:p>
        </w:tc>
        <w:tc>
          <w:tcPr>
            <w:tcW w:type="dxa" w:w="4925"/>
            <w:shd w:fill="213750"/>
            <w:vAlign w:val="center"/>
            <w:tcMar>
              <w:top w:w="90" w:type="dxa"/>
              <w:start w:w="105" w:type="dxa"/>
              <w:bottom w:w="90" w:type="dxa"/>
              <w:end w:w="105" w:type="dxa"/>
            </w:tcMar>
          </w:tcPr>
          <w:p>
            <w:pPr>
              <w:pStyle w:val="TableBody"/>
              <w:spacing w:after="0"/>
            </w:pPr>
            <w:r/>
            <w:r>
              <w:rPr>
                <w:b/>
                <w:color w:val="FFFFFF"/>
                <w:sz w:val="17"/>
              </w:rPr>
              <w:t>Finding and provenance</w:t>
            </w:r>
          </w:p>
        </w:tc>
        <w:tc>
          <w:tcPr>
            <w:tcW w:type="dxa" w:w="3485"/>
            <w:shd w:fill="213750"/>
            <w:vAlign w:val="center"/>
            <w:tcMar>
              <w:top w:w="90" w:type="dxa"/>
              <w:start w:w="105" w:type="dxa"/>
              <w:bottom w:w="90" w:type="dxa"/>
              <w:end w:w="105" w:type="dxa"/>
            </w:tcMar>
          </w:tcPr>
          <w:p>
            <w:pPr>
              <w:pStyle w:val="TableBody"/>
              <w:spacing w:after="0"/>
            </w:pPr>
            <w:r/>
            <w:r>
              <w:rPr>
                <w:b/>
                <w:color w:val="FFFFFF"/>
                <w:sz w:val="17"/>
              </w:rPr>
              <w:t>Evidence status and provisional risk</w:t>
            </w:r>
          </w:p>
        </w:tc>
        <w:tc>
          <w:tcPr>
            <w:tcW w:type="dxa" w:w="5040"/>
            <w:shd w:fill="213750"/>
            <w:vAlign w:val="center"/>
            <w:tcMar>
              <w:top w:w="90" w:type="dxa"/>
              <w:start w:w="105" w:type="dxa"/>
              <w:bottom w:w="90" w:type="dxa"/>
              <w:end w:w="105" w:type="dxa"/>
            </w:tcMar>
          </w:tcPr>
          <w:p>
            <w:pPr>
              <w:pStyle w:val="TableBody"/>
              <w:spacing w:after="0"/>
            </w:pPr>
            <w:r/>
            <w:r>
              <w:rPr>
                <w:b/>
                <w:color w:val="FFFFFF"/>
                <w:sz w:val="17"/>
              </w:rPr>
              <w:t>Required action and owner</w:t>
            </w:r>
          </w:p>
        </w:tc>
      </w:tr>
      <w:tr>
        <w:trPr>
          <w:cantSplit/>
        </w:trPr>
        <w:tc>
          <w:tcPr>
            <w:tcW w:type="dxa" w:w="950"/>
            <w:vAlign w:val="center"/>
            <w:tcMar>
              <w:top w:w="90" w:type="dxa"/>
              <w:start w:w="105" w:type="dxa"/>
              <w:bottom w:w="90" w:type="dxa"/>
              <w:end w:w="105" w:type="dxa"/>
            </w:tcMar>
          </w:tcPr>
          <w:p>
            <w:pPr>
              <w:pStyle w:val="TableBody"/>
              <w:spacing w:after="0"/>
            </w:pPr>
            <w:r/>
            <w:r>
              <w:rPr>
                <w:b w:val="0"/>
                <w:color w:val="202B36"/>
                <w:sz w:val="17"/>
              </w:rPr>
              <w:t>HP2-F01</w:t>
            </w:r>
          </w:p>
        </w:tc>
        <w:tc>
          <w:tcPr>
            <w:tcW w:type="dxa" w:w="4925"/>
            <w:vAlign w:val="center"/>
            <w:tcMar>
              <w:top w:w="90" w:type="dxa"/>
              <w:start w:w="105" w:type="dxa"/>
              <w:bottom w:w="90" w:type="dxa"/>
              <w:end w:w="105" w:type="dxa"/>
            </w:tcMar>
          </w:tcPr>
          <w:p>
            <w:pPr>
              <w:pStyle w:val="TableBody"/>
              <w:spacing w:after="0"/>
            </w:pPr>
            <w:r/>
            <w:r>
              <w:rPr>
                <w:b w:val="0"/>
                <w:color w:val="202B36"/>
                <w:sz w:val="17"/>
              </w:rPr>
              <w:t>Page ownership. A/Architecture row 3 assigns the planned Melbourne eligibility, travel, setup, availability and local-proof job; A/Internal Links rows 4–5 specify the HP-001 pair.</w:t>
            </w:r>
          </w:p>
        </w:tc>
        <w:tc>
          <w:tcPr>
            <w:tcW w:type="dxa" w:w="3485"/>
            <w:vAlign w:val="center"/>
            <w:tcMar>
              <w:top w:w="90" w:type="dxa"/>
              <w:start w:w="105" w:type="dxa"/>
              <w:bottom w:w="90" w:type="dxa"/>
              <w:end w:w="105" w:type="dxa"/>
            </w:tcMar>
          </w:tcPr>
          <w:p>
            <w:pPr>
              <w:pStyle w:val="TableBody"/>
              <w:spacing w:after="0"/>
            </w:pPr>
            <w:r/>
            <w:r>
              <w:rPr>
                <w:b w:val="0"/>
                <w:color w:val="202B36"/>
                <w:sz w:val="17"/>
              </w:rPr>
              <w:t>Supported planning. Medium structural priority; this page role is not proof of local fulfilment.</w:t>
            </w:r>
          </w:p>
        </w:tc>
        <w:tc>
          <w:tcPr>
            <w:tcW w:type="dxa" w:w="5040"/>
            <w:vAlign w:val="center"/>
            <w:tcMar>
              <w:top w:w="90" w:type="dxa"/>
              <w:start w:w="105" w:type="dxa"/>
              <w:bottom w:w="90" w:type="dxa"/>
              <w:end w:w="105" w:type="dxa"/>
            </w:tcMar>
          </w:tcPr>
          <w:p>
            <w:pPr>
              <w:pStyle w:val="TableBody"/>
              <w:spacing w:after="0"/>
            </w:pPr>
            <w:r/>
            <w:r>
              <w:rPr>
                <w:b w:val="0"/>
                <w:color w:val="202B36"/>
                <w:sz w:val="17"/>
              </w:rPr>
              <w:t>Content Manager: outline the local decision path and HP-002→HP-001 link. Strategy/Search decides additional page routes; leave broad ideas and venue sourcing with their assigned owners.</w:t>
            </w:r>
          </w:p>
        </w:tc>
      </w:tr>
      <w:tr>
        <w:trPr>
          <w:cantSplit/>
        </w:trPr>
        <w:tc>
          <w:tcPr>
            <w:tcW w:type="dxa" w:w="950"/>
            <w:shd w:fill="F4F6F8"/>
            <w:vAlign w:val="center"/>
            <w:tcMar>
              <w:top w:w="90" w:type="dxa"/>
              <w:start w:w="105" w:type="dxa"/>
              <w:bottom w:w="90" w:type="dxa"/>
              <w:end w:w="105" w:type="dxa"/>
            </w:tcMar>
          </w:tcPr>
          <w:p>
            <w:pPr>
              <w:pStyle w:val="TableBody"/>
              <w:spacing w:after="0"/>
            </w:pPr>
            <w:r/>
            <w:r>
              <w:rPr>
                <w:b w:val="0"/>
                <w:color w:val="202B36"/>
                <w:sz w:val="17"/>
              </w:rPr>
              <w:t>HP2-F02</w:t>
            </w:r>
          </w:p>
        </w:tc>
        <w:tc>
          <w:tcPr>
            <w:tcW w:type="dxa" w:w="4925"/>
            <w:shd w:fill="F4F6F8"/>
            <w:vAlign w:val="center"/>
            <w:tcMar>
              <w:top w:w="90" w:type="dxa"/>
              <w:start w:w="105" w:type="dxa"/>
              <w:bottom w:w="90" w:type="dxa"/>
              <w:end w:w="105" w:type="dxa"/>
            </w:tcMar>
          </w:tcPr>
          <w:p>
            <w:pPr>
              <w:pStyle w:val="TableBody"/>
              <w:spacing w:after="0"/>
            </w:pPr>
            <w:r/>
            <w:r>
              <w:rPr>
                <w:b w:val="0"/>
                <w:color w:val="202B36"/>
                <w:sz w:val="17"/>
              </w:rPr>
              <w:t>Proposed fulfilment copy. A/Architecture row 3 proposes “Hosted at Your Home” and meta wording promising headsets, games, setup and event support.</w:t>
            </w:r>
          </w:p>
        </w:tc>
        <w:tc>
          <w:tcPr>
            <w:tcW w:type="dxa" w:w="3485"/>
            <w:shd w:fill="F4F6F8"/>
            <w:vAlign w:val="center"/>
            <w:tcMar>
              <w:top w:w="90" w:type="dxa"/>
              <w:start w:w="105" w:type="dxa"/>
              <w:bottom w:w="90" w:type="dxa"/>
              <w:end w:w="105" w:type="dxa"/>
            </w:tcMar>
          </w:tcPr>
          <w:p>
            <w:pPr>
              <w:pStyle w:val="TableBody"/>
              <w:spacing w:after="0"/>
            </w:pPr>
            <w:r/>
            <w:r>
              <w:rPr>
                <w:b w:val="0"/>
                <w:color w:val="202B36"/>
                <w:sz w:val="17"/>
              </w:rPr>
              <w:t>Unsupported — withhold as factual copy. High: a prominent title/meta promise could be read as verified service terms.</w:t>
            </w:r>
          </w:p>
        </w:tc>
        <w:tc>
          <w:tcPr>
            <w:tcW w:type="dxa" w:w="5040"/>
            <w:shd w:fill="F4F6F8"/>
            <w:vAlign w:val="center"/>
            <w:tcMar>
              <w:top w:w="90" w:type="dxa"/>
              <w:start w:w="105" w:type="dxa"/>
              <w:bottom w:w="90" w:type="dxa"/>
              <w:end w:w="105" w:type="dxa"/>
            </w:tcMar>
          </w:tcPr>
          <w:p>
            <w:pPr>
              <w:pStyle w:val="TableBody"/>
              <w:spacing w:after="0"/>
            </w:pPr>
            <w:r/>
            <w:r>
              <w:rPr>
                <w:b w:val="0"/>
                <w:color w:val="202B36"/>
                <w:sz w:val="17"/>
              </w:rPr>
              <w:t>Ajith/operations: supply a current mobile offer and fulfilment record with effective date and applicable locations. Content Manager: check title, meta and opening copy against that record.</w:t>
            </w:r>
          </w:p>
        </w:tc>
      </w:tr>
      <w:tr>
        <w:trPr>
          <w:cantSplit/>
        </w:trPr>
        <w:tc>
          <w:tcPr>
            <w:tcW w:type="dxa" w:w="950"/>
            <w:vAlign w:val="center"/>
            <w:tcMar>
              <w:top w:w="90" w:type="dxa"/>
              <w:start w:w="105" w:type="dxa"/>
              <w:bottom w:w="90" w:type="dxa"/>
              <w:end w:w="105" w:type="dxa"/>
            </w:tcMar>
          </w:tcPr>
          <w:p>
            <w:pPr>
              <w:pStyle w:val="TableBody"/>
              <w:spacing w:after="0"/>
            </w:pPr>
            <w:r/>
            <w:r>
              <w:rPr>
                <w:b w:val="0"/>
                <w:color w:val="202B36"/>
                <w:sz w:val="17"/>
              </w:rPr>
              <w:t>HP2-F03</w:t>
            </w:r>
          </w:p>
        </w:tc>
        <w:tc>
          <w:tcPr>
            <w:tcW w:type="dxa" w:w="4925"/>
            <w:vAlign w:val="center"/>
            <w:tcMar>
              <w:top w:w="90" w:type="dxa"/>
              <w:start w:w="105" w:type="dxa"/>
              <w:bottom w:w="90" w:type="dxa"/>
              <w:end w:w="105" w:type="dxa"/>
            </w:tcMar>
          </w:tcPr>
          <w:p>
            <w:pPr>
              <w:pStyle w:val="TableBody"/>
              <w:spacing w:after="0"/>
            </w:pPr>
            <w:r/>
            <w:r>
              <w:rPr>
                <w:b w:val="0"/>
                <w:color w:val="202B36"/>
                <w:sz w:val="17"/>
              </w:rPr>
              <w:t>Coverage and eligibility. A/Content Briefs row 3 asks which suburbs can be served and requires an approved map; S and V favour an eligibility approach. No map is included.</w:t>
            </w:r>
          </w:p>
        </w:tc>
        <w:tc>
          <w:tcPr>
            <w:tcW w:type="dxa" w:w="3485"/>
            <w:vAlign w:val="center"/>
            <w:tcMar>
              <w:top w:w="90" w:type="dxa"/>
              <w:start w:w="105" w:type="dxa"/>
              <w:bottom w:w="90" w:type="dxa"/>
              <w:end w:w="105" w:type="dxa"/>
            </w:tcMar>
          </w:tcPr>
          <w:p>
            <w:pPr>
              <w:pStyle w:val="TableBody"/>
              <w:spacing w:after="0"/>
            </w:pPr>
            <w:r/>
            <w:r>
              <w:rPr>
                <w:b w:val="0"/>
                <w:color w:val="202B36"/>
                <w:sz w:val="17"/>
              </w:rPr>
              <w:t>Unsupported — withhold named postcodes, suburb lists and all-Melbourne assertions. High: false local eligibility misdirects organisers.</w:t>
            </w:r>
          </w:p>
        </w:tc>
        <w:tc>
          <w:tcPr>
            <w:tcW w:type="dxa" w:w="5040"/>
            <w:vAlign w:val="center"/>
            <w:tcMar>
              <w:top w:w="90" w:type="dxa"/>
              <w:start w:w="105" w:type="dxa"/>
              <w:bottom w:w="90" w:type="dxa"/>
              <w:end w:w="105" w:type="dxa"/>
            </w:tcMar>
          </w:tcPr>
          <w:p>
            <w:pPr>
              <w:pStyle w:val="TableBody"/>
              <w:spacing w:after="0"/>
            </w:pPr>
            <w:r/>
            <w:r>
              <w:rPr>
                <w:b w:val="0"/>
                <w:color w:val="202B36"/>
                <w:sz w:val="17"/>
              </w:rPr>
              <w:t>Ajith/operations: provide a dated map, exclusions, exceptions and revalidation owner. Public copy and local profiles may state only the supported scope.</w:t>
            </w:r>
          </w:p>
        </w:tc>
      </w:tr>
      <w:tr>
        <w:trPr>
          <w:cantSplit/>
        </w:trPr>
        <w:tc>
          <w:tcPr>
            <w:tcW w:type="dxa" w:w="950"/>
            <w:shd w:fill="F4F6F8"/>
            <w:vAlign w:val="center"/>
            <w:tcMar>
              <w:top w:w="90" w:type="dxa"/>
              <w:start w:w="105" w:type="dxa"/>
              <w:bottom w:w="90" w:type="dxa"/>
              <w:end w:w="105" w:type="dxa"/>
            </w:tcMar>
          </w:tcPr>
          <w:p>
            <w:pPr>
              <w:pStyle w:val="TableBody"/>
              <w:spacing w:after="0"/>
            </w:pPr>
            <w:r/>
            <w:r>
              <w:rPr>
                <w:b w:val="0"/>
                <w:color w:val="202B36"/>
                <w:sz w:val="17"/>
              </w:rPr>
              <w:t>HP2-F04</w:t>
            </w:r>
          </w:p>
        </w:tc>
        <w:tc>
          <w:tcPr>
            <w:tcW w:type="dxa" w:w="4925"/>
            <w:shd w:fill="F4F6F8"/>
            <w:vAlign w:val="center"/>
            <w:tcMar>
              <w:top w:w="90" w:type="dxa"/>
              <w:start w:w="105" w:type="dxa"/>
              <w:bottom w:w="90" w:type="dxa"/>
              <w:end w:w="105" w:type="dxa"/>
            </w:tcMar>
          </w:tcPr>
          <w:p>
            <w:pPr>
              <w:pStyle w:val="TableBody"/>
              <w:spacing w:after="0"/>
            </w:pPr>
            <w:r/>
            <w:r>
              <w:rPr>
                <w:b w:val="0"/>
                <w:color w:val="202B36"/>
                <w:sz w:val="17"/>
              </w:rPr>
              <w:t>Checker, dates and booking. A/Architecture row 3 proposes a suburb/date checker and availability CTA; S pp. 2–4 and V describe a conditional check route.</w:t>
            </w:r>
          </w:p>
        </w:tc>
        <w:tc>
          <w:tcPr>
            <w:tcW w:type="dxa" w:w="3485"/>
            <w:shd w:fill="F4F6F8"/>
            <w:vAlign w:val="center"/>
            <w:tcMar>
              <w:top w:w="90" w:type="dxa"/>
              <w:start w:w="105" w:type="dxa"/>
              <w:bottom w:w="90" w:type="dxa"/>
              <w:end w:w="105" w:type="dxa"/>
            </w:tcMar>
          </w:tcPr>
          <w:p>
            <w:pPr>
              <w:pStyle w:val="TableBody"/>
              <w:spacing w:after="0"/>
            </w:pPr>
            <w:r/>
            <w:r>
              <w:rPr>
                <w:b w:val="0"/>
                <w:color w:val="202B36"/>
                <w:sz w:val="17"/>
              </w:rPr>
              <w:t>Evidence required for working behaviour, live capacity, response time and booking status. Unsupported — withhold instant-confirmation implications. High: an enquiry could be mistaken for an accepted booking.</w:t>
            </w:r>
          </w:p>
        </w:tc>
        <w:tc>
          <w:tcPr>
            <w:tcW w:type="dxa" w:w="5040"/>
            <w:shd w:fill="F4F6F8"/>
            <w:vAlign w:val="center"/>
            <w:tcMar>
              <w:top w:w="90" w:type="dxa"/>
              <w:start w:w="105" w:type="dxa"/>
              <w:bottom w:w="90" w:type="dxa"/>
              <w:end w:w="105" w:type="dxa"/>
            </w:tcMar>
          </w:tcPr>
          <w:p>
            <w:pPr>
              <w:pStyle w:val="TableBody"/>
              <w:spacing w:after="0"/>
            </w:pPr>
            <w:r/>
            <w:r>
              <w:rPr>
                <w:b w:val="0"/>
                <w:color w:val="202B36"/>
                <w:sz w:val="17"/>
              </w:rPr>
              <w:t>Ajith/operations and product: document and test rules, inventory, lead time, responses and fallback with dates/versions. Privacy owner reviews collected data. Distinguish acknowledgement from confirmation.</w:t>
            </w:r>
          </w:p>
        </w:tc>
      </w:tr>
      <w:tr>
        <w:trPr>
          <w:cantSplit/>
        </w:trPr>
        <w:tc>
          <w:tcPr>
            <w:tcW w:type="dxa" w:w="950"/>
            <w:vAlign w:val="center"/>
            <w:tcMar>
              <w:top w:w="90" w:type="dxa"/>
              <w:start w:w="105" w:type="dxa"/>
              <w:bottom w:w="90" w:type="dxa"/>
              <w:end w:w="105" w:type="dxa"/>
            </w:tcMar>
          </w:tcPr>
          <w:p>
            <w:pPr>
              <w:pStyle w:val="TableBody"/>
              <w:spacing w:after="0"/>
            </w:pPr>
            <w:r/>
            <w:r>
              <w:rPr>
                <w:b w:val="0"/>
                <w:color w:val="202B36"/>
                <w:sz w:val="17"/>
              </w:rPr>
              <w:t>HP2-F05</w:t>
            </w:r>
          </w:p>
        </w:tc>
        <w:tc>
          <w:tcPr>
            <w:tcW w:type="dxa" w:w="4925"/>
            <w:vAlign w:val="center"/>
            <w:tcMar>
              <w:top w:w="90" w:type="dxa"/>
              <w:start w:w="105" w:type="dxa"/>
              <w:bottom w:w="90" w:type="dxa"/>
              <w:end w:w="105" w:type="dxa"/>
            </w:tcMar>
          </w:tcPr>
          <w:p>
            <w:pPr>
              <w:pStyle w:val="TableBody"/>
              <w:spacing w:after="0"/>
            </w:pPr>
            <w:r/>
            <w:r>
              <w:rPr>
                <w:b w:val="0"/>
                <w:color w:val="202B36"/>
                <w:sz w:val="17"/>
              </w:rPr>
              <w:t>Travel and commercial terms. A/Architecture and Content Briefs row 3 require travel rules/fees, packages, inclusions and local pricing but give no approved mobile terms.</w:t>
            </w:r>
          </w:p>
        </w:tc>
        <w:tc>
          <w:tcPr>
            <w:tcW w:type="dxa" w:w="3485"/>
            <w:vAlign w:val="center"/>
            <w:tcMar>
              <w:top w:w="90" w:type="dxa"/>
              <w:start w:w="105" w:type="dxa"/>
              <w:bottom w:w="90" w:type="dxa"/>
              <w:end w:w="105" w:type="dxa"/>
            </w:tcMar>
          </w:tcPr>
          <w:p>
            <w:pPr>
              <w:pStyle w:val="TableBody"/>
              <w:spacing w:after="0"/>
            </w:pPr>
            <w:r/>
            <w:r>
              <w:rPr>
                <w:b w:val="0"/>
                <w:color w:val="202B36"/>
                <w:sz w:val="17"/>
              </w:rPr>
              <w:t>Evidence required; withhold amounts, “free travel” and inclusion claims. High: incorrect commercial terms erode decision-stage trust.</w:t>
            </w:r>
          </w:p>
        </w:tc>
        <w:tc>
          <w:tcPr>
            <w:tcW w:type="dxa" w:w="5040"/>
            <w:vAlign w:val="center"/>
            <w:tcMar>
              <w:top w:w="90" w:type="dxa"/>
              <w:start w:w="105" w:type="dxa"/>
              <w:bottom w:w="90" w:type="dxa"/>
              <w:end w:w="105" w:type="dxa"/>
            </w:tcMar>
          </w:tcPr>
          <w:p>
            <w:pPr>
              <w:pStyle w:val="TableBody"/>
              <w:spacing w:after="0"/>
            </w:pPr>
            <w:r/>
            <w:r>
              <w:rPr>
                <w:b w:val="0"/>
                <w:color w:val="202B36"/>
                <w:sz w:val="17"/>
              </w:rPr>
              <w:t>Ajith and pricing owner: provide dated fee rules, exceptions, package sheets and approved quote wording. Do not transfer venue or competitor prices.</w:t>
            </w:r>
          </w:p>
        </w:tc>
      </w:tr>
      <w:tr>
        <w:trPr>
          <w:cantSplit/>
        </w:trPr>
        <w:tc>
          <w:tcPr>
            <w:tcW w:type="dxa" w:w="950"/>
            <w:shd w:fill="F4F6F8"/>
            <w:vAlign w:val="center"/>
            <w:tcMar>
              <w:top w:w="90" w:type="dxa"/>
              <w:start w:w="105" w:type="dxa"/>
              <w:bottom w:w="90" w:type="dxa"/>
              <w:end w:w="105" w:type="dxa"/>
            </w:tcMar>
          </w:tcPr>
          <w:p>
            <w:pPr>
              <w:pStyle w:val="TableBody"/>
              <w:spacing w:after="0"/>
            </w:pPr>
            <w:r/>
            <w:r>
              <w:rPr>
                <w:b w:val="0"/>
                <w:color w:val="202B36"/>
                <w:sz w:val="17"/>
              </w:rPr>
              <w:t>HP2-F06</w:t>
            </w:r>
          </w:p>
        </w:tc>
        <w:tc>
          <w:tcPr>
            <w:tcW w:type="dxa" w:w="4925"/>
            <w:shd w:fill="F4F6F8"/>
            <w:vAlign w:val="center"/>
            <w:tcMar>
              <w:top w:w="90" w:type="dxa"/>
              <w:start w:w="105" w:type="dxa"/>
              <w:bottom w:w="90" w:type="dxa"/>
              <w:end w:w="105" w:type="dxa"/>
            </w:tcMar>
          </w:tcPr>
          <w:p>
            <w:pPr>
              <w:pStyle w:val="TableBody"/>
              <w:spacing w:after="0"/>
            </w:pPr>
            <w:r/>
            <w:r>
              <w:rPr>
                <w:b w:val="0"/>
                <w:color w:val="202B36"/>
                <w:sz w:val="17"/>
              </w:rPr>
              <w:t>Preparation and delivery. A/Architecture row 3 lists space, access, parking/stairs, power, connectivity, setup timing, staffing, capacity and weather. Content Briefs row 3 gives planned semantic relationships.</w:t>
            </w:r>
          </w:p>
        </w:tc>
        <w:tc>
          <w:tcPr>
            <w:tcW w:type="dxa" w:w="3485"/>
            <w:shd w:fill="F4F6F8"/>
            <w:vAlign w:val="center"/>
            <w:tcMar>
              <w:top w:w="90" w:type="dxa"/>
              <w:start w:w="105" w:type="dxa"/>
              <w:bottom w:w="90" w:type="dxa"/>
              <w:end w:w="105" w:type="dxa"/>
            </w:tcMar>
          </w:tcPr>
          <w:p>
            <w:pPr>
              <w:pStyle w:val="TableBody"/>
              <w:spacing w:after="0"/>
            </w:pPr>
            <w:r/>
            <w:r>
              <w:rPr>
                <w:b w:val="0"/>
                <w:color w:val="202B36"/>
                <w:sz w:val="17"/>
              </w:rPr>
              <w:t>Evidence required for thresholds, quantities, timing, process and fallbacks. High: inaccurate preparation advice can make an event infeasible or unsafe.</w:t>
            </w:r>
          </w:p>
        </w:tc>
        <w:tc>
          <w:tcPr>
            <w:tcW w:type="dxa" w:w="5040"/>
            <w:shd w:fill="F4F6F8"/>
            <w:vAlign w:val="center"/>
            <w:tcMar>
              <w:top w:w="90" w:type="dxa"/>
              <w:start w:w="105" w:type="dxa"/>
              <w:bottom w:w="90" w:type="dxa"/>
              <w:end w:w="105" w:type="dxa"/>
            </w:tcMar>
          </w:tcPr>
          <w:p>
            <w:pPr>
              <w:pStyle w:val="TableBody"/>
              <w:spacing w:after="0"/>
            </w:pPr>
            <w:r/>
            <w:r>
              <w:rPr>
                <w:b w:val="0"/>
                <w:color w:val="202B36"/>
                <w:sz w:val="17"/>
              </w:rPr>
              <w:t>Ajith/operations with technical and safety owners: provide tested mobile checklist, run sheet, equipment requirements, limits and exceptions. Content Manager may reserve a preparation section without unsupported answers.</w:t>
            </w:r>
          </w:p>
        </w:tc>
      </w:tr>
      <w:tr>
        <w:trPr>
          <w:cantSplit/>
        </w:trPr>
        <w:tc>
          <w:tcPr>
            <w:tcW w:type="dxa" w:w="950"/>
            <w:vAlign w:val="center"/>
            <w:tcMar>
              <w:top w:w="90" w:type="dxa"/>
              <w:start w:w="105" w:type="dxa"/>
              <w:bottom w:w="90" w:type="dxa"/>
              <w:end w:w="105" w:type="dxa"/>
            </w:tcMar>
          </w:tcPr>
          <w:p>
            <w:pPr>
              <w:pStyle w:val="TableBody"/>
              <w:spacing w:after="0"/>
            </w:pPr>
            <w:r/>
            <w:r>
              <w:rPr>
                <w:b w:val="0"/>
                <w:color w:val="202B36"/>
                <w:sz w:val="17"/>
              </w:rPr>
              <w:t>HP2-F07</w:t>
            </w:r>
          </w:p>
        </w:tc>
        <w:tc>
          <w:tcPr>
            <w:tcW w:type="dxa" w:w="4925"/>
            <w:vAlign w:val="center"/>
            <w:tcMar>
              <w:top w:w="90" w:type="dxa"/>
              <w:start w:w="105" w:type="dxa"/>
              <w:bottom w:w="90" w:type="dxa"/>
              <w:end w:w="105" w:type="dxa"/>
            </w:tcMar>
          </w:tcPr>
          <w:p>
            <w:pPr>
              <w:pStyle w:val="TableBody"/>
              <w:spacing w:after="0"/>
            </w:pPr>
            <w:r/>
            <w:r>
              <w:rPr>
                <w:b w:val="0"/>
                <w:color w:val="202B36"/>
                <w:sz w:val="17"/>
              </w:rPr>
              <w:t>Age, safety and insurance. A/Content Briefs row 3 requests local public-liability evidence; neither specialist input provides the applicable policies.</w:t>
            </w:r>
          </w:p>
        </w:tc>
        <w:tc>
          <w:tcPr>
            <w:tcW w:type="dxa" w:w="3485"/>
            <w:vAlign w:val="center"/>
            <w:tcMar>
              <w:top w:w="90" w:type="dxa"/>
              <w:start w:w="105" w:type="dxa"/>
              <w:bottom w:w="90" w:type="dxa"/>
              <w:end w:w="105" w:type="dxa"/>
            </w:tcMar>
          </w:tcPr>
          <w:p>
            <w:pPr>
              <w:pStyle w:val="TableBody"/>
              <w:spacing w:after="0"/>
            </w:pPr>
            <w:r/>
            <w:r>
              <w:rPr>
                <w:b w:val="0"/>
                <w:color w:val="202B36"/>
                <w:sz w:val="17"/>
              </w:rPr>
              <w:t>Unsupported — withhold assurances pending claim-matched review. High: sensitive trust, suitability and liability claims.</w:t>
            </w:r>
          </w:p>
        </w:tc>
        <w:tc>
          <w:tcPr>
            <w:tcW w:type="dxa" w:w="5040"/>
            <w:vAlign w:val="center"/>
            <w:tcMar>
              <w:top w:w="90" w:type="dxa"/>
              <w:start w:w="105" w:type="dxa"/>
              <w:bottom w:w="90" w:type="dxa"/>
              <w:end w:w="105" w:type="dxa"/>
            </w:tcMar>
          </w:tcPr>
          <w:p>
            <w:pPr>
              <w:pStyle w:val="TableBody"/>
              <w:spacing w:after="0"/>
            </w:pPr>
            <w:r/>
            <w:r>
              <w:rPr>
                <w:b w:val="0"/>
                <w:color w:val="202B36"/>
                <w:sz w:val="17"/>
              </w:rPr>
              <w:t>Ajith routes exact wording and current documents to designated safety, insurance and legal owners. Record cover scope and dates; use only cleared public wording.</w:t>
            </w:r>
          </w:p>
        </w:tc>
      </w:tr>
      <w:tr>
        <w:trPr>
          <w:cantSplit/>
        </w:trPr>
        <w:tc>
          <w:tcPr>
            <w:tcW w:type="dxa" w:w="950"/>
            <w:shd w:fill="F4F6F8"/>
            <w:vAlign w:val="center"/>
            <w:tcMar>
              <w:top w:w="90" w:type="dxa"/>
              <w:start w:w="105" w:type="dxa"/>
              <w:bottom w:w="90" w:type="dxa"/>
              <w:end w:w="105" w:type="dxa"/>
            </w:tcMar>
          </w:tcPr>
          <w:p>
            <w:pPr>
              <w:pStyle w:val="TableBody"/>
              <w:spacing w:after="0"/>
            </w:pPr>
            <w:r/>
            <w:r>
              <w:rPr>
                <w:b w:val="0"/>
                <w:color w:val="202B36"/>
                <w:sz w:val="17"/>
              </w:rPr>
              <w:t>HP2-F08</w:t>
            </w:r>
          </w:p>
        </w:tc>
        <w:tc>
          <w:tcPr>
            <w:tcW w:type="dxa" w:w="4925"/>
            <w:shd w:fill="F4F6F8"/>
            <w:vAlign w:val="center"/>
            <w:tcMar>
              <w:top w:w="90" w:type="dxa"/>
              <w:start w:w="105" w:type="dxa"/>
              <w:bottom w:w="90" w:type="dxa"/>
              <w:end w:w="105" w:type="dxa"/>
            </w:tcMar>
          </w:tcPr>
          <w:p>
            <w:pPr>
              <w:pStyle w:val="TableBody"/>
              <w:spacing w:after="0"/>
            </w:pPr>
            <w:r/>
            <w:r>
              <w:rPr>
                <w:b w:val="0"/>
                <w:color w:val="202B36"/>
                <w:sz w:val="17"/>
              </w:rPr>
              <w:t>Local first-party proof. A/Architecture row 3 proposes a local case and photos; Content Briefs row 3 requires Melbourne customer proof. None is in the reviewed set.</w:t>
            </w:r>
          </w:p>
        </w:tc>
        <w:tc>
          <w:tcPr>
            <w:tcW w:type="dxa" w:w="3485"/>
            <w:shd w:fill="F4F6F8"/>
            <w:vAlign w:val="center"/>
            <w:tcMar>
              <w:top w:w="90" w:type="dxa"/>
              <w:start w:w="105" w:type="dxa"/>
              <w:bottom w:w="90" w:type="dxa"/>
              <w:end w:w="105" w:type="dxa"/>
            </w:tcMar>
          </w:tcPr>
          <w:p>
            <w:pPr>
              <w:pStyle w:val="TableBody"/>
              <w:spacing w:after="0"/>
            </w:pPr>
            <w:r/>
            <w:r>
              <w:rPr>
                <w:b w:val="0"/>
                <w:color w:val="202B36"/>
                <w:sz w:val="17"/>
              </w:rPr>
              <w:t>Evidence required. High: venue, stock or unverified assets may falsely imply a local home event.</w:t>
            </w:r>
          </w:p>
        </w:tc>
        <w:tc>
          <w:tcPr>
            <w:tcW w:type="dxa" w:w="5040"/>
            <w:shd w:fill="F4F6F8"/>
            <w:vAlign w:val="center"/>
            <w:tcMar>
              <w:top w:w="90" w:type="dxa"/>
              <w:start w:w="105" w:type="dxa"/>
              <w:bottom w:w="90" w:type="dxa"/>
              <w:end w:w="105" w:type="dxa"/>
            </w:tcMar>
          </w:tcPr>
          <w:p>
            <w:pPr>
              <w:pStyle w:val="TableBody"/>
              <w:spacing w:after="0"/>
            </w:pPr>
            <w:r/>
            <w:r>
              <w:rPr>
                <w:b w:val="0"/>
                <w:color w:val="202B36"/>
                <w:sz w:val="17"/>
              </w:rPr>
              <w:t>Ajith/evidence and consent owners: record actual event date and setting, provenance, rights and approved detail. Brand Authority Builder reviews presentation after validation. Internal provenance is not publication permission.</w:t>
            </w:r>
          </w:p>
        </w:tc>
      </w:tr>
      <w:tr>
        <w:trPr>
          <w:cantSplit/>
        </w:trPr>
        <w:tc>
          <w:tcPr>
            <w:tcW w:type="dxa" w:w="950"/>
            <w:vAlign w:val="center"/>
            <w:tcMar>
              <w:top w:w="90" w:type="dxa"/>
              <w:start w:w="105" w:type="dxa"/>
              <w:bottom w:w="90" w:type="dxa"/>
              <w:end w:w="105" w:type="dxa"/>
            </w:tcMar>
          </w:tcPr>
          <w:p>
            <w:pPr>
              <w:pStyle w:val="TableBody"/>
              <w:spacing w:after="0"/>
            </w:pPr>
            <w:r/>
            <w:r>
              <w:rPr>
                <w:b w:val="0"/>
                <w:color w:val="202B36"/>
                <w:sz w:val="17"/>
              </w:rPr>
              <w:t>HP2-F09</w:t>
            </w:r>
          </w:p>
        </w:tc>
        <w:tc>
          <w:tcPr>
            <w:tcW w:type="dxa" w:w="4925"/>
            <w:vAlign w:val="center"/>
            <w:tcMar>
              <w:top w:w="90" w:type="dxa"/>
              <w:start w:w="105" w:type="dxa"/>
              <w:bottom w:w="90" w:type="dxa"/>
              <w:end w:w="105" w:type="dxa"/>
            </w:tcMar>
          </w:tcPr>
          <w:p>
            <w:pPr>
              <w:pStyle w:val="TableBody"/>
              <w:spacing w:after="0"/>
            </w:pPr>
            <w:r/>
            <w:r>
              <w:rPr>
                <w:b w:val="0"/>
                <w:color w:val="202B36"/>
                <w:sz w:val="17"/>
              </w:rPr>
              <w:t>Address and photo data. A/Content Briefs row 3 plans address use under a privacy policy; Architecture row 3 proposes space-photo upload.</w:t>
            </w:r>
          </w:p>
        </w:tc>
        <w:tc>
          <w:tcPr>
            <w:tcW w:type="dxa" w:w="3485"/>
            <w:vAlign w:val="center"/>
            <w:tcMar>
              <w:top w:w="90" w:type="dxa"/>
              <w:start w:w="105" w:type="dxa"/>
              <w:bottom w:w="90" w:type="dxa"/>
              <w:end w:w="105" w:type="dxa"/>
            </w:tcMar>
          </w:tcPr>
          <w:p>
            <w:pPr>
              <w:pStyle w:val="TableBody"/>
              <w:spacing w:after="0"/>
            </w:pPr>
            <w:r/>
            <w:r>
              <w:rPr>
                <w:b w:val="0"/>
                <w:color w:val="202B36"/>
                <w:sz w:val="17"/>
              </w:rPr>
              <w:t>Human confirmation required. High: the plan does not establish approved fields, notices, access, retention, consent or working upload.</w:t>
            </w:r>
          </w:p>
        </w:tc>
        <w:tc>
          <w:tcPr>
            <w:tcW w:type="dxa" w:w="5040"/>
            <w:vAlign w:val="center"/>
            <w:tcMar>
              <w:top w:w="90" w:type="dxa"/>
              <w:start w:w="105" w:type="dxa"/>
              <w:bottom w:w="90" w:type="dxa"/>
              <w:end w:w="105" w:type="dxa"/>
            </w:tcMar>
          </w:tcPr>
          <w:p>
            <w:pPr>
              <w:pStyle w:val="TableBody"/>
              <w:spacing w:after="0"/>
            </w:pPr>
            <w:r/>
            <w:r>
              <w:rPr>
                <w:b w:val="0"/>
                <w:color w:val="202B36"/>
                <w:sz w:val="17"/>
              </w:rPr>
              <w:t>Product and privacy owners: agree and test the form, notices, permissions, retention and fallback before enabling it. Keep the feature as an internal placeholder.</w:t>
            </w:r>
          </w:p>
        </w:tc>
      </w:tr>
      <w:tr>
        <w:trPr>
          <w:cantSplit/>
        </w:trPr>
        <w:tc>
          <w:tcPr>
            <w:tcW w:type="dxa" w:w="950"/>
            <w:shd w:fill="F4F6F8"/>
            <w:vAlign w:val="center"/>
            <w:tcMar>
              <w:top w:w="90" w:type="dxa"/>
              <w:start w:w="105" w:type="dxa"/>
              <w:bottom w:w="90" w:type="dxa"/>
              <w:end w:w="105" w:type="dxa"/>
            </w:tcMar>
          </w:tcPr>
          <w:p>
            <w:pPr>
              <w:pStyle w:val="TableBody"/>
              <w:spacing w:after="0"/>
            </w:pPr>
            <w:r/>
            <w:r>
              <w:rPr>
                <w:b w:val="0"/>
                <w:color w:val="202B36"/>
                <w:sz w:val="17"/>
              </w:rPr>
              <w:t>HP2-F10</w:t>
            </w:r>
          </w:p>
        </w:tc>
        <w:tc>
          <w:tcPr>
            <w:tcW w:type="dxa" w:w="4925"/>
            <w:shd w:fill="F4F6F8"/>
            <w:vAlign w:val="center"/>
            <w:tcMar>
              <w:top w:w="90" w:type="dxa"/>
              <w:start w:w="105" w:type="dxa"/>
              <w:bottom w:w="90" w:type="dxa"/>
              <w:end w:w="105" w:type="dxa"/>
            </w:tcMar>
          </w:tcPr>
          <w:p>
            <w:pPr>
              <w:pStyle w:val="TableBody"/>
              <w:spacing w:after="0"/>
            </w:pPr>
            <w:r/>
            <w:r>
              <w:rPr>
                <w:b w:val="0"/>
                <w:color w:val="202B36"/>
                <w:sz w:val="17"/>
              </w:rPr>
              <w:t>Location choices. A/Architecture row 3 asks for distinctions between home, customer-selected venue and partner venue and warns against obsolete fixed-venue references.</w:t>
            </w:r>
          </w:p>
        </w:tc>
        <w:tc>
          <w:tcPr>
            <w:tcW w:type="dxa" w:w="3485"/>
            <w:shd w:fill="F4F6F8"/>
            <w:vAlign w:val="center"/>
            <w:tcMar>
              <w:top w:w="90" w:type="dxa"/>
              <w:start w:w="105" w:type="dxa"/>
              <w:bottom w:w="90" w:type="dxa"/>
              <w:end w:w="105" w:type="dxa"/>
            </w:tcMar>
          </w:tcPr>
          <w:p>
            <w:pPr>
              <w:pStyle w:val="TableBody"/>
              <w:spacing w:after="0"/>
            </w:pPr>
            <w:r/>
            <w:r>
              <w:rPr>
                <w:b w:val="0"/>
                <w:color w:val="202B36"/>
                <w:sz w:val="17"/>
              </w:rPr>
              <w:t>Evidence required. Medium: the plan does not establish which delivery options are currently available.</w:t>
            </w:r>
          </w:p>
        </w:tc>
        <w:tc>
          <w:tcPr>
            <w:tcW w:type="dxa" w:w="5040"/>
            <w:shd w:fill="F4F6F8"/>
            <w:vAlign w:val="center"/>
            <w:tcMar>
              <w:top w:w="90" w:type="dxa"/>
              <w:start w:w="105" w:type="dxa"/>
              <w:bottom w:w="90" w:type="dxa"/>
              <w:end w:w="105" w:type="dxa"/>
            </w:tcMar>
          </w:tcPr>
          <w:p>
            <w:pPr>
              <w:pStyle w:val="TableBody"/>
              <w:spacing w:after="0"/>
            </w:pPr>
            <w:r/>
            <w:r>
              <w:rPr>
                <w:b w:val="0"/>
                <w:color w:val="202B36"/>
                <w:sz w:val="17"/>
              </w:rPr>
              <w:t>Ajith/operations confirms options and responsibilities. Strategy/Search and PVH-001 owner settle the page boundary; do not promise unconfirmed venue choices.</w:t>
            </w:r>
          </w:p>
        </w:tc>
      </w:tr>
      <w:tr>
        <w:trPr>
          <w:cantSplit/>
        </w:trPr>
        <w:tc>
          <w:tcPr>
            <w:tcW w:type="dxa" w:w="950"/>
            <w:vAlign w:val="center"/>
            <w:tcMar>
              <w:top w:w="90" w:type="dxa"/>
              <w:start w:w="105" w:type="dxa"/>
              <w:bottom w:w="90" w:type="dxa"/>
              <w:end w:w="105" w:type="dxa"/>
            </w:tcMar>
          </w:tcPr>
          <w:p>
            <w:pPr>
              <w:pStyle w:val="TableBody"/>
              <w:spacing w:after="0"/>
            </w:pPr>
            <w:r/>
            <w:r>
              <w:rPr>
                <w:b w:val="0"/>
                <w:color w:val="202B36"/>
                <w:sz w:val="17"/>
              </w:rPr>
              <w:t>HP2-F11</w:t>
            </w:r>
          </w:p>
        </w:tc>
        <w:tc>
          <w:tcPr>
            <w:tcW w:type="dxa" w:w="4925"/>
            <w:vAlign w:val="center"/>
            <w:tcMar>
              <w:top w:w="90" w:type="dxa"/>
              <w:start w:w="105" w:type="dxa"/>
              <w:bottom w:w="90" w:type="dxa"/>
              <w:end w:w="105" w:type="dxa"/>
            </w:tcMar>
          </w:tcPr>
          <w:p>
            <w:pPr>
              <w:pStyle w:val="TableBody"/>
              <w:spacing w:after="0"/>
            </w:pPr>
            <w:r/>
            <w:r>
              <w:rPr>
                <w:b w:val="0"/>
                <w:color w:val="202B36"/>
                <w:sz w:val="17"/>
              </w:rPr>
              <w:t>Search and visibility. A assigns local phrases, but Keyword Map rows 2–9 contain no HP-002 row. Summary row 20 warns about overlapping volume and unverified configured conversions. V uses a shortened secondary phrase.</w:t>
            </w:r>
          </w:p>
        </w:tc>
        <w:tc>
          <w:tcPr>
            <w:tcW w:type="dxa" w:w="3485"/>
            <w:vAlign w:val="center"/>
            <w:tcMar>
              <w:top w:w="90" w:type="dxa"/>
              <w:start w:w="105" w:type="dxa"/>
              <w:bottom w:w="90" w:type="dxa"/>
              <w:end w:w="105" w:type="dxa"/>
            </w:tcMar>
          </w:tcPr>
          <w:p>
            <w:pPr>
              <w:pStyle w:val="TableBody"/>
              <w:spacing w:after="0"/>
            </w:pPr>
            <w:r/>
            <w:r>
              <w:rPr>
                <w:b w:val="0"/>
                <w:color w:val="202B36"/>
                <w:sz w:val="17"/>
              </w:rPr>
              <w:t>Supported planning; performance evidence unavailable. Medium: editorial priorities could be misreported as demand, bookings or AI results.</w:t>
            </w:r>
          </w:p>
        </w:tc>
        <w:tc>
          <w:tcPr>
            <w:tcW w:type="dxa" w:w="5040"/>
            <w:vAlign w:val="center"/>
            <w:tcMar>
              <w:top w:w="90" w:type="dxa"/>
              <w:start w:w="105" w:type="dxa"/>
              <w:bottom w:w="90" w:type="dxa"/>
              <w:end w:w="105" w:type="dxa"/>
            </w:tcMar>
          </w:tcPr>
          <w:p>
            <w:pPr>
              <w:pStyle w:val="TableBody"/>
              <w:spacing w:after="0"/>
            </w:pPr>
            <w:r/>
            <w:r>
              <w:rPr>
                <w:b w:val="0"/>
                <w:color w:val="202B36"/>
                <w:sz w:val="17"/>
              </w:rPr>
              <w:t>Strategy/Search reconciles the phrase. Analytics and AI Visibility establish dated page-specific baselines and logged observations before numerical or outcome claims.</w:t>
            </w:r>
          </w:p>
        </w:tc>
      </w:tr>
      <w:tr>
        <w:trPr>
          <w:cantSplit/>
        </w:trPr>
        <w:tc>
          <w:tcPr>
            <w:tcW w:type="dxa" w:w="950"/>
            <w:shd w:fill="F4F6F8"/>
            <w:vAlign w:val="center"/>
            <w:tcMar>
              <w:top w:w="90" w:type="dxa"/>
              <w:start w:w="105" w:type="dxa"/>
              <w:bottom w:w="90" w:type="dxa"/>
              <w:end w:w="105" w:type="dxa"/>
            </w:tcMar>
          </w:tcPr>
          <w:p>
            <w:pPr>
              <w:pStyle w:val="TableBody"/>
              <w:spacing w:after="0"/>
            </w:pPr>
            <w:r/>
            <w:r>
              <w:rPr>
                <w:b w:val="0"/>
                <w:color w:val="202B36"/>
                <w:sz w:val="17"/>
              </w:rPr>
              <w:t>HP2-F12</w:t>
            </w:r>
          </w:p>
        </w:tc>
        <w:tc>
          <w:tcPr>
            <w:tcW w:type="dxa" w:w="4925"/>
            <w:shd w:fill="F4F6F8"/>
            <w:vAlign w:val="center"/>
            <w:tcMar>
              <w:top w:w="90" w:type="dxa"/>
              <w:start w:w="105" w:type="dxa"/>
              <w:bottom w:w="90" w:type="dxa"/>
              <w:end w:w="105" w:type="dxa"/>
            </w:tcMar>
          </w:tcPr>
          <w:p>
            <w:pPr>
              <w:pStyle w:val="TableBody"/>
              <w:spacing w:after="0"/>
            </w:pPr>
            <w:r/>
            <w:r>
              <w:rPr>
                <w:b w:val="0"/>
                <w:color w:val="202B36"/>
                <w:sz w:val="17"/>
              </w:rPr>
              <w:t>Markup and external authority. A/Architecture row 3 lists Service, BreadcrumbList and FAQPage opportunities; V conditions markup on approved visible facts. No implementation, profile audit, backlink analysis or coverage outcome was reviewed.</w:t>
            </w:r>
          </w:p>
        </w:tc>
        <w:tc>
          <w:tcPr>
            <w:tcW w:type="dxa" w:w="3485"/>
            <w:shd w:fill="F4F6F8"/>
            <w:vAlign w:val="center"/>
            <w:tcMar>
              <w:top w:w="90" w:type="dxa"/>
              <w:start w:w="105" w:type="dxa"/>
              <w:bottom w:w="90" w:type="dxa"/>
              <w:end w:w="105" w:type="dxa"/>
            </w:tcMar>
          </w:tcPr>
          <w:p>
            <w:pPr>
              <w:pStyle w:val="TableBody"/>
              <w:spacing w:after="0"/>
            </w:pPr>
            <w:r/>
            <w:r>
              <w:rPr>
                <w:b w:val="0"/>
                <w:color w:val="202B36"/>
                <w:sz w:val="17"/>
              </w:rPr>
              <w:t>Proposed specialist follow-up. Medium: markup or third-party references could amplify an unverified area or offer.</w:t>
            </w:r>
          </w:p>
        </w:tc>
        <w:tc>
          <w:tcPr>
            <w:tcW w:type="dxa" w:w="5040"/>
            <w:shd w:fill="F4F6F8"/>
            <w:vAlign w:val="center"/>
            <w:tcMar>
              <w:top w:w="90" w:type="dxa"/>
              <w:start w:w="105" w:type="dxa"/>
              <w:bottom w:w="90" w:type="dxa"/>
              <w:end w:w="105" w:type="dxa"/>
            </w:tcMar>
          </w:tcPr>
          <w:p>
            <w:pPr>
              <w:pStyle w:val="TableBody"/>
              <w:spacing w:after="0"/>
            </w:pPr>
            <w:r/>
            <w:r>
              <w:rPr>
                <w:b w:val="0"/>
                <w:color w:val="202B36"/>
                <w:sz w:val="17"/>
              </w:rPr>
              <w:t>Technical SEO reviews markup after factual approval. After F03/F08, Brand Authority Builder checks real profiles/proof; Backlink Auditor assesses a proven asset; Digital PR assesses a genuine coverage angle. No result is guaranteed.</w:t>
            </w:r>
          </w:p>
        </w:tc>
      </w:tr>
    </w:tbl>
    <w:p>
      <w:pPr>
        <w:pStyle w:val="Heading1"/>
        <w:keepNext/>
      </w:pPr>
      <w:r>
        <w:t>4 Content Manager handoff</w:t>
      </w:r>
    </w:p>
    <w:tbl>
      <w:tblPr>
        <w:tblStyle w:val="TableGrid"/>
        <w:tblW w:type="auto" w:w="0"/>
        <w:jc w:val="center"/>
        <w:tblLayout w:type="fixed"/>
        <w:tblLook w:firstColumn="1" w:firstRow="1" w:lastColumn="0" w:lastRow="0" w:noHBand="0" w:noVBand="1" w:val="04A0"/>
      </w:tblPr>
      <w:tblGrid>
        <w:gridCol w:w="2592"/>
        <w:gridCol w:w="11808"/>
      </w:tblGrid>
      <w:tr>
        <w:trPr>
          <w:tblHeader w:val="true"/>
          <w:cantSplit/>
        </w:trPr>
        <w:tc>
          <w:tcPr>
            <w:tcW w:type="dxa" w:w="2592"/>
            <w:shd w:fill="213750"/>
            <w:vAlign w:val="center"/>
            <w:tcMar>
              <w:top w:w="90" w:type="dxa"/>
              <w:start w:w="105" w:type="dxa"/>
              <w:bottom w:w="90" w:type="dxa"/>
              <w:end w:w="105" w:type="dxa"/>
            </w:tcMar>
          </w:tcPr>
          <w:p>
            <w:pPr>
              <w:pStyle w:val="TableBody"/>
              <w:spacing w:after="0"/>
            </w:pPr>
            <w:r/>
            <w:r>
              <w:rPr>
                <w:b/>
                <w:color w:val="FFFFFF"/>
                <w:sz w:val="18"/>
              </w:rPr>
              <w:t>Disposition</w:t>
            </w:r>
          </w:p>
        </w:tc>
        <w:tc>
          <w:tcPr>
            <w:tcW w:type="dxa" w:w="11808"/>
            <w:shd w:fill="213750"/>
            <w:vAlign w:val="center"/>
            <w:tcMar>
              <w:top w:w="90" w:type="dxa"/>
              <w:start w:w="105" w:type="dxa"/>
              <w:bottom w:w="90" w:type="dxa"/>
              <w:end w:w="105" w:type="dxa"/>
            </w:tcMar>
          </w:tcPr>
          <w:p>
            <w:pPr>
              <w:pStyle w:val="TableBody"/>
              <w:spacing w:after="0"/>
            </w:pPr>
            <w:r/>
            <w:r>
              <w:rPr>
                <w:b/>
                <w:color w:val="FFFFFF"/>
                <w:sz w:val="18"/>
              </w:rPr>
              <w:t>What to do</w:t>
            </w:r>
          </w:p>
        </w:tc>
      </w:tr>
      <w:tr>
        <w:trPr>
          <w:cantSplit/>
        </w:trPr>
        <w:tc>
          <w:tcPr>
            <w:tcW w:type="dxa" w:w="2592"/>
            <w:vAlign w:val="center"/>
            <w:tcMar>
              <w:top w:w="90" w:type="dxa"/>
              <w:start w:w="105" w:type="dxa"/>
              <w:bottom w:w="90" w:type="dxa"/>
              <w:end w:w="105" w:type="dxa"/>
            </w:tcMar>
          </w:tcPr>
          <w:p>
            <w:pPr>
              <w:pStyle w:val="TableBody"/>
              <w:spacing w:after="0"/>
            </w:pPr>
            <w:r/>
            <w:r>
              <w:rPr>
                <w:b w:val="0"/>
                <w:color w:val="202B36"/>
                <w:sz w:val="18"/>
              </w:rPr>
              <w:t>Can use now</w:t>
            </w:r>
          </w:p>
        </w:tc>
        <w:tc>
          <w:tcPr>
            <w:tcW w:type="dxa" w:w="11808"/>
            <w:vAlign w:val="center"/>
            <w:tcMar>
              <w:top w:w="90" w:type="dxa"/>
              <w:start w:w="105" w:type="dxa"/>
              <w:bottom w:w="90" w:type="dxa"/>
              <w:end w:w="105" w:type="dxa"/>
            </w:tcMar>
          </w:tcPr>
          <w:p>
            <w:pPr>
              <w:pStyle w:val="TableBody"/>
              <w:spacing w:after="0"/>
            </w:pPr>
            <w:r/>
            <w:r>
              <w:rPr>
                <w:b w:val="0"/>
                <w:color w:val="202B36"/>
                <w:sz w:val="18"/>
              </w:rPr>
              <w:t>Build an internal HP-002 outline around the three exact brief questions, a conditional address/date decision path, preparation questions and the approved HP-002→HP-001 relationship (F01). Treat extra S/M questions as optional editorial hypotheses. Mark unanswered facts for evidence collection.</w:t>
            </w:r>
          </w:p>
        </w:tc>
      </w:tr>
      <w:tr>
        <w:trPr>
          <w:cantSplit/>
        </w:trPr>
        <w:tc>
          <w:tcPr>
            <w:tcW w:type="dxa" w:w="2592"/>
            <w:shd w:fill="F4F6F8"/>
            <w:vAlign w:val="center"/>
            <w:tcMar>
              <w:top w:w="90" w:type="dxa"/>
              <w:start w:w="105" w:type="dxa"/>
              <w:bottom w:w="90" w:type="dxa"/>
              <w:end w:w="105" w:type="dxa"/>
            </w:tcMar>
          </w:tcPr>
          <w:p>
            <w:pPr>
              <w:pStyle w:val="TableBody"/>
              <w:spacing w:after="0"/>
            </w:pPr>
            <w:r/>
            <w:r>
              <w:rPr>
                <w:b w:val="0"/>
                <w:color w:val="202B36"/>
                <w:sz w:val="18"/>
              </w:rPr>
              <w:t>Requires evidence or confirmation</w:t>
            </w:r>
          </w:p>
        </w:tc>
        <w:tc>
          <w:tcPr>
            <w:tcW w:type="dxa" w:w="11808"/>
            <w:shd w:fill="F4F6F8"/>
            <w:vAlign w:val="center"/>
            <w:tcMar>
              <w:top w:w="90" w:type="dxa"/>
              <w:start w:w="105" w:type="dxa"/>
              <w:bottom w:w="90" w:type="dxa"/>
              <w:end w:w="105" w:type="dxa"/>
            </w:tcMar>
          </w:tcPr>
          <w:p>
            <w:pPr>
              <w:pStyle w:val="TableBody"/>
              <w:spacing w:after="0"/>
            </w:pPr>
            <w:r/>
            <w:r>
              <w:rPr>
                <w:b w:val="0"/>
                <w:color w:val="202B36"/>
                <w:sz w:val="18"/>
              </w:rPr>
              <w:t>Request current, claim-matched owner records for F02–F10, including effective dates and permitted public wording. Operational requests go to Ajith; sensitive, technical and privacy decisions to designated owners. Ask Strategy/Search to resolve F11 before changing phrase assignments or extra links.</w:t>
            </w:r>
          </w:p>
        </w:tc>
      </w:tr>
      <w:tr>
        <w:trPr>
          <w:cantSplit/>
        </w:trPr>
        <w:tc>
          <w:tcPr>
            <w:tcW w:type="dxa" w:w="2592"/>
            <w:vAlign w:val="center"/>
            <w:tcMar>
              <w:top w:w="90" w:type="dxa"/>
              <w:start w:w="105" w:type="dxa"/>
              <w:bottom w:w="90" w:type="dxa"/>
              <w:end w:w="105" w:type="dxa"/>
            </w:tcMar>
          </w:tcPr>
          <w:p>
            <w:pPr>
              <w:pStyle w:val="TableBody"/>
              <w:spacing w:after="0"/>
            </w:pPr>
            <w:r/>
            <w:r>
              <w:rPr>
                <w:b w:val="0"/>
                <w:color w:val="202B36"/>
                <w:sz w:val="18"/>
              </w:rPr>
              <w:t>Withhold</w:t>
            </w:r>
          </w:p>
        </w:tc>
        <w:tc>
          <w:tcPr>
            <w:tcW w:type="dxa" w:w="11808"/>
            <w:vAlign w:val="center"/>
            <w:tcMar>
              <w:top w:w="90" w:type="dxa"/>
              <w:start w:w="105" w:type="dxa"/>
              <w:bottom w:w="90" w:type="dxa"/>
              <w:end w:w="105" w:type="dxa"/>
            </w:tcMar>
          </w:tcPr>
          <w:p>
            <w:pPr>
              <w:pStyle w:val="TableBody"/>
              <w:spacing w:after="0"/>
            </w:pPr>
            <w:r/>
            <w:r>
              <w:rPr>
                <w:b w:val="0"/>
                <w:color w:val="202B36"/>
                <w:sz w:val="18"/>
              </w:rPr>
              <w:t>Do not finalise affirmative coverage or bookability, working-checker promises, fees and packages, quantities and timings, safety/insurance assurances, or local customer proof before matching evidence and permission. The proposed title/meta need F02–F04 checks. Internal placeholders are not publication copy.</w:t>
            </w:r>
          </w:p>
        </w:tc>
      </w:tr>
      <w:tr>
        <w:trPr>
          <w:cantSplit/>
        </w:trPr>
        <w:tc>
          <w:tcPr>
            <w:tcW w:type="dxa" w:w="2592"/>
            <w:shd w:fill="F4F6F8"/>
            <w:vAlign w:val="center"/>
            <w:tcMar>
              <w:top w:w="90" w:type="dxa"/>
              <w:start w:w="105" w:type="dxa"/>
              <w:bottom w:w="90" w:type="dxa"/>
              <w:end w:w="105" w:type="dxa"/>
            </w:tcMar>
          </w:tcPr>
          <w:p>
            <w:pPr>
              <w:pStyle w:val="TableBody"/>
              <w:spacing w:after="0"/>
            </w:pPr>
            <w:r/>
            <w:r>
              <w:rPr>
                <w:b w:val="0"/>
                <w:color w:val="202B36"/>
                <w:sz w:val="18"/>
              </w:rPr>
              <w:t>Next review</w:t>
            </w:r>
          </w:p>
        </w:tc>
        <w:tc>
          <w:tcPr>
            <w:tcW w:type="dxa" w:w="11808"/>
            <w:shd w:fill="F4F6F8"/>
            <w:vAlign w:val="center"/>
            <w:tcMar>
              <w:top w:w="90" w:type="dxa"/>
              <w:start w:w="105" w:type="dxa"/>
              <w:bottom w:w="90" w:type="dxa"/>
              <w:end w:w="105" w:type="dxa"/>
            </w:tcMar>
          </w:tcPr>
          <w:p>
            <w:pPr>
              <w:pStyle w:val="TableBody"/>
              <w:spacing w:after="0"/>
            </w:pPr>
            <w:r/>
            <w:r>
              <w:rPr>
                <w:b w:val="0"/>
                <w:color w:val="202B36"/>
                <w:sz w:val="18"/>
              </w:rPr>
              <w:t>Return the staged page or actual draft with a claim-to-source map, source dates, owner decisions and outstanding finding IDs. The Authority Manager can then review supplied content against the brief and applicable audit criteria. Publication remains with the authorised human gate.</w:t>
            </w:r>
          </w:p>
        </w:tc>
      </w:tr>
    </w:tbl>
    <w:p>
      <w:pPr>
        <w:pStyle w:val="Heading2"/>
        <w:keepNext/>
      </w:pPr>
      <w:r>
        <w:t>Development and approval boundary</w:t>
      </w:r>
    </w:p>
    <w:p>
      <w:r>
        <w:t>Structural development and evidence collection may begin. Factual local-service wording requires owner confirmation or owner input, followed by the applicable content, specialist and human review gates. This report neither audits a completed page nor grants publication approval.</w:t>
      </w:r>
    </w:p>
    <w:sectPr w:rsidR="00FC693F" w:rsidRPr="0006063C" w:rsidSect="00034616">
      <w:headerReference w:type="default" r:id="rId9"/>
      <w:footerReference w:type="default" r:id="rId10"/>
      <w:pgSz w:w="15840" w:h="12240"/>
      <w:pgMar w:top="792" w:right="720" w:bottom="749" w:left="720"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86575"/>
        <w:sz w:val="16"/>
      </w:rPr>
      <w:t xml:space="preserve">Pre-development evidence review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476078"/>
        <w:sz w:val="16"/>
      </w:rPr>
      <w:t>Viri VR  |  Authority Manager  |  HP-002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202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b/>
      <w:bCs/>
      <w:color w:val="21375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2137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Liberation Sans" w:hAnsi="Liberation Sans"/>
      <w:b/>
      <w:color w:val="202B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Normal"/>
    <w:pPr>
      <w:spacing w:line="259" w:lineRule="auto" w:after="0"/>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HP-002 Authority Evidence Report v1.0</dc:title>
  <dc:subject>Pre-development Authority recommendations for HP-002</dc:subject>
  <dc:creator>Authority Manager AI Agent</dc:creator>
  <cp:keywords>HP-002; Authority; evidence; Content Manager</cp:keywords>
  <dc:description>generated by python-docx</dc:description>
  <cp:lastModifiedBy/>
  <cp:revision>1</cp:revision>
  <dcterms:created xsi:type="dcterms:W3CDTF">2013-12-23T23:15:00Z</dcterms:created>
  <dcterms:modified xsi:type="dcterms:W3CDTF">2013-12-23T23:15:00Z</dcterms:modified>
  <cp:category/>
</cp:coreProperties>
</file>