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before="1240"/>
      </w:pPr>
      <w:r>
        <w:rPr>
          <w:rFonts w:ascii="Liberation Sans" w:hAnsi="Liberation Sans"/>
          <w:b/>
          <w:color w:val="17365D"/>
          <w:sz w:val="52"/>
        </w:rPr>
        <w:t>HP-003 Pre Development</w:t>
      </w:r>
    </w:p>
    <w:p>
      <w:pPr>
        <w:spacing w:after="240"/>
      </w:pPr>
      <w:r>
        <w:rPr>
          <w:rFonts w:ascii="Liberation Sans" w:hAnsi="Liberation Sans"/>
          <w:b/>
          <w:color w:val="365F91"/>
          <w:sz w:val="46"/>
        </w:rPr>
        <w:t>Authority Manager Recommendation Report</w:t>
      </w:r>
    </w:p>
    <w:p>
      <w:pPr>
        <w:spacing w:after="360"/>
      </w:pPr>
      <w:r>
        <w:rPr>
          <w:rFonts w:ascii="Liberation Sans" w:hAnsi="Liberation Sans"/>
          <w:b/>
          <w:color w:val="1F2937"/>
          <w:sz w:val="30"/>
        </w:rPr>
        <w:t>House-party ideas comparison</w:t>
      </w:r>
    </w:p>
    <w:tbl>
      <w:tblPr>
        <w:tblW w:type="auto" w:w="0"/>
        <w:tblLayout w:type="fixed"/>
        <w:tblLook w:firstColumn="1" w:firstRow="1" w:lastColumn="0" w:lastRow="0" w:noHBand="0" w:noVBand="1" w:val="04A0"/>
      </w:tblPr>
      <w:tblGrid>
        <w:gridCol w:w="5069"/>
        <w:gridCol w:w="5558"/>
      </w:tblGrid>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Recipient</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Content Manager</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Reviewer</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Authority Manager</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Page / Workstream</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HP-003 — house-party ideas guide</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Approved proposed URL</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https://virivr.com.au/house-party/ideas/</w:t>
            </w:r>
          </w:p>
        </w:tc>
      </w:tr>
      <w:tr>
        <w:trPr>
          <w:cantSplit/>
        </w:trPr>
        <w:tc>
          <w:tcPr>
            <w:tcW w:type="dxa" w:w="5069"/>
            <w:tcBorders>
              <w:top w:val="single" w:sz="5" w:color="B9C2CC"/>
              <w:left w:val="single" w:sz="5" w:color="B9C2CC"/>
              <w:bottom w:val="single" w:sz="5" w:color="B9C2CC"/>
              <w:right w:val="single" w:sz="5" w:color="B9C2CC"/>
            </w:tcBorders>
            <w:tcMar>
              <w:top w:w="110" w:type="dxa"/>
              <w:bottom w:w="110" w:type="dxa"/>
              <w:start w:w="90" w:type="dxa"/>
              <w:end w:w="90" w:type="dxa"/>
            </w:tcMar>
            <w:shd w:fill="EEF3F8"/>
          </w:tcPr>
          <w:p>
            <w:pPr>
              <w:spacing w:after="0"/>
            </w:pPr>
            <w:r>
              <w:rPr>
                <w:rFonts w:ascii="Liberation Sans" w:hAnsi="Liberation Sans"/>
                <w:b/>
                <w:color w:val="17365D"/>
                <w:sz w:val="19"/>
              </w:rPr>
              <w:t>Stage</w:t>
            </w:r>
          </w:p>
        </w:tc>
        <w:tc>
          <w:tcPr>
            <w:tcW w:type="dxa" w:w="5558"/>
            <w:tcBorders>
              <w:top w:val="single" w:sz="5" w:color="B9C2CC"/>
              <w:left w:val="single" w:sz="5" w:color="B9C2CC"/>
              <w:bottom w:val="single" w:sz="5" w:color="B9C2CC"/>
              <w:right w:val="single" w:sz="5" w:color="B9C2CC"/>
            </w:tcBorders>
            <w:tcMar>
              <w:top w:w="110" w:type="dxa"/>
              <w:bottom w:w="110" w:type="dxa"/>
              <w:start w:w="90" w:type="dxa"/>
              <w:end w:w="90" w:type="dxa"/>
            </w:tcMar>
          </w:tcPr>
          <w:p>
            <w:pPr>
              <w:spacing w:after="0"/>
            </w:pPr>
            <w:r>
              <w:rPr>
                <w:rFonts w:ascii="Liberation Sans" w:hAnsi="Liberation Sans"/>
                <w:b w:val="0"/>
                <w:color w:val="1F2937"/>
                <w:sz w:val="19"/>
              </w:rPr>
              <w:t>Pre-development Authority handoff</w:t>
            </w:r>
          </w:p>
        </w:tc>
      </w:tr>
    </w:tbl>
    <w:p>
      <w:pPr>
        <w:spacing w:after="200"/>
      </w:pPr>
    </w:p>
    <w:tbl>
      <w:tblPr>
        <w:tblW w:type="auto" w:w="0"/>
        <w:tblLook w:firstColumn="1" w:firstRow="1" w:lastColumn="0" w:lastRow="0" w:noHBand="0" w:noVBand="1" w:val="04A0"/>
      </w:tblPr>
      <w:tblGrid>
        <w:gridCol w:w="10656"/>
      </w:tblGrid>
      <w:tr>
        <w:tc>
          <w:tcPr>
            <w:tcW w:type="dxa" w:w="10656"/>
            <w:shd w:fill="E2F0D9"/>
            <w:tcMar>
              <w:top w:w="130" w:type="dxa"/>
              <w:bottom w:w="130" w:type="dxa"/>
              <w:start w:w="100" w:type="dxa"/>
              <w:end w:w="100" w:type="dxa"/>
            </w:tcMar>
          </w:tcPr>
          <w:p>
            <w:pPr>
              <w:spacing w:after="60"/>
            </w:pPr>
            <w:r>
              <w:rPr>
                <w:b/>
                <w:color w:val="17365D"/>
                <w:sz w:val="22"/>
              </w:rPr>
              <w:t>Handoff status: READY FOR DEVELOPMENT WITH CONDITIONS</w:t>
            </w:r>
          </w:p>
          <w:p>
            <w:pPr>
              <w:spacing w:after="0"/>
            </w:pPr>
            <w:r>
              <w:t>The approved HP-003 comparison role and question plan permit evidence-controlled structure development. Method, format evidence, age and space suitability, costs, effort, safety and first-party proof require review before factual verdicts are finalised.</w:t>
            </w:r>
          </w:p>
        </w:tc>
      </w:tr>
    </w:tbl>
    <w:p>
      <w:pPr>
        <w:spacing w:before="340"/>
      </w:pPr>
      <w:r>
        <w:rPr>
          <w:b/>
          <w:color w:val="8F2626"/>
        </w:rPr>
        <w:t>This is a pre-development Authority handoff. It is not a completed-page audit, a tested format verdict, editorial approval or publication approval.</w:t>
      </w:r>
    </w:p>
    <w:p>
      <w:r>
        <w:br w:type="page"/>
      </w:r>
    </w:p>
    <w:p>
      <w:pPr>
        <w:pStyle w:val="Heading1"/>
      </w:pPr>
      <w:r>
        <w:t>1 Report Purpose Scope and Source Basis</w:t>
      </w:r>
    </w:p>
    <w:tbl>
      <w:tblPr>
        <w:tblW w:type="auto" w:w="0"/>
        <w:jc w:val="center"/>
        <w:tblLayout w:type="fixed"/>
        <w:tblLook w:firstColumn="1" w:firstRow="1" w:lastColumn="0" w:lastRow="0" w:noHBand="0" w:noVBand="1" w:val="04A0"/>
      </w:tblPr>
      <w:tblGrid>
        <w:gridCol w:w="2189"/>
        <w:gridCol w:w="8424"/>
      </w:tblGrid>
      <w:tr>
        <w:trPr>
          <w:cantSplit/>
          <w:tblHeader/>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Field</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HP-003 basis</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Page and stage</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HP-003; proposed /house-party/ideas/ P2 editorial planning guide. Pre-development review only; no completed HP-003 page or comparison audit.</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Purpose and recipient</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Give the Content Manager an evidence-controlled authority and trust handoff for a neutral house-party format comparison.</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Approved planning</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Architecture and Content Briefs row 4 (E05); Internal Links rows 6–7 and adjacent page ownership (E06); Consolidation row 3 (E08).</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Upstream inputs</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Attached AI Search Analyst HP-003 Market Research Pack v1.0, 4 Oct 2026, pending Strategy review (E09); attached AI Visibility Specialist HP-003 keyword and AEO preparation (E10). Neither approves a comparison outcome or Viri VR operation.</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Authority basis</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Graduate Handbook (E02), Authority Manager Specification (E03) and Audit Criteria Framework (E04), applied as a pre-development lens.</w:t>
            </w:r>
          </w:p>
        </w:tc>
      </w:tr>
      <w:tr>
        <w:trPr>
          <w:cantSplit/>
        </w:trPr>
        <w:tc>
          <w:tcPr>
            <w:tcW w:type="dxa" w:w="218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Assessment boundary</w:t>
            </w:r>
          </w:p>
        </w:tc>
        <w:tc>
          <w:tcPr>
            <w:tcW w:type="dxa" w:w="84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Review comparison-claim support, evidence provenance, trust, brand accuracy, citation/proof opportunities and routing. Detailed backlink audit, PR campaign, keyword research, technical implementation and live-page scoring remain outside this handoff.</w:t>
            </w:r>
          </w:p>
        </w:tc>
      </w:tr>
    </w:tbl>
    <w:p>
      <w:pPr>
        <w:spacing w:after="0"/>
      </w:pPr>
    </w:p>
    <w:p>
      <w:r>
        <w:t>Evidence key: VERIFIED means a planning or governance statement directly supported by E02–E08. RECOMMENDED means a structural Authority Manager judgement with a confirming question, not proof of a format outcome. NEEDS SOURCE means an unresolved factual claim with an owner in Section 8. E09–E10 are specialist interpretations, not Viri VR operational or comparative proof. E14 distinguishes a supplied AEO plan from a missing measured AI citation log.</w:t>
      </w:r>
    </w:p>
    <w:p>
      <w:pPr>
        <w:pStyle w:val="Heading1"/>
      </w:pPr>
      <w:r>
        <w:t>2 Development Readiness Assessment</w:t>
      </w:r>
    </w:p>
    <w:p>
      <w:pPr>
        <w:spacing w:after="30" w:line="245" w:lineRule="auto"/>
      </w:pPr>
      <w:r>
        <w:rPr>
          <w:b/>
        </w:rPr>
        <w:t xml:space="preserve">Status  </w:t>
      </w:r>
      <w:r>
        <w:t>Ready for Development with Conditions — evidence and owner input required.</w:t>
      </w:r>
    </w:p>
    <w:p>
      <w:pPr>
        <w:spacing w:after="30" w:line="245" w:lineRule="auto"/>
      </w:pPr>
      <w:r>
        <w:rPr>
          <w:b/>
        </w:rPr>
        <w:t xml:space="preserve">Why  </w:t>
      </w:r>
      <w:r>
        <w:t>The approved broad comparison job, six candidate formats and three briefed questions are clear (F01). A reproducible method, balanced format evidence and sensitive suitability inputs are absent (F02–F11). This permits an outline and source collection, not factual winners or publication.</w:t>
      </w:r>
    </w:p>
    <w:p>
      <w:pPr>
        <w:spacing w:after="30" w:line="245" w:lineRule="auto"/>
      </w:pPr>
      <w:r>
        <w:rPr>
          <w:b/>
        </w:rPr>
        <w:t xml:space="preserve">Begin now  </w:t>
      </w:r>
      <w:r>
        <w:t>Structure a criteria-first, neutral comparison and evidence matrix; reserve the approved HP-003→HP-001 route while keeping HP-002, HP-004 and HP-005 in their own jobs (F01/F13). A blank planning worksheet can be proposed without fictional event timings (O03).</w:t>
      </w:r>
    </w:p>
    <w:p>
      <w:pPr>
        <w:spacing w:after="30" w:line="245" w:lineRule="auto"/>
      </w:pPr>
      <w:r>
        <w:rPr>
          <w:b/>
        </w:rPr>
        <w:t xml:space="preserve">Not verified  </w:t>
      </w:r>
      <w:r>
        <w:t>Any 'best' verdict, age/space/group-size band, price or budget ranking, low-effort or engagement result, weather/safety assurance, Viri VR package fact, real customer example, or HP-003 visibility result (C02–C14).</w:t>
      </w:r>
    </w:p>
    <w:p>
      <w:pPr>
        <w:spacing w:after="30" w:line="245" w:lineRule="auto"/>
      </w:pPr>
      <w:r>
        <w:rPr>
          <w:b/>
        </w:rPr>
        <w:t xml:space="preserve">Main dependencies  </w:t>
      </w:r>
      <w:r>
        <w:t>Strategy Manager and event-planner method review (I01–I02); Ajith and delegated operational/safety/pricing owners (I03–I09); content/technical/analytics and authority-specialist follow-up (I10–I14).</w:t>
      </w:r>
    </w:p>
    <w:p>
      <w:pPr>
        <w:sectPr>
          <w:headerReference w:type="default" r:id="rId9"/>
          <w:footerReference w:type="default" r:id="rId10"/>
          <w:pgSz w:w="12240" w:h="15840"/>
          <w:pgMar w:top="936" w:right="792" w:bottom="936" w:left="792" w:header="360" w:footer="360" w:gutter="0"/>
          <w:cols w:space="720"/>
          <w:docGrid w:linePitch="360"/>
        </w:sectPr>
      </w:pPr>
    </w:p>
    <w:p>
      <w:pPr>
        <w:pStyle w:val="Heading1"/>
      </w:pPr>
      <w:r>
        <w:t>3 AI Search and Visibility Specialist Input Review</w:t>
      </w:r>
    </w:p>
    <w:p>
      <w:pPr>
        <w:keepNext/>
      </w:pPr>
      <w:r>
        <w:t>The attached research pack and AI Visibility preparation supply editorial questions and planning signals. The Authority Manager accepts their use only at the stated evidence level; neither provides HP-003-specific AI citation results or operational proof.</w:t>
      </w:r>
    </w:p>
    <w:tbl>
      <w:tblPr>
        <w:tblW w:type="auto" w:w="0"/>
        <w:jc w:val="center"/>
        <w:tblLayout w:type="fixed"/>
        <w:tblLook w:firstColumn="1" w:firstRow="1" w:lastColumn="0" w:lastRow="0" w:noHBand="0" w:noVBand="1" w:val="04A0"/>
      </w:tblPr>
      <w:tblGrid>
        <w:gridCol w:w="1309"/>
        <w:gridCol w:w="3224"/>
        <w:gridCol w:w="2325"/>
        <w:gridCol w:w="5725"/>
        <w:gridCol w:w="1817"/>
      </w:tblGrid>
      <w:tr>
        <w:trPr>
          <w:cantSplit/>
          <w:tblHeader/>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Input ID</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Supplied Specialist Input</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Manager Disposition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 Content Implication</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Linked Finding</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S01</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E05/E09: HP-003 owns broad informational house-party ideas; the workbook maps one primary phrase with a Melbourne-segmented nominal figure.</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Accepted as planning</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page ownership and phrase; the 50 nominal row is neither national demand nor a traffic forecast. No HP-003 baseline is established.</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F01/F12</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S02</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E05/E09: three exact briefed questions cover age, small spaces and keeping guests involved.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as answer slots; specific age, fit or engagement answers depend on C02–C04/C08 and source review.</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F04/F05/F08</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S03</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E05/E09: six-format selector and comparison of DIY games, food, music, mystery, gaming and hosted VR.</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supporting evidence</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 balanced matrix is a useful structure, but a 'best' label, trade-off ranking or VR advantage needs a declared method and support for each row.</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S04</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E09: age, space and group-size variants are proposed; tested suitability ranges are not supplied.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Requires clarification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Keep criteria and questions; do not turn inferred audience needs into age thresholds, room minimums or capacity recommendations.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F04/F05</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S05</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E09: budget and organiser-effort comparisons are proposed without dated costs, workload observations or run sheets.</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supporting evidence</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Define what counts as cost and effort before comparison; no 'cheap', 'best value', time-saved or zero-effort verdict.</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F06/F07</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S06</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architecture meta and E09: participation, weather and indoor-readiness are proposed decision angles.</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The phrase 'keep every guest involved' is an unproved outcome. Treat weather/noise/participation as planning criteria pending observed conditions.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F08/F09</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S07</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E09: public checklist, small-space and mystery-guide examples were reportedly read on 4 Oct 2026.</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Pattern only</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They show presentation formats, not comparative trials, Viri VR capabilities, search rank or external authority outcomes; no independent recheck here.</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F03/F14</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S08</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E06/E08/E09: HP-001 pair and legacy ideas migration are proposed; extra routes require alignment.</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Preserve the workbook's direct pair; Strategy resolves additional links and Technical SEO owns archive/redirect implementation after launch.</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F01/F13</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S09</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E07/E09: Article/FAQ possibilities and future AI-answer observations; no measured HP-003 prompt log supplied.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specialist follow-up</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Approved visible answers first. Technical SEO owns markup; Analytics/AI Visibility owns baseline and observation logs, not promised citations.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F12/F15</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V01</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E10: one mapped primary phrase; five supporting variations are topic wording, not verified keyword targets.</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as qualified planning</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house party ideas naturally. Strategy/Search must approve any formal secondary target; no volume or ranking claim for variations.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F01/F12</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V02</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E10: five initial AEO questions and a concise answer example are proposed alongside the three workbook questions.</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Accepted with qualification</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The three workbook questions remain exact briefed slots; extra questions are editorial options, not measured demand or an approved answer to suitability.</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F04/F05/F08/F15</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V03</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E10: compare age, space, budget and effort neutrally, with VR as one option and HP-001 owning service detail.</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Accepted as structure</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proposed table or section order is not a scored method; C02–C11 still require claim-matched support.</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F02–F11</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V04</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E10: HP-002 local eligibility, HP-004 birthday, HP-005 teen and EXP-001 game detail are separate; links are suggested.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Accepted with routing control</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Preserve page ownership; Strategy checks suggested links against approved architecture, including the workbook's VRP-001 label.</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F01/F13</w:t>
            </w:r>
          </w:p>
        </w:tc>
      </w:tr>
      <w:tr>
        <w:trPr>
          <w:cantSplit/>
        </w:trPr>
        <w:tc>
          <w:tcPr>
            <w:tcW w:type="dxa" w:w="130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V05</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E10: visible answer copy and optional structured data may support AEO; later AI recognition should be checked.</w:t>
            </w:r>
          </w:p>
        </w:tc>
        <w:tc>
          <w:tcPr>
            <w:tcW w:type="dxa" w:w="23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Specialist follow-up</w:t>
            </w:r>
          </w:p>
        </w:tc>
        <w:tc>
          <w:tcPr>
            <w:tcW w:type="dxa" w:w="572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Approve factual answers first. Technical SEO reviews final markup; AI Visibility logs actual observations after launch without assuming citations or rich results.</w:t>
            </w:r>
          </w:p>
        </w:tc>
        <w:tc>
          <w:tcPr>
            <w:tcW w:type="dxa" w:w="18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F12/F15</w:t>
            </w:r>
          </w:p>
        </w:tc>
      </w:tr>
    </w:tbl>
    <w:p>
      <w:pPr>
        <w:spacing w:after="0"/>
      </w:pPr>
    </w:p>
    <w:p>
      <w:pPr>
        <w:pStyle w:val="Heading1"/>
      </w:pPr>
      <w:r>
        <w:t>4 Operational Findings Register</w:t>
      </w:r>
    </w:p>
    <w:p>
      <w:pPr>
        <w:keepNext/>
      </w:pPr>
      <w:r>
        <w:t>Each material issue has one primary record here. Priority is an implementation sequencing aid, not a formal governance severity rating. Source IDs resolve in Section 11.</w:t>
      </w:r>
    </w:p>
    <w:tbl>
      <w:tblPr>
        <w:tblW w:type="auto" w:w="0"/>
        <w:jc w:val="center"/>
        <w:tblLayout w:type="fixed"/>
        <w:tblLook w:firstColumn="1" w:firstRow="1" w:lastColumn="0" w:lastRow="0" w:noHBand="0" w:noVBand="1" w:val="04A0"/>
      </w:tblPr>
      <w:tblGrid>
        <w:gridCol w:w="996"/>
        <w:gridCol w:w="1368"/>
        <w:gridCol w:w="1739"/>
        <w:gridCol w:w="1465"/>
        <w:gridCol w:w="2227"/>
        <w:gridCol w:w="1133"/>
        <w:gridCol w:w="2423"/>
        <w:gridCol w:w="1798"/>
        <w:gridCol w:w="1250"/>
      </w:tblGrid>
      <w:tr>
        <w:trPr>
          <w:cantSplit/>
          <w:tblHeader/>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Finding ID</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Issue Type</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Finding</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Basis / Evidence</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Manager Assessment</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Status</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Required Action</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Owner / Handoff</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Priority</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F01</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Dependency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HP-003 is the P2 neutral broad ideas comparison; HP-001 owns the hosted service, HP-002 Melbourne eligibility, and HP-004/005 deeper audience guides.</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E05/E06/E10; S01/S08; V03/V04</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planning. The guide must help readers choose before selling and must not borrow service, local or age-specific ownership.</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Supported plan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Build criteria-led guide; preserve approved HP-003→HP-001 link; route other journeys only after Strategy alignment.</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Manager; Strategy/Search</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F02</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Authority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 original comparison method, criteria definitions, weighting, unknown handling or independent review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brief; E09 §§4–9; S03</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'Best' and ranked trade-offs could become disguised promotion, especially where Viri VR is a compared option.</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Obtain approved rubric and evidence standard; show criteria, limitations and reviewer/date before verdicts.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 Manager; event planner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F03</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 balanced format-by-format planner evidence supports the six comparison rows.</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row 4/brief; E09 §§4/12; S03/S07</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 provider's own service input cannot establish benefits or drawbacks of all DIY, food, music, mystery and gaming options.</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Collect comparable source notes for each format, including counterexamples and unknowns; avoid a favourable VR score by default.</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Strategy/Search; designated event planner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F04</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Trust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Age suitability, mixed-age fit and supervision guidance have no approved activity matrix or specialist source.</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brief; E09 §§5/12; S02/S04</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Age or child-safety verdicts require activity-specific support, not an inferred persona or a generic party example.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Obtain reviewed age/supervision guidance and exact limits; route deeper teen/birthday advice to HP-005/004.</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 routes VR facts; safety owner; planner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F05</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Trust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Tested space and group-size ranges for compared activities, including VR, were not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brief; E09 §§4/12; S04</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No square-metre, guest-count or universal small-home suitability threshold follows from the workbook.</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Request tested format-specific conditions; separate Viri VR limits from non-VR observations; use a nonnumeric checklist meanwhile.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Ajith/operations for VR; planner for others</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F06</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Budget, relative cost and value claims lack a like-for-like cost method or dated inputs.</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row 4; E09 §§4/12; S05</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A 'cheap' or 'best value' label cannot be inferred from a blank budget criterion or competitor offer.</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Define inclusions, supplies and host time; collect dated comparable costs and separately approve any Viri VR price.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Strategy/finance method; Ajith/pricing for VR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F07</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Host effort, setup/clean-up and duration comparisons lack observed preparation steps and real run sheets.</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brief; E09 §§4/12; S05</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Hosted support may shift tasks, but 'less effort', saved hours or a sample timetable need actual records.</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Get planner-reviewed task inventory and dated event flows; publish blank worksheet until a real example is cleared.</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Designated planner; Ajith for VR operations</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F08</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 Trust Issue</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'Keeps every guest involved' and participation, weather or noise advantages lack outcome or conditions evidence.</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meta/brief; E09 §§5/12; S06</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Treat these as design questions; do not promise engagement, quietness, weather resilience or an indoor fallback.</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Replace outcome wording with criteria; request observed participation/contingency records before comparative advantages.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Planner; Content Manager; Ajith for VR policy</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F09</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Safety / Source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 approved authoritative safety or accessibility guidance is identified for instructions or assurances.</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 brief; E09 §12; E04 trust criteria</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and HUMAN CLARIFICATION. A public article or Ajith's owner designation alone does not approve safety advice.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Identify approved source and authorised safety reviewer; apply exact scope/limitations or omit specific guidance.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Human Authority Manager; safety/legal owner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F10</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Proof Gap</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Original party images, attributable cases, feedback and permission records are absent from this review.</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E05 brief; E09 §§9/12; E13</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Stock or venue imagery is not proof of a Viri VR home event or of broad format outcomes.</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Collect dated originals, context and consent; use only claims the record proves, then route proof presentation review.</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Ajith/evidence owner; consent owner; Brand Authority Builder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F11</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Dependency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The hosted-VR row depends on current HP-001 service facts; no approved package, price, age, space, capacity or safety record was supplied here.</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E05/E06; E09 §§9/12; E12</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HP-003 cannot establish a Viri VR offer from search, venue assets or the Architecture's proposed copy; Melbourne bookability belongs to HP-002.</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Request current claim-matched owner evidence; link HP-001 for the model and HP-002 only for verified local eligibility after selection.</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Ajith/operations; Content Manager</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P1</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F12</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Search / Visibility Limitation</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Only one primary phrase is mapped; suggested topic variants, AEO questions and old site metrics have scope limits. No HP-003 conversion or AI-citation baseline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E07/E10; E09 §§2/14; S01/S09; V01/V02/V05</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VERIFIED limitation. Fifty is nominal Melbourne-segmented volume; sitewide impressions and legacy sessions are not HP-003 results. AEO preparation is not measured visibility.</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Qualified</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supplied phrase as planning input; Strategy approves further targets; request raw page/query data, event definitions and controlled AI logs.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Strategy/Search; Analytics; AI Visibility</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F13</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Routing / Migration</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Only the HP-001 link pair is explicit in Internal Links; extra suggested targets, EXP-001/VRP-001 label difference and old ideas content/redirect require review.</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E06/E08/E10; E09 §§2/12; S08/V04</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planning dependency. Suggested links and the reported old redirect do not authorise content reuse or a live redirect change.</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Strategy reconciles targets and labels; Content reviews archive/provenance; Technical SEO plans a direct redirect after HP-003 is live.</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Strategy/Search; Content Manager; Technical SEO</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F14</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Authority Opportunity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 HP-003-specific off-site citation, profile, link or earned-coverage audit is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E09 §14; E04 authority criteria; S07</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RECOMMENDED bounded follow-up, not a measured authority deficit. An original, reviewed method and permissioned proof may create an asset worth referencing.</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Route actual profile/proof consistency and asset merit to specialists after the evidence base exists; record only verified discrepancies.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Authority Builder; Backlink Auditor; Digital PR Specialist</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P2</w:t>
            </w:r>
          </w:p>
        </w:tc>
      </w:tr>
      <w:tr>
        <w:trPr>
          <w:cantSplit/>
        </w:trPr>
        <w:tc>
          <w:tcPr>
            <w:tcW w:type="dxa" w:w="99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F15</w:t>
            </w:r>
          </w:p>
        </w:tc>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Review / Technical Dependency</w:t>
            </w:r>
          </w:p>
        </w:tc>
        <w:tc>
          <w:tcPr>
            <w:tcW w:type="dxa" w:w="173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 revised HP-003 page, tested selector, deployed markup, source register or author/reviewer record was supplied.</w:t>
            </w:r>
          </w:p>
        </w:tc>
        <w:tc>
          <w:tcPr>
            <w:tcW w:type="dxa" w:w="146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E05/E10/E14; E09 §§12–14; V02/V05</w:t>
            </w:r>
          </w:p>
        </w:tc>
        <w:tc>
          <w:tcPr>
            <w:tcW w:type="dxa" w:w="222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assessment limit. Proposed Article/FAQ markup and question formats do not imply a live citation or a content-quality pass.</w:t>
            </w:r>
          </w:p>
        </w:tc>
        <w:tc>
          <w:tcPr>
            <w:tcW w:type="dxa" w:w="11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Open</w:t>
            </w:r>
          </w:p>
        </w:tc>
        <w:tc>
          <w:tcPr>
            <w:tcW w:type="dxa" w:w="242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Return completed guide and claim map for Authority review; route selector/schema/redirect and measured baseline to relevant teams.</w:t>
            </w:r>
          </w:p>
        </w:tc>
        <w:tc>
          <w:tcPr>
            <w:tcW w:type="dxa" w:w="179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Content Manager; Technical SEO; Analytics</w:t>
            </w:r>
          </w:p>
        </w:tc>
        <w:tc>
          <w:tcPr>
            <w:tcW w:type="dxa" w:w="125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P2</w:t>
            </w:r>
          </w:p>
        </w:tc>
      </w:tr>
    </w:tbl>
    <w:p>
      <w:pPr>
        <w:spacing w:after="0"/>
      </w:pPr>
    </w:p>
    <w:p>
      <w:pPr>
        <w:pStyle w:val="Heading1"/>
      </w:pPr>
      <w:r>
        <w:t>5 Claim to Evidence and Content Guidance Table</w:t>
      </w:r>
    </w:p>
    <w:p>
      <w:pPr>
        <w:keepNext/>
      </w:pPr>
      <w:r>
        <w:t>This table controls factual comparison copy. A search question, provider page or specialist recommendation is not evidence that an activity or Viri VR service has a stated outcome. VERIFIED below refers to page planning only.</w:t>
      </w:r>
    </w:p>
    <w:tbl>
      <w:tblPr>
        <w:tblW w:type="auto" w:w="0"/>
        <w:jc w:val="center"/>
        <w:tblLayout w:type="fixed"/>
        <w:tblLook w:firstColumn="1" w:firstRow="1" w:lastColumn="0" w:lastRow="0" w:noHBand="0" w:noVBand="1" w:val="04A0"/>
      </w:tblPr>
      <w:tblGrid>
        <w:gridCol w:w="977"/>
        <w:gridCol w:w="2345"/>
        <w:gridCol w:w="1973"/>
        <w:gridCol w:w="2345"/>
        <w:gridCol w:w="2091"/>
        <w:gridCol w:w="1329"/>
        <w:gridCol w:w="3341"/>
      </w:tblGrid>
      <w:tr>
        <w:trPr>
          <w:cantSplit/>
          <w:tblHeader/>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Claim ID</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Proposed / Expected Content Claim</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Search / User Relevance</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Required Evidence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Current Evidence Status</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Linked Finding</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Content Manager Guidance</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C01</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HP-003 is the planned broad six-format ideas guide; HP-001 explains the hosted VR service.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S01/S08; owner distinction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E05/E06 approved page and link roles</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VERIFIED as planning only</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F01/F13</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the informational job and direct HP-001 link now; do not turn the guide into an offer or coverage claim.</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C02</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One format is 'best' or objectively ranks above others for an organiser.</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S02/S03; selection question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Original rubric, criteria/weights, evidence per format and reviewed uncertainty</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Strategy/planner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F02/F03</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Explain reader criteria without a winner; publish a verdict only after method and support are approved.</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C03</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 named activity is suitable for children, teens, adults or mixed ages; supervision is sufficient.</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S02/S04; age decision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Activity-specific age/supervision matrix, authoritative guidance and reviewer</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safety/planner; Ajith for VR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F04/F09</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Do not state cutoffs or 'all ages'; keep broad questions and route deeper HP-004/005 guidance.</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C04</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An idea fits a small room or a specified group/space threshold.</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S02/S04; space decision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Tested footprint/access/group ranges for that format and conditions</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planner; Ajith for VR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F05</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nonnumeric space questions until tested ranges exist; do not generalise one provider's setup.</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C05</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 option is cheap, affordable, best value or costs less than another.</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S05; budget decision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Dated comparable cost/inclusion method; current Viri VR pricing if used</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Strategy/finance; Ajith/pricing</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F06</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Use an unfilled budget worksheet or criteria; exclude amounts and relative-cost verdicts.</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C06</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Hosted entertainment is lower effort, saves time or needs no organiser work.</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S05; effort decision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Task inventory, real run sheets, planner observations and explicit effort definition</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planner; Ajith for VR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F07</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Describe tasks only after evidence; no zero-effort or time-saved promise.</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C07</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 sample party flow or two-activity schedule is a proven real event example.</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S03/S05; planning sequence</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Dated run sheet, event context, reviewer and permission if attributable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event planner/evidence owner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F07/F10</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Offer a blank template now; do not invent durations or portray a scenario as observed.</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C08</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format keeps everyone engaged or improves participation while guests wait.</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S02/S06; participation</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Observed flow, participation design and limit/exception evidence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planner/evidence owner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F08</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Change absolute outcome copy to a planning question until supported; no engagement guarantee.</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C09</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 idea is weatherproof, quiet, accessible or safe under specified conditions.</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S06; conditions and trust</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Format-specific conditions, approved safety/accessibility source and reviewer</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safety/planner; Ajith for VR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F08/F09</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Exclude assurances and fallback promises; state what must be checked for the chosen setting.</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C10</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The six formats have stated benefits, drawbacks or 'what can go wrong' based on actual comparison.</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S03/S07; neutral choice</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Consistent method plus comparable planner/source notes for each format</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Strategy/planner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F02/F03</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Do not let untested entries favour VR; mark unknowns and cite the basis for each material judgement.</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C11</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Viri VR hosted VR has stated package, equipment, capacity, age, space, price, safety or booking characteristics.</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S08; hosted next step</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Current claim-matched operational documents and owner-approved wording</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Ajith/delegated owners</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F11</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Keep service specifics on HP-001; only a verified concise comparison belongs here. HP-002 owns Melbourne eligibility.</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C12</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photo, review, quote or case demonstrates a real Viri VR home party or comparison result.</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S03/S07; first-party proof</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Original event record, asset rights, consent, date/location and claim scope</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evidence/consent owner</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Exclude named or implied proof until provenance and permission are documented.</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C13</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The guide will rank, earn AI citations, drive leads or beat comparison competitors.</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S01/S09/V05; visibility</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Dated HP-003-specific GSC/GA4 and controlled AI observations after launch</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NEEDS SOURCE: Analytics/AI Visibility</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F12/F15</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 performance prediction or result; AEO preparation and old sitewide/legacy metrics are context only.</w:t>
            </w:r>
          </w:p>
        </w:tc>
      </w:tr>
      <w:tr>
        <w:trPr>
          <w:cantSplit/>
        </w:trPr>
        <w:tc>
          <w:tcPr>
            <w:tcW w:type="dxa" w:w="97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C14</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The old ideas article's content is current or already migrated to HP-003.</w:t>
            </w:r>
          </w:p>
        </w:tc>
        <w:tc>
          <w:tcPr>
            <w:tcW w:type="dxa" w:w="197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S08; continuity</w:t>
            </w:r>
          </w:p>
        </w:tc>
        <w:tc>
          <w:tcPr>
            <w:tcW w:type="dxa" w:w="234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Archived page, factual/rights review, live destination and redirect QA</w:t>
            </w:r>
          </w:p>
        </w:tc>
        <w:tc>
          <w:tcPr>
            <w:tcW w:type="dxa" w:w="209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NEEDS SOURCE: Content/Technical SEO</w:t>
            </w:r>
          </w:p>
        </w:tc>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F13</w:t>
            </w:r>
          </w:p>
        </w:tc>
        <w:tc>
          <w:tcPr>
            <w:tcW w:type="dxa" w:w="334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Do not reuse or announce migration before review and implementation.</w:t>
            </w:r>
          </w:p>
        </w:tc>
      </w:tr>
    </w:tbl>
    <w:p>
      <w:pPr>
        <w:spacing w:after="0"/>
      </w:pPr>
    </w:p>
    <w:p>
      <w:pPr>
        <w:pStyle w:val="Heading1"/>
      </w:pPr>
      <w:r>
        <w:t>6 Content Authority Opportunities</w:t>
      </w:r>
    </w:p>
    <w:p>
      <w:pPr>
        <w:keepNext/>
      </w:pPr>
      <w:r>
        <w:t>These are applications of the linked findings, not separate gap records. Each proposal has a confirming decision and grants no factual format or service claim.</w:t>
      </w:r>
    </w:p>
    <w:tbl>
      <w:tblPr>
        <w:tblW w:type="auto" w:w="0"/>
        <w:jc w:val="center"/>
        <w:tblLayout w:type="fixed"/>
        <w:tblLook w:firstColumn="1" w:firstRow="1" w:lastColumn="0" w:lastRow="0" w:noHBand="0" w:noVBand="1" w:val="04A0"/>
      </w:tblPr>
      <w:tblGrid>
        <w:gridCol w:w="1329"/>
        <w:gridCol w:w="2462"/>
        <w:gridCol w:w="2638"/>
        <w:gridCol w:w="3068"/>
        <w:gridCol w:w="3380"/>
        <w:gridCol w:w="1524"/>
      </w:tblGrid>
      <w:tr>
        <w:trPr>
          <w:cantSplit/>
          <w:tblHeader/>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Opportunity ID</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Opportunity</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Why It Strengthens the Page</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Content Application</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Evidence / Approval Needed</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Linked Finding</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O01</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Transparent comparison method</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Readers can see why a format fits a stated preference and where evidence stops.</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Show criteria, method date, reviewer, uncertainty and like-for-like rows before any verdict.</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Approved rubric and balanced source matrix. Confirming question: Who approves the method and resolves contradictory input?</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O02</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Cited suitability and source notes</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Traceable age, space, cost and effort support makes the guide more trustworthy than unqualified listicles.</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Attach concise source notes to material comparisons; separate Viri VR facts from general planning guidance.</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Tested ranges, dated costs, planner and safety sources. Confirming question: Which statements can be supported for every compared format?</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F04–F09</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O03</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Original planning worksheet and run sheet</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 blank tool helps the organiser decide without fabricating an event result.</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Offer unfilled budget/space/effort and two-activity run-sheet templates; add a real example only after review.</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Planner review; permissioned real run sheet if illustrated. Confirming question: Which example can be shown with its actual conditions?</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F06/F07</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O04</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Permissioned first-party event proof</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An attributable example can demonstrate an actual setting, limitations and organiser work.</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Use a dated case, photo or caption only for the claim the record proves; disclose context.</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Original event record and consent. Confirming question: What assets and location/guest detail may be published?</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F10/F11</w:t>
            </w:r>
          </w:p>
        </w:tc>
      </w:tr>
      <w:tr>
        <w:trPr>
          <w:cantSplit/>
        </w:trPr>
        <w:tc>
          <w:tcPr>
            <w:tcW w:type="dxa" w:w="1329"/>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O05</w:t>
            </w:r>
          </w:p>
        </w:tc>
        <w:tc>
          <w:tcPr>
            <w:tcW w:type="dxa" w:w="246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Answer-first comparison questions</w:t>
            </w:r>
          </w:p>
        </w:tc>
        <w:tc>
          <w:tcPr>
            <w:tcW w:type="dxa" w:w="263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Three exact briefed questions meet age, small-space and participation decisions; E10 adds five unmeasured editorial options.</w:t>
            </w:r>
          </w:p>
        </w:tc>
        <w:tc>
          <w:tcPr>
            <w:tcW w:type="dxa" w:w="30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Give concise, criteria-based visible answers; reserve detailed service facts for HP-001 and verified local eligibility for HP-002.</w:t>
            </w:r>
          </w:p>
        </w:tc>
        <w:tc>
          <w:tcPr>
            <w:tcW w:type="dxa" w:w="338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Approved claim map and method. Confirming question: Which proposed answers have evidence and editorial approval?</w:t>
            </w:r>
          </w:p>
        </w:tc>
        <w:tc>
          <w:tcPr>
            <w:tcW w:type="dxa" w:w="15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F01/F04/F05/F08/F15</w:t>
            </w:r>
          </w:p>
        </w:tc>
      </w:tr>
    </w:tbl>
    <w:p>
      <w:pPr>
        <w:spacing w:after="0"/>
      </w:pPr>
    </w:p>
    <w:p>
      <w:pPr>
        <w:pStyle w:val="Heading1"/>
      </w:pPr>
      <w:r>
        <w:t>7 Backlink and External Authority Opportunities</w:t>
      </w:r>
    </w:p>
    <w:p>
      <w:pPr>
        <w:keepNext/>
      </w:pPr>
      <w:r>
        <w:t>These are bounded specialist handoffs inferred from a potential original asset. No links, prospects, referring domains, profile consistency or earned coverage outcomes were audited.</w:t>
      </w:r>
    </w:p>
    <w:tbl>
      <w:tblPr>
        <w:tblW w:type="auto" w:w="0"/>
        <w:jc w:val="center"/>
        <w:tblLayout w:type="fixed"/>
        <w:tblLook w:firstColumn="1" w:firstRow="1" w:lastColumn="0" w:lastRow="0" w:noHBand="0" w:noVBand="1" w:val="04A0"/>
      </w:tblPr>
      <w:tblGrid>
        <w:gridCol w:w="1368"/>
        <w:gridCol w:w="2970"/>
        <w:gridCol w:w="3224"/>
        <w:gridCol w:w="4005"/>
        <w:gridCol w:w="2833"/>
      </w:tblGrid>
      <w:tr>
        <w:trPr>
          <w:cantSplit/>
          <w:tblHeader/>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Opportunity ID</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Observation</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Authority Opportunity</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Recommended Next Step</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Specialist Handoff</w:t>
            </w:r>
          </w:p>
        </w:tc>
      </w:tr>
      <w:tr>
        <w:trPr>
          <w:cantSplit/>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X01</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F02/F03/F07: a tested, sourced six-format method and useful worksheet do not yet exist in the supplied evidence.</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 original guide with transparent methods and real planning assets may merit relevant references.</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After approval, assess asset quality and appropriate link context; no prospect list, backlink value claim or outreach here.</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Backlink Auditor</w:t>
            </w:r>
          </w:p>
        </w:tc>
      </w:tr>
      <w:tr>
        <w:trPr>
          <w:cantSplit/>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X02</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 a permissioned event-planning example could add local first-hand insight if distinctive.</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 documented case or original planner insight may support external coverage if genuinely newsworthy.</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Validate consent, claims and relevance first; request an angle/fit assessment and campaign decision separately.</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Digital PR Specialist</w:t>
            </w:r>
          </w:p>
        </w:tc>
      </w:tr>
      <w:tr>
        <w:trPr>
          <w:cantSplit/>
        </w:trPr>
        <w:tc>
          <w:tcPr>
            <w:tcW w:type="dxa" w:w="136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X03</w:t>
            </w:r>
          </w:p>
        </w:tc>
        <w:tc>
          <w:tcPr>
            <w:tcW w:type="dxa" w:w="2970"/>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F14: no owned-profile, citation or off-site proof consistency review is supplied for the ideas guide.</w:t>
            </w:r>
          </w:p>
        </w:tc>
        <w:tc>
          <w:tcPr>
            <w:tcW w:type="dxa" w:w="322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Accurate authored profiles and genuine local event proof could corroborate the brand and method.</w:t>
            </w:r>
          </w:p>
        </w:tc>
        <w:tc>
          <w:tcPr>
            <w:tcW w:type="dxa" w:w="4005"/>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Review actual profiles and citations against approved name, service wording and source set; log verified discrepancies only.</w:t>
            </w:r>
          </w:p>
        </w:tc>
        <w:tc>
          <w:tcPr>
            <w:tcW w:type="dxa" w:w="283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Brand Authority Builder</w:t>
            </w:r>
          </w:p>
        </w:tc>
      </w:tr>
    </w:tbl>
    <w:p>
      <w:pPr>
        <w:spacing w:after="0"/>
      </w:pPr>
    </w:p>
    <w:p>
      <w:pPr>
        <w:pStyle w:val="Heading1"/>
      </w:pPr>
      <w:r>
        <w:t>8 Outstanding Issues and Handoffs Register</w:t>
      </w:r>
    </w:p>
    <w:p>
      <w:pPr>
        <w:keepNext/>
      </w:pPr>
      <w:r>
        <w:t>Only unresolved work appears here. Each requirement starts with a routing type; effect distinguishes a draftable guide structure from factual verdicts, features and release.</w:t>
      </w:r>
    </w:p>
    <w:tbl>
      <w:tblPr>
        <w:tblW w:type="auto" w:w="0"/>
        <w:jc w:val="center"/>
        <w:tblLayout w:type="fixed"/>
        <w:tblLook w:firstColumn="1" w:firstRow="1" w:lastColumn="0" w:lastRow="0" w:noHBand="0" w:noVBand="1" w:val="04A0"/>
      </w:tblPr>
      <w:tblGrid>
        <w:gridCol w:w="1036"/>
        <w:gridCol w:w="1778"/>
        <w:gridCol w:w="2853"/>
        <w:gridCol w:w="2442"/>
        <w:gridCol w:w="3517"/>
        <w:gridCol w:w="2774"/>
      </w:tblGrid>
      <w:tr>
        <w:trPr>
          <w:cantSplit/>
          <w:tblHeader/>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Issue ID</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Related Finding(s)</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Outstanding Requirement</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Handoff /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Required Output or Decision</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Effect on Content</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I01</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Human Clarification: comparison method and balance.</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Strategy Manager; designated event planner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Approved rubric, criterion definitions, evidence threshold, unknown handling and reviewer/date.</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ranked or 'best' verdicts; neutral outline may proceed.</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I02</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F03</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comparable notes for all six formats.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Designated event planner; Strategy/Search</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Format-by-format source matrix with advantages, limits, counterexamples and provenance.</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unsupported comparisons; skeleton may proceed.</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I03</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F04/F09</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Required: age, supervision and relevant safety guidance.</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routes VR facts; authorised safety owner; planner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Activity-specific reviewed matrix, approved source and exact claim wording.</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age/safety verdicts and assurances.</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I04</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F05</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tested space/group conditions.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Ajith/operations for VR; planner for other formats</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Tested ranges, setup conditions, exceptions and source dates, kept separate by format.</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numeric small-space/capacity claims.</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I05</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F06</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Required: comparable budget and price basis.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Strategy/finance method; Ajith/pricing for VR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Like-for-like cost scope, dated inputs and approved Viri VR terms if used.</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price, cost-band and value claims.</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I06</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F07/F08</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effort, flow, participation and weather conditions.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Designated planner; Ajith for VR operations</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Task inventory, real run sheets, observed limits and contingency wording.</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saved-time, everyone-involved and fallback claims; blank worksheet may proceed.</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I07</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F09</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Requires Human Clarification: authoritative safety/accessibility source.</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Human Authority Manager; safety/legal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Approved source, reviewer, scope and permitted wording for any instructions.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affected advice; no substitute from a generic external article.</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I08</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Evidence Required: original party proof and permission.</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Ajith/evidence owner; consent/privacy owner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Dated event record, asset rights, consent and permitted context.</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Blocks photo/testimonial/case proof module.</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I09</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F11</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Evidence Required: current hosted-VR service facts.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Ajith / delegated operations, pricing and safety owners</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Claim-matched current HP-001 evidence and approved concise comparison wording.</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Blocks factual hosted row and local eligibility implication.</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I10</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F12/F13</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Department decision: suggested secondary targets, extra links and legacy content.</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Strategy/Search; Content Manager; Technical SEO</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Approved target/anchor choices, EXP-001/VRP-001 label reconciliation, archive review and staged direct redirect plan.</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Can finish before publication; do not claim variant demand, reuse or switch old URL now.</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I11</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F12</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Specialist Follow-up: HP-003 baseline and AI observations.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Analytics; AI Visibility; Strategy/Search</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Local page/query export, audited events and dated fixed-prompt log when available.</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Can finish later; no performance or citation claim now.</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I12</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F14</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Specialist Follow-up: external authority and asset merit.</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Brand Authority Builder; Backlink Auditor; Digital PR Specialist</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Bounded profile/citation review and asset/link/coverage fit assessment after proof exists.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Later authority work; not a drafting blocker.</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I13</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F15</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Technical Implementation: selector, schema and redirects.</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Technical SEO; product/privacy if selector collects data</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Review final visible answers, Article/Breadcrumb/FAQ properties, canonical/redirect and feature behaviour.</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Can finish before publication; no untested feature or markup promise.</w:t>
            </w:r>
          </w:p>
        </w:tc>
      </w:tr>
      <w:tr>
        <w:trPr>
          <w:cantSplit/>
        </w:trPr>
        <w:tc>
          <w:tcPr>
            <w:tcW w:type="dxa" w:w="1036"/>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I14</w:t>
            </w:r>
          </w:p>
        </w:tc>
        <w:tc>
          <w:tcPr>
            <w:tcW w:type="dxa" w:w="1778"/>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F15</w:t>
            </w:r>
          </w:p>
        </w:tc>
        <w:tc>
          <w:tcPr>
            <w:tcW w:type="dxa" w:w="2853"/>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Later Authority review of developed guide.</w:t>
            </w:r>
          </w:p>
        </w:tc>
        <w:tc>
          <w:tcPr>
            <w:tcW w:type="dxa" w:w="244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Content Manager → Authority Manager</w:t>
            </w:r>
          </w:p>
        </w:tc>
        <w:tc>
          <w:tcPr>
            <w:tcW w:type="dxa" w:w="351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Completed content/staged page, claim-source map, method version and resolved issue decisions.</w:t>
            </w:r>
          </w:p>
        </w:tc>
        <w:tc>
          <w:tcPr>
            <w:tcW w:type="dxa" w:w="2774"/>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Required before completed-page validation; release remains gated.</w:t>
            </w:r>
          </w:p>
        </w:tc>
      </w:tr>
    </w:tbl>
    <w:p>
      <w:pPr>
        <w:spacing w:after="0"/>
      </w:pPr>
    </w:p>
    <w:p>
      <w:pPr>
        <w:pStyle w:val="Heading1"/>
      </w:pPr>
      <w:r>
        <w:t>9 Authority Manager Validation Results</w:t>
      </w:r>
    </w:p>
    <w:p>
      <w:pPr>
        <w:keepNext/>
      </w:pPr>
      <w:r>
        <w:t>Results cover available pre-development inputs. No completed-page quality pass, formal numerical authority score or publication approval is assigned.</w:t>
      </w:r>
    </w:p>
    <w:tbl>
      <w:tblPr>
        <w:tblW w:type="auto" w:w="0"/>
        <w:jc w:val="center"/>
        <w:tblLayout w:type="fixed"/>
        <w:tblLook w:firstColumn="1" w:firstRow="1" w:lastColumn="0" w:lastRow="0" w:noHBand="0" w:noVBand="1" w:val="04A0"/>
      </w:tblPr>
      <w:tblGrid>
        <w:gridCol w:w="4982"/>
        <w:gridCol w:w="3361"/>
        <w:gridCol w:w="6057"/>
      </w:tblGrid>
      <w:tr>
        <w:trPr>
          <w:cantSplit/>
          <w:tblHeader/>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jc w:val="center"/>
            </w:pPr>
            <w:r>
              <w:rPr>
                <w:rFonts w:ascii="Liberation Sans" w:hAnsi="Liberation Sans"/>
                <w:b/>
                <w:color w:val="FFFFFF"/>
                <w:sz w:val="16"/>
              </w:rPr>
              <w:t>Validation Area</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Result</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17365D"/>
          </w:tcPr>
          <w:p>
            <w:pPr>
              <w:spacing w:after="0" w:line="245" w:lineRule="auto"/>
            </w:pPr>
            <w:r>
              <w:rPr>
                <w:rFonts w:ascii="Liberation Sans" w:hAnsi="Liberation Sans"/>
                <w:b/>
                <w:color w:val="FFFFFF"/>
                <w:sz w:val="16"/>
              </w:rPr>
              <w:t>Relevant Reference</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Page purpose and HP-001/002/004/005 boundaries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Validated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E05–E06; F01</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Search/AEO input provenance</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Validated with Qualification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E07/E09/E10; S01–S09/V01–V05; F12</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Original six-format comparison method and balance</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F02/F03; C02/C10; I01/I02</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Age, space, group, budget and effort verdicts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F04–F07; C03–C07; I03–I06</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Participation, weather, safety and accessibility</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F08/F09; C08/C09; I06/I07</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Hosted VR facts and permissioned first-party proof</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Not Supported</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F10/F11; C11/C12; I08/I09</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jc w:val="center"/>
            </w:pPr>
            <w:r>
              <w:rPr>
                <w:rFonts w:ascii="Liberation Sans" w:hAnsi="Liberation Sans"/>
                <w:b w:val="0"/>
                <w:color w:val="151C24"/>
                <w:sz w:val="16"/>
              </w:rPr>
              <w:t>External authority opportunity status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Validated with Qualification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7F8FA"/>
          </w:tcPr>
          <w:p>
            <w:pPr>
              <w:spacing w:after="0" w:line="245" w:lineRule="auto"/>
            </w:pPr>
            <w:r>
              <w:rPr>
                <w:rFonts w:ascii="Liberation Sans" w:hAnsi="Liberation Sans"/>
                <w:b w:val="0"/>
                <w:color w:val="151C24"/>
                <w:sz w:val="16"/>
              </w:rPr>
              <w:t>F14; X01–X03; I12</w:t>
            </w:r>
          </w:p>
        </w:tc>
      </w:tr>
      <w:tr>
        <w:trPr>
          <w:cantSplit/>
        </w:trPr>
        <w:tc>
          <w:tcPr>
            <w:tcW w:type="dxa" w:w="4982"/>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jc w:val="center"/>
            </w:pPr>
            <w:r>
              <w:rPr>
                <w:rFonts w:ascii="Liberation Sans" w:hAnsi="Liberation Sans"/>
                <w:b w:val="0"/>
                <w:color w:val="151C24"/>
                <w:sz w:val="16"/>
              </w:rPr>
              <w:t>Draft, migration, technical and measured readiness</w:t>
            </w:r>
          </w:p>
        </w:tc>
        <w:tc>
          <w:tcPr>
            <w:tcW w:type="dxa" w:w="3361"/>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Requires Human Clarification</w:t>
            </w:r>
          </w:p>
        </w:tc>
        <w:tc>
          <w:tcPr>
            <w:tcW w:type="dxa" w:w="6057"/>
            <w:vAlign w:val="center"/>
            <w:tcBorders>
              <w:top w:val="single" w:sz="5" w:color="B9C2CC"/>
              <w:left w:val="single" w:sz="5" w:color="B9C2CC"/>
              <w:bottom w:val="single" w:sz="5" w:color="B9C2CC"/>
              <w:right w:val="single" w:sz="5" w:color="B9C2CC"/>
            </w:tcBorders>
            <w:tcMar>
              <w:top w:w="60" w:type="dxa"/>
              <w:bottom w:w="60" w:type="dxa"/>
              <w:start w:w="54" w:type="dxa"/>
              <w:end w:w="54" w:type="dxa"/>
            </w:tcMar>
            <w:shd w:fill="FFFFFF"/>
          </w:tcPr>
          <w:p>
            <w:pPr>
              <w:spacing w:after="0" w:line="245" w:lineRule="auto"/>
            </w:pPr>
            <w:r>
              <w:rPr>
                <w:rFonts w:ascii="Liberation Sans" w:hAnsi="Liberation Sans"/>
                <w:b w:val="0"/>
                <w:color w:val="151C24"/>
                <w:sz w:val="16"/>
              </w:rPr>
              <w:t>F12/F13/F15; I10/I11/I13/I14</w:t>
            </w:r>
          </w:p>
        </w:tc>
      </w:tr>
    </w:tbl>
    <w:p>
      <w:pPr>
        <w:spacing w:after="0"/>
      </w:pPr>
    </w:p>
    <w:p>
      <w:pPr>
        <w:pStyle w:val="Heading1"/>
      </w:pPr>
      <w:r>
        <w:t>10 Final Recommendations to the Content Manager</w:t>
      </w:r>
    </w:p>
    <w:p>
      <w:pPr>
        <w:pStyle w:val="Heading2"/>
      </w:pPr>
      <w:r>
        <w:t>Can be used during drafting now</w:t>
      </w:r>
    </w:p>
    <w:p>
      <w:r>
        <w:t>Use the approved HP-003 page job, six candidate formats, primary phrase and three exact briefed questions as planning inputs (F01, S01–S03). Treat E10's five AEO questions and supporting phrases as editorial options, not verified demand (V01/V02). Build a criteria-first neutral outline, source map and unfilled planning worksheet. Preserve the explicit HP-003→HP-001 link and keep HP-002 local eligibility, HP-004 birthday and HP-005 teen depth with their owners (F01/F13).</w:t>
      </w:r>
    </w:p>
    <w:p>
      <w:pPr>
        <w:pStyle w:val="Heading2"/>
      </w:pPr>
      <w:r>
        <w:t>Must remain conditional or unverified</w:t>
      </w:r>
    </w:p>
    <w:p>
      <w:r>
        <w:t>Do not finalise C02–C14 as factual verdicts until their owners return method, claim-matched evidence and reviews. In particular, a 'best' format, age/space/group threshold, budget or effort ranking, engagement result, safety/weather assurance, Viri VR service characteristic, real event proof or performance outcome cannot be inferred from demand, a competitor example or draft planning copy (F02–F12).</w:t>
      </w:r>
    </w:p>
    <w:p>
      <w:pPr>
        <w:pStyle w:val="Heading2"/>
      </w:pPr>
      <w:r>
        <w:t>Authority and trust improvements to incorporate</w:t>
      </w:r>
    </w:p>
    <w:p>
      <w:r>
        <w:t>Show a reviewable method, balanced format notes, limitations and cited source dates (O01–O02). Add permissioned event examples and real run-sheet detail only when available; a blank worksheet can help now (O03–O04). Use visible approved answers to the three questions (O05), then route asset and external authority assessment to specialists (F14, X01–X03).</w:t>
      </w:r>
    </w:p>
    <w:p>
      <w:pPr>
        <w:pStyle w:val="Heading2"/>
      </w:pPr>
      <w:r>
        <w:t>Before content is considered complete</w:t>
      </w:r>
    </w:p>
    <w:p>
      <w:r>
        <w:t>Resolve I01–I09 for affected comparison and service claims; settle extra links and archive treatment with Strategy/Technical SEO (I10/I13); obtain governed analytics and AI observation inputs without inventing a baseline (I11); return staged content, method and claim map for Authority Manager review (I14). Publication approval remains separate.</w:t>
      </w:r>
    </w:p>
    <w:p>
      <w:pPr>
        <w:sectPr>
          <w:pgSz w:w="15840" w:h="12240" w:orient="landscape"/>
          <w:pgMar w:top="720" w:right="720" w:bottom="720" w:left="720" w:header="288" w:footer="360" w:gutter="0"/>
          <w:cols w:space="720"/>
          <w:docGrid w:linePitch="360"/>
        </w:sectPr>
      </w:pPr>
    </w:p>
    <w:p>
      <w:pPr>
        <w:pStyle w:val="Heading1"/>
      </w:pPr>
      <w:r>
        <w:t>11 Supporting Evidence and Provenance Register</w:t>
      </w:r>
    </w:p>
    <w:p>
      <w:pPr>
        <w:keepNext/>
      </w:pPr>
      <w:r>
        <w:t>The source hierarchy is Handbook, Authority Manager Specification, Audit Criteria Framework, then approved architecture/project evidence. Specialist reports are upstream interpretations. Missing original records make the proof requests traceable.</w:t>
      </w:r>
    </w:p>
    <w:tbl>
      <w:tblPr>
        <w:tblW w:type="auto" w:w="0"/>
        <w:jc w:val="center"/>
        <w:tblLayout w:type="fixed"/>
        <w:tblLook w:firstColumn="1" w:firstRow="1" w:lastColumn="0" w:lastRow="0" w:noHBand="0" w:noVBand="1" w:val="04A0"/>
      </w:tblPr>
      <w:tblGrid>
        <w:gridCol w:w="907"/>
        <w:gridCol w:w="3082"/>
        <w:gridCol w:w="1613"/>
        <w:gridCol w:w="1944"/>
        <w:gridCol w:w="3067"/>
      </w:tblGrid>
      <w:tr>
        <w:trPr>
          <w:cantSplit/>
          <w:tblHeader/>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17365D"/>
          </w:tcPr>
          <w:p>
            <w:pPr>
              <w:spacing w:after="0" w:line="245" w:lineRule="auto"/>
              <w:jc w:val="center"/>
            </w:pPr>
            <w:r>
              <w:rPr>
                <w:rFonts w:ascii="Liberation Sans" w:hAnsi="Liberation Sans"/>
                <w:b/>
                <w:color w:val="FFFFFF"/>
                <w:sz w:val="14"/>
              </w:rPr>
              <w:t>Evidence ID</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17365D"/>
          </w:tcPr>
          <w:p>
            <w:pPr>
              <w:spacing w:after="0" w:line="245" w:lineRule="auto"/>
            </w:pPr>
            <w:r>
              <w:rPr>
                <w:rFonts w:ascii="Liberation Sans" w:hAnsi="Liberation Sans"/>
                <w:b/>
                <w:color w:val="FFFFFF"/>
                <w:sz w:val="14"/>
              </w:rPr>
              <w:t>Source</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17365D"/>
          </w:tcPr>
          <w:p>
            <w:pPr>
              <w:spacing w:after="0" w:line="245" w:lineRule="auto"/>
            </w:pPr>
            <w:r>
              <w:rPr>
                <w:rFonts w:ascii="Liberation Sans" w:hAnsi="Liberation Sans"/>
                <w:b/>
                <w:color w:val="FFFFFF"/>
                <w:sz w:val="14"/>
              </w:rPr>
              <w:t>Provider / Owner</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17365D"/>
          </w:tcPr>
          <w:p>
            <w:pPr>
              <w:spacing w:after="0" w:line="245" w:lineRule="auto"/>
            </w:pPr>
            <w:r>
              <w:rPr>
                <w:rFonts w:ascii="Liberation Sans" w:hAnsi="Liberation Sans"/>
                <w:b/>
                <w:color w:val="FFFFFF"/>
                <w:sz w:val="14"/>
              </w:rPr>
              <w:t>Used For</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17365D"/>
          </w:tcPr>
          <w:p>
            <w:pPr>
              <w:spacing w:after="0" w:line="245" w:lineRule="auto"/>
            </w:pPr>
            <w:r>
              <w:rPr>
                <w:rFonts w:ascii="Liberation Sans" w:hAnsi="Liberation Sans"/>
                <w:b/>
                <w:color w:val="FFFFFF"/>
                <w:sz w:val="14"/>
              </w:rPr>
              <w:t>Status / Limitation</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E01</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Attached reusable Authority Manager Pre Development Analysis and Recommendation Report Layout; latest HP-002 and attached HP-001 presentation references.</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Human-provided framework/style</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Twelve sections, record-once rules and visual treatment</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Required structure and style reference; not evidence of HP-003 fulfilment.</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E02</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Digital Marketing Centre of Excellence Graduate Handbook Updated, Part V p.24 and Part VI specialist charters.</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Project governance source</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Authority role, specialist boundaries and release gates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Highest-priority governance, directly reviewed for this project.</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E03</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Authority Manager Agent Specification, updated 16 Sep 2026, §§5 and 7.</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Project governance source</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DoR, quality review, provenance and escalation</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Directly reviewed; completed-page wording applies only at later review.</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E04</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Authority Manager Audit Criteria Framework v1, §§2–5.</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Project governance source</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Evidence, trust, brand, claim and specialist criteria</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Directly reviewed; no invented score or severity threshold.</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E05</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Viri_VR_House_Party_Content_Authority_Architecture_v1.xlsm, Architecture row 4; Content Briefs row 4.</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Approved planning workbook</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Page job, three questions, six formats, modules and evidence needs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Directly reviewed; proposed comparisons and copy are not tested outcomes.</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E06</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Same workbook, Internal Links rows 6–7; Architecture rows 2–6 and 9; Content Briefs row 4.</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Approved planning workbook</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HP-001 pair and HP-002/004/005/venue boundaries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Direct pair reviewed; extra briefed targets lack separate Internal Links rows.</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E07</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Same workbook, Keyword Map row 5; Evidence rows 2–4, 7, 10; Measurement Plan rows 3–9.</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Approved planning workbook</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Search and analytics scope limits and future checks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Fifty is nominal Melbourne-segmented volume; sitewide/legacy figures are not HP-003 results. Raw exports/event dictionary absent.</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E08</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Same workbook, Consolidation row 3; old /top-virtual-reality-party-ideas/ path.</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Approved planning workbook</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Archive review and post-launch direct redirect</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Workbook describes existing redirect to /vr-party/; Market Pack reports a 4 Oct 2026 read. Not independently rechecked here.</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E09</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HP-003_Market_Research_Pack_v1.0_2026-10-04.md, §§1–15, source register and escalation flags.</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Market Research Analyst</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Upstream intent, questions, examples, comparison gaps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Research draft pending Strategy Manager review; assumptions and recommendations are not comparative or Viri VR facts.</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E10</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vdvr-hp-003-keyword-aeo-prep.md, Page Overview through Source Basis.</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AI Visibility Specialist</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Primary phrase, topic variations, AEO questions, page boundaries and later visibility checks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Attached preparation is evidence-dependent. Secondary phrases and five questions are unmeasured suggestions; no operational, ranking, citation or rich-result proof.</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E11</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Public examples listed in E09: Coles party checklist; IKEA Australia small-space ideas; Obscura Mystery Games home guide.</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Market Research Analyst observations</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External editorial presentation patterns only</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Reported read 4 Oct 2026 by specialist; not independently rechecked, comparative trials or Viri VR proof.</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E12</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Human project clarification: Ajith Ratnarajah is Viri VR CEO and authorised operational evidence owner.</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Human Authority Manager</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Route Viri VR operational fact requests</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Owner designation is approved; no age, space, price, package or safety fact is verified by it.</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jc w:val="center"/>
            </w:pPr>
            <w:r>
              <w:rPr>
                <w:rFonts w:ascii="Liberation Sans" w:hAnsi="Liberation Sans"/>
                <w:b w:val="0"/>
                <w:color w:val="151C24"/>
                <w:sz w:val="14"/>
              </w:rPr>
              <w:t>E13</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Original rubric, six-format planner notes, tested age/space/group evidence, dated costs, real run sheets, safety sources and permissioned images.</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Strategy/planner; Ajith/delegated owners</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C02–C12 and later proof review</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7F8FA"/>
          </w:tcPr>
          <w:p>
            <w:pPr>
              <w:spacing w:after="0" w:line="245" w:lineRule="auto"/>
            </w:pPr>
            <w:r>
              <w:rPr>
                <w:rFonts w:ascii="Liberation Sans" w:hAnsi="Liberation Sans"/>
                <w:b w:val="0"/>
                <w:color w:val="151C24"/>
                <w:sz w:val="14"/>
              </w:rPr>
              <w:t>Not supplied for this review; requested in I01–I09. Non-VR comparisons need their own support.</w:t>
            </w:r>
          </w:p>
        </w:tc>
      </w:tr>
      <w:tr>
        <w:trPr>
          <w:cantSplit/>
        </w:trPr>
        <w:tc>
          <w:tcPr>
            <w:tcW w:type="dxa" w:w="90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jc w:val="center"/>
            </w:pPr>
            <w:r>
              <w:rPr>
                <w:rFonts w:ascii="Liberation Sans" w:hAnsi="Liberation Sans"/>
                <w:b w:val="0"/>
                <w:color w:val="151C24"/>
                <w:sz w:val="14"/>
              </w:rPr>
              <w:t>E14</w:t>
            </w:r>
          </w:p>
        </w:tc>
        <w:tc>
          <w:tcPr>
            <w:tcW w:type="dxa" w:w="3082"/>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Revised HP-003 content, tested selector/schema, archived ideas article, raw local exports/event dictionary and measured AI observation log.</w:t>
            </w:r>
          </w:p>
        </w:tc>
        <w:tc>
          <w:tcPr>
            <w:tcW w:type="dxa" w:w="1613"/>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Content Manager; Technical SEO; Analytics/AI Visibility</w:t>
            </w:r>
          </w:p>
        </w:tc>
        <w:tc>
          <w:tcPr>
            <w:tcW w:type="dxa" w:w="1944"/>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Later page, implementation and performance review</w:t>
            </w:r>
          </w:p>
        </w:tc>
        <w:tc>
          <w:tcPr>
            <w:tcW w:type="dxa" w:w="3067"/>
            <w:vAlign w:val="center"/>
            <w:tcBorders>
              <w:top w:val="single" w:sz="5" w:color="B9C2CC"/>
              <w:left w:val="single" w:sz="5" w:color="B9C2CC"/>
              <w:bottom w:val="single" w:sz="5" w:color="B9C2CC"/>
              <w:right w:val="single" w:sz="5" w:color="B9C2CC"/>
            </w:tcBorders>
            <w:tcMar>
              <w:top w:w="25" w:type="dxa"/>
              <w:bottom w:w="25" w:type="dxa"/>
              <w:start w:w="48" w:type="dxa"/>
              <w:end w:w="48" w:type="dxa"/>
            </w:tcMar>
            <w:shd w:fill="FFFFFF"/>
          </w:tcPr>
          <w:p>
            <w:pPr>
              <w:spacing w:after="0" w:line="245" w:lineRule="auto"/>
            </w:pPr>
            <w:r>
              <w:rPr>
                <w:rFonts w:ascii="Liberation Sans" w:hAnsi="Liberation Sans"/>
                <w:b w:val="0"/>
                <w:color w:val="151C24"/>
                <w:sz w:val="14"/>
              </w:rPr>
              <w:t>Not supplied here; requested in I10–I14. E10 is a preparation plan, not an observation log or AI citation result.</w:t>
            </w:r>
          </w:p>
        </w:tc>
      </w:tr>
    </w:tbl>
    <w:p>
      <w:pPr>
        <w:spacing w:after="0"/>
      </w:pPr>
    </w:p>
    <w:p>
      <w:pPr>
        <w:pStyle w:val="Heading1"/>
      </w:pPr>
      <w:r>
        <w:t>12 Content Manager Handoff Summary</w:t>
      </w:r>
    </w:p>
    <w:p>
      <w:pPr>
        <w:spacing w:after="30" w:line="245" w:lineRule="auto"/>
      </w:pPr>
      <w:r>
        <w:rPr>
          <w:b/>
        </w:rPr>
        <w:t xml:space="preserve">Development readiness  </w:t>
      </w:r>
      <w:r>
        <w:t>Ready for Development with Conditions. A neutral structure and evidence collection may begin; comparison verdicts need a method and owner-reviewed sources.</w:t>
      </w:r>
    </w:p>
    <w:p>
      <w:pPr>
        <w:spacing w:after="30" w:line="245" w:lineRule="auto"/>
      </w:pPr>
      <w:r>
        <w:rPr>
          <w:b/>
        </w:rPr>
        <w:t xml:space="preserve">Begin now  </w:t>
      </w:r>
      <w:r>
        <w:t>Draft the criteria-first six-format scaffold, three exact briefed answer slots, approved HP-001 link and evidence requests. Treat E10's additional AEO questions as optional editorial prompts (F01–F03, V02, O01/O05).</w:t>
      </w:r>
    </w:p>
    <w:p>
      <w:pPr>
        <w:spacing w:after="30" w:line="245" w:lineRule="auto"/>
      </w:pPr>
      <w:r>
        <w:rPr>
          <w:b/>
        </w:rPr>
        <w:t xml:space="preserve">Hold  </w:t>
      </w:r>
      <w:r>
        <w:t>Do not finalise C02–C14 without the relevant comparison, operational, safety, proof and measurement evidence.</w:t>
      </w:r>
    </w:p>
    <w:p>
      <w:pPr>
        <w:spacing w:after="30" w:line="245" w:lineRule="auto"/>
      </w:pPr>
      <w:r>
        <w:rPr>
          <w:b/>
        </w:rPr>
        <w:t xml:space="preserve">Highest priority  </w:t>
      </w:r>
      <w:r>
        <w:t>I01–I09: rubric and balanced six-format support; age/space/group, budget/effort/flow, safety, proof and current Viri VR facts.</w:t>
      </w:r>
    </w:p>
    <w:p>
      <w:pPr>
        <w:spacing w:after="30" w:line="245" w:lineRule="auto"/>
      </w:pPr>
      <w:r>
        <w:rPr>
          <w:b/>
        </w:rPr>
        <w:t xml:space="preserve">Authority and trust  </w:t>
      </w:r>
      <w:r>
        <w:t>Use O01–O05 when supported; route asset, link, external coverage and brand-presence assessment via X01–X03 and I12.</w:t>
      </w:r>
    </w:p>
    <w:p>
      <w:pPr>
        <w:spacing w:after="30" w:line="245" w:lineRule="auto"/>
      </w:pPr>
      <w:r>
        <w:rPr>
          <w:b/>
        </w:rPr>
        <w:t xml:space="preserve">Specialist dependencies  </w:t>
      </w:r>
      <w:r>
        <w:t>Strategy/Search I01/I02/I10; Technical SEO I10/I13; Analytics and AI Visibility I11; authority specialists I12.</w:t>
      </w:r>
    </w:p>
    <w:p>
      <w:pPr>
        <w:spacing w:after="30" w:line="245" w:lineRule="auto"/>
      </w:pPr>
      <w:r>
        <w:rPr>
          <w:b/>
        </w:rPr>
        <w:t xml:space="preserve">Return for review  </w:t>
      </w:r>
      <w:r>
        <w:t>Send the completed guide or staged page, method version, claim-to-source map and issue resolutions to the Authority Manager (I14). AWAITING PUBLICATION GATE — NOT APPROVED FOR RELEASE.</w:t>
      </w:r>
    </w:p>
    <w:sectPr w:rsidR="00FC693F" w:rsidRPr="0006063C" w:rsidSect="00034616">
      <w:pgSz w:w="12240" w:h="15840"/>
      <w:pgMar w:top="936" w:right="792" w:bottom="936"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3F4752"/>
        <w:sz w:val="15"/>
      </w:rPr>
      <w:t xml:space="preserve">Pre-Development Authority Handoff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65F91"/>
        <w:sz w:val="17"/>
      </w:rPr>
      <w:t>Viri VR  |  HP-003 Authority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365F9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bottom w:val="nil"/>
      </w:pBdr>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Liberation Sans" w:hAnsi="Liberation Sans"/>
      <w:i w:val="0"/>
      <w:iCs/>
      <w:color w:val="365F9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HP-003 Pre Development Authority Manager Recommendation Report</dc:title>
  <dc:subject>Authority Manager handoff to Content Manager</dc:subject>
  <dc:creator>Viri VR Authority Manager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