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2F5597"/>
          <w:sz w:val="40"/>
        </w:rPr>
        <w:t>HP-001</w:t>
      </w:r>
    </w:p>
    <w:p>
      <w:pPr>
        <w:pStyle w:val="Title"/>
        <w:jc w:val="center"/>
      </w:pPr>
      <w:r>
        <w:t>Pre-Development Authority Analysis</w:t>
        <w:br/>
        <w:t>and Recommendation Report</w:t>
      </w:r>
    </w:p>
    <w:p>
      <w:pPr>
        <w:pStyle w:val="ReportSubtitle"/>
        <w:jc w:val="center"/>
      </w:pPr>
      <w:r>
        <w:t>Authority Manager AI Agent | ViriVr Digital Marketing Team</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D9E3F0"/>
            <w:tcMar>
              <w:top w:w="100" w:type="dxa"/>
              <w:start w:w="120" w:type="dxa"/>
              <w:bottom w:w="100" w:type="dxa"/>
              <w:end w:w="120" w:type="dxa"/>
            </w:tcMar>
            <w:vAlign w:val="center"/>
          </w:tcPr>
          <w:p>
            <w:pPr>
              <w:jc w:val="left"/>
            </w:pPr>
            <w:r>
              <w:rPr>
                <w:rFonts w:ascii="Aptos" w:hAnsi="Aptos"/>
                <w:b/>
                <w:sz w:val="18"/>
              </w:rPr>
              <w:t>Field</w:t>
            </w:r>
          </w:p>
        </w:tc>
        <w:tc>
          <w:tcPr>
            <w:tcW w:type="dxa" w:w="7920"/>
            <w:shd w:fill="D9E3F0"/>
            <w:tcMar>
              <w:top w:w="100" w:type="dxa"/>
              <w:start w:w="120" w:type="dxa"/>
              <w:bottom w:w="100" w:type="dxa"/>
              <w:end w:w="120" w:type="dxa"/>
            </w:tcMar>
            <w:vAlign w:val="center"/>
          </w:tcPr>
          <w:p>
            <w:pPr>
              <w:jc w:val="left"/>
            </w:pPr>
            <w:r>
              <w:rPr>
                <w:rFonts w:ascii="Aptos" w:hAnsi="Aptos"/>
                <w:b/>
                <w:sz w:val="18"/>
              </w:rPr>
              <w:t>Value</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Status</w:t>
            </w:r>
          </w:p>
        </w:tc>
        <w:tc>
          <w:tcPr>
            <w:tcW w:type="dxa" w:w="7920"/>
            <w:tcMar>
              <w:top w:w="100" w:type="dxa"/>
              <w:start w:w="120" w:type="dxa"/>
              <w:bottom w:w="100" w:type="dxa"/>
              <w:end w:w="120" w:type="dxa"/>
            </w:tcMar>
            <w:vAlign w:val="center"/>
          </w:tcPr>
          <w:p>
            <w:pPr>
              <w:jc w:val="left"/>
            </w:pPr>
            <w:r>
              <w:rPr>
                <w:rFonts w:ascii="Aptos" w:hAnsi="Aptos"/>
                <w:sz w:val="18"/>
              </w:rPr>
              <w:t>Pre-development analysis only — not an audit, review, approval or publication decision.</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Target</w:t>
            </w:r>
          </w:p>
        </w:tc>
        <w:tc>
          <w:tcPr>
            <w:tcW w:type="dxa" w:w="7920"/>
            <w:tcMar>
              <w:top w:w="100" w:type="dxa"/>
              <w:start w:w="120" w:type="dxa"/>
              <w:bottom w:w="100" w:type="dxa"/>
              <w:end w:w="120" w:type="dxa"/>
            </w:tcMar>
            <w:vAlign w:val="center"/>
          </w:tcPr>
          <w:p>
            <w:pPr>
              <w:jc w:val="left"/>
            </w:pPr>
            <w:r>
              <w:rPr>
                <w:rFonts w:ascii="Aptos" w:hAnsi="Aptos"/>
                <w:sz w:val="18"/>
              </w:rPr>
              <w:t>HP-001 — proposed /house-party/ commercial pillar</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Primary source</w:t>
            </w:r>
          </w:p>
        </w:tc>
        <w:tc>
          <w:tcPr>
            <w:tcW w:type="dxa" w:w="7920"/>
            <w:tcMar>
              <w:top w:w="100" w:type="dxa"/>
              <w:start w:w="120" w:type="dxa"/>
              <w:bottom w:w="100" w:type="dxa"/>
              <w:end w:w="120" w:type="dxa"/>
            </w:tcMar>
            <w:vAlign w:val="center"/>
          </w:tcPr>
          <w:p>
            <w:pPr>
              <w:jc w:val="left"/>
            </w:pPr>
            <w:r>
              <w:rPr>
                <w:rFonts w:ascii="Aptos" w:hAnsi="Aptos"/>
                <w:sz w:val="18"/>
              </w:rPr>
              <w:t>Digital Marketing Centre of Excellence Graduate Handbook (highest priority)</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Secondary source</w:t>
            </w:r>
          </w:p>
        </w:tc>
        <w:tc>
          <w:tcPr>
            <w:tcW w:type="dxa" w:w="7920"/>
            <w:tcMar>
              <w:top w:w="100" w:type="dxa"/>
              <w:start w:w="120" w:type="dxa"/>
              <w:bottom w:w="100" w:type="dxa"/>
              <w:end w:w="120" w:type="dxa"/>
            </w:tcMar>
            <w:vAlign w:val="center"/>
          </w:tcPr>
          <w:p>
            <w:pPr>
              <w:jc w:val="left"/>
            </w:pPr>
            <w:r>
              <w:rPr>
                <w:rFonts w:ascii="Aptos" w:hAnsi="Aptos"/>
                <w:sz w:val="18"/>
              </w:rPr>
              <w:t>Authority Manager Agent Specification</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Working framework</w:t>
            </w:r>
          </w:p>
        </w:tc>
        <w:tc>
          <w:tcPr>
            <w:tcW w:type="dxa" w:w="7920"/>
            <w:tcMar>
              <w:top w:w="100" w:type="dxa"/>
              <w:start w:w="120" w:type="dxa"/>
              <w:bottom w:w="100" w:type="dxa"/>
              <w:end w:w="120" w:type="dxa"/>
            </w:tcMar>
            <w:vAlign w:val="center"/>
          </w:tcPr>
          <w:p>
            <w:pPr>
              <w:jc w:val="left"/>
            </w:pPr>
            <w:r>
              <w:rPr>
                <w:rFonts w:ascii="Aptos" w:hAnsi="Aptos"/>
                <w:sz w:val="18"/>
              </w:rPr>
              <w:t>Authority Manager AI Agent — Reusable Audit Criteria Framework v1</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Project input</w:t>
            </w:r>
          </w:p>
        </w:tc>
        <w:tc>
          <w:tcPr>
            <w:tcW w:type="dxa" w:w="7920"/>
            <w:tcMar>
              <w:top w:w="100" w:type="dxa"/>
              <w:start w:w="120" w:type="dxa"/>
              <w:bottom w:w="100" w:type="dxa"/>
              <w:end w:w="120" w:type="dxa"/>
            </w:tcMar>
            <w:vAlign w:val="center"/>
          </w:tcPr>
          <w:p>
            <w:pPr>
              <w:jc w:val="left"/>
            </w:pPr>
            <w:r>
              <w:rPr>
                <w:rFonts w:ascii="Aptos" w:hAnsi="Aptos"/>
                <w:sz w:val="18"/>
              </w:rPr>
              <w:t>Viri_VR_House_Party_Content_Authority_Architecture_v1</w:t>
            </w:r>
          </w:p>
        </w:tc>
      </w:tr>
      <w:tr>
        <w:trPr>
          <w:cantSplit/>
        </w:trPr>
        <w:tc>
          <w:tcPr>
            <w:tcW w:type="dxa" w:w="2304"/>
            <w:tcMar>
              <w:top w:w="100" w:type="dxa"/>
              <w:start w:w="120" w:type="dxa"/>
              <w:bottom w:w="100" w:type="dxa"/>
              <w:end w:w="120" w:type="dxa"/>
            </w:tcMar>
            <w:vAlign w:val="center"/>
          </w:tcPr>
          <w:p>
            <w:pPr>
              <w:jc w:val="left"/>
            </w:pPr>
            <w:r>
              <w:rPr>
                <w:rFonts w:ascii="Aptos" w:hAnsi="Aptos"/>
                <w:sz w:val="18"/>
              </w:rPr>
              <w:t>Prepared</w:t>
            </w:r>
          </w:p>
        </w:tc>
        <w:tc>
          <w:tcPr>
            <w:tcW w:type="dxa" w:w="7920"/>
            <w:tcMar>
              <w:top w:w="100" w:type="dxa"/>
              <w:start w:w="120" w:type="dxa"/>
              <w:bottom w:w="100" w:type="dxa"/>
              <w:end w:w="120" w:type="dxa"/>
            </w:tcMar>
            <w:vAlign w:val="center"/>
          </w:tcPr>
          <w:p>
            <w:pPr>
              <w:jc w:val="left"/>
            </w:pPr>
            <w:r>
              <w:rPr>
                <w:rFonts w:ascii="Aptos" w:hAnsi="Aptos"/>
                <w:sz w:val="18"/>
              </w:rPr>
              <w:t>16 September 2026</w:t>
            </w:r>
          </w:p>
        </w:tc>
      </w:tr>
    </w:tbl>
    <w:p>
      <w:pPr>
        <w:spacing w:after="0"/>
      </w:pPr>
    </w:p>
    <w:p/>
    <w:p>
      <w:pPr>
        <w:pStyle w:val="Callout"/>
        <w:jc w:val="center"/>
      </w:pPr>
      <w:r>
        <w:t>This report tests the readiness and support behind planned HP-001 authority, trust, evidence and brand requirements. Because HP-001 has not been developed, no pass/fail audit outcome is assigned.</w:t>
      </w:r>
    </w:p>
    <w:p>
      <w:r>
        <w:br w:type="page"/>
      </w:r>
    </w:p>
    <w:p>
      <w:pPr>
        <w:pStyle w:val="Heading1"/>
      </w:pPr>
      <w:r>
        <w:t>1. Executive Summary</w:t>
      </w:r>
    </w:p>
    <w:p>
      <w:r>
        <w:rPr>
          <w:b/>
        </w:rPr>
        <w:t xml:space="preserve">Overall Authority Manager position. </w:t>
      </w:r>
      <w:r>
        <w:t>The approved architecture provides a credible rationale for creating HP-001 as the dedicated national commercial owner for a hosted VR house-party service. The architecture also correctly identifies many of the evidence types that will be needed before factual copy can safely be developed. However, the approved sources reviewed here do not contain the underlying operational proof for many planned claims. The principal pre-development gap is therefore evidence readiness, not page-concept rationale.</w:t>
      </w:r>
    </w:p>
    <w:p>
      <w:pPr>
        <w:pStyle w:val="ListBullet"/>
        <w:spacing w:after="60"/>
      </w:pPr>
      <w:r>
        <w:t>The page concept is supported by approved Search Console and existing-site evidence showing early at-home/house-party relevance, fragmented ownership across URLs and no proven click capture in the reviewed window.</w:t>
      </w:r>
    </w:p>
    <w:p>
      <w:pPr>
        <w:pStyle w:val="ListBullet"/>
        <w:spacing w:after="60"/>
      </w:pPr>
      <w:r>
        <w:t>The architecture plans a strong trust/authority structure: operational clarity, safety/space guidance, current pricing, real photos/testimonials, clear service-area logic and links to supporting pages.</w:t>
      </w:r>
    </w:p>
    <w:p>
      <w:pPr>
        <w:pStyle w:val="ListBullet"/>
        <w:spacing w:after="60"/>
      </w:pPr>
      <w:r>
        <w:t>Most operational claims remain verification-dependent: service coverage, age/capacity, equipment counts, setup/pack-down, public liability, safety procedures, connectivity, travel fees, pricing, weather contingency, availability response times, optional venue/food coordination and customer proof.</w:t>
      </w:r>
    </w:p>
    <w:p>
      <w:pPr>
        <w:pStyle w:val="ListBullet"/>
        <w:spacing w:after="60"/>
      </w:pPr>
      <w:r>
        <w:t>The national-versus-local distinction is a material trust safeguard. HP-001 must explain the repeatable service model without implying Australia-wide bookability unless that is independently verified.</w:t>
      </w:r>
    </w:p>
    <w:p>
      <w:pPr>
        <w:pStyle w:val="ListBullet"/>
        <w:spacing w:after="60"/>
      </w:pPr>
      <w:r>
        <w:t>Approved competitor evidence is limited to an architecture observation about KaptureVR’s public messaging. It is useful as a content-pattern signal, but it is not competitor performance, backlink or authority evidence.</w:t>
      </w:r>
    </w:p>
    <w:p>
      <w:pPr>
        <w:pStyle w:val="ListBullet"/>
        <w:spacing w:after="60"/>
      </w:pPr>
      <w:r>
        <w:t>Detailed PR, backlink and deep citation/brand-authority analysis is not completed here. Those items are flagged to Digital PR Specialist, Backlink Auditor and Brand Authority Builder respectively.</w:t>
      </w:r>
    </w:p>
    <w:p>
      <w:pPr>
        <w:pStyle w:val="Heading1"/>
      </w:pPr>
      <w:r>
        <w:t>2. Scope, Governance and Role Boundary</w:t>
      </w:r>
    </w:p>
    <w:p>
      <w:pPr>
        <w:spacing w:after="100"/>
      </w:pPr>
      <w:r>
        <w:rPr>
          <w:b/>
        </w:rPr>
        <w:t xml:space="preserve">Analysis scope: </w:t>
      </w:r>
      <w:r>
        <w:t>Pre-development analysis of HP-001 requirements and planned outputs from the Authority Manager perspective: authority, credibility, trust, evidence/provenance, brand representation, preliminary citation/link considerations, risk, unresolved questions and specialist dependencies.</w:t>
      </w:r>
    </w:p>
    <w:p>
      <w:pPr>
        <w:spacing w:after="100"/>
      </w:pPr>
      <w:r>
        <w:rPr>
          <w:b/>
        </w:rPr>
        <w:t xml:space="preserve">Highest-priority governance: </w:t>
      </w:r>
      <w:r>
        <w:t>The Handbook places Authority review around trust signals, citations, Digital PR and backlink opportunities, while other stages retain responsibility for content creation, Technical SEO, Conversion and Analytics.</w:t>
      </w:r>
    </w:p>
    <w:p>
      <w:pPr>
        <w:spacing w:after="100"/>
      </w:pPr>
      <w:r>
        <w:rPr>
          <w:b/>
        </w:rPr>
        <w:t xml:space="preserve">Authority Manager boundary: </w:t>
      </w:r>
      <w:r>
        <w:t>The Authority Manager may identify and document preliminary gaps and dependencies. It must not perform detailed backlink-quality analysis, develop Digital PR campaigns, finalise keyword strategy, perform Technical SEO implementation, redefine analytics measurement, or complete deep brand-authority/citation work on behalf of specialists.</w:t>
      </w:r>
    </w:p>
    <w:p>
      <w:pPr>
        <w:spacing w:after="100"/>
      </w:pPr>
      <w:r>
        <w:rPr>
          <w:b/>
        </w:rPr>
        <w:t xml:space="preserve">Evidence rule: </w:t>
      </w:r>
      <w:r>
        <w:t>Only approved Project Sources and human-provided information are treated as evidence. Missing facts remain “Evidence Required” or “Requires Human Clarification”; they are not inferred.</w:t>
      </w:r>
    </w:p>
    <w:p>
      <w:pPr>
        <w:pStyle w:val="Heading1"/>
      </w:pPr>
      <w:r>
        <w:t>3. Source Hierarchy Used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shd w:fill="D9E3F0"/>
            <w:tcMar>
              <w:top w:w="100" w:type="dxa"/>
              <w:start w:w="120" w:type="dxa"/>
              <w:bottom w:w="100" w:type="dxa"/>
              <w:end w:w="120" w:type="dxa"/>
            </w:tcMar>
            <w:vAlign w:val="center"/>
          </w:tcPr>
          <w:p>
            <w:pPr>
              <w:jc w:val="left"/>
            </w:pPr>
            <w:r>
              <w:rPr>
                <w:rFonts w:ascii="Aptos" w:hAnsi="Aptos"/>
                <w:b/>
                <w:sz w:val="18"/>
              </w:rPr>
              <w:t>Priority</w:t>
            </w:r>
          </w:p>
        </w:tc>
        <w:tc>
          <w:tcPr>
            <w:tcW w:type="dxa" w:w="3456"/>
            <w:shd w:fill="D9E3F0"/>
            <w:tcMar>
              <w:top w:w="100" w:type="dxa"/>
              <w:start w:w="120" w:type="dxa"/>
              <w:bottom w:w="100" w:type="dxa"/>
              <w:end w:w="120" w:type="dxa"/>
            </w:tcMar>
            <w:vAlign w:val="center"/>
          </w:tcPr>
          <w:p>
            <w:pPr>
              <w:jc w:val="left"/>
            </w:pPr>
            <w:r>
              <w:rPr>
                <w:rFonts w:ascii="Aptos" w:hAnsi="Aptos"/>
                <w:b/>
                <w:sz w:val="18"/>
              </w:rPr>
              <w:t>Approved source</w:t>
            </w:r>
          </w:p>
        </w:tc>
        <w:tc>
          <w:tcPr>
            <w:tcW w:type="dxa" w:w="5760"/>
            <w:shd w:fill="D9E3F0"/>
            <w:tcMar>
              <w:top w:w="100" w:type="dxa"/>
              <w:start w:w="120" w:type="dxa"/>
              <w:bottom w:w="100" w:type="dxa"/>
              <w:end w:w="120" w:type="dxa"/>
            </w:tcMar>
            <w:vAlign w:val="center"/>
          </w:tcPr>
          <w:p>
            <w:pPr>
              <w:jc w:val="left"/>
            </w:pPr>
            <w:r>
              <w:rPr>
                <w:rFonts w:ascii="Aptos" w:hAnsi="Aptos"/>
                <w:b/>
                <w:sz w:val="18"/>
              </w:rPr>
              <w:t>How used</w:t>
            </w:r>
          </w:p>
        </w:tc>
      </w:tr>
      <w:tr>
        <w:trPr>
          <w:cantSplit/>
        </w:trPr>
        <w:tc>
          <w:tcPr>
            <w:tcW w:type="dxa" w:w="936"/>
            <w:tcMar>
              <w:top w:w="100" w:type="dxa"/>
              <w:start w:w="120" w:type="dxa"/>
              <w:bottom w:w="100" w:type="dxa"/>
              <w:end w:w="120" w:type="dxa"/>
            </w:tcMar>
            <w:vAlign w:val="center"/>
          </w:tcPr>
          <w:p>
            <w:pPr>
              <w:jc w:val="left"/>
            </w:pPr>
            <w:r>
              <w:rPr>
                <w:rFonts w:ascii="Aptos" w:hAnsi="Aptos"/>
                <w:sz w:val="18"/>
              </w:rPr>
              <w:t>1</w:t>
            </w:r>
          </w:p>
        </w:tc>
        <w:tc>
          <w:tcPr>
            <w:tcW w:type="dxa" w:w="3456"/>
            <w:tcMar>
              <w:top w:w="100" w:type="dxa"/>
              <w:start w:w="120" w:type="dxa"/>
              <w:bottom w:w="100" w:type="dxa"/>
              <w:end w:w="120" w:type="dxa"/>
            </w:tcMar>
            <w:vAlign w:val="center"/>
          </w:tcPr>
          <w:p>
            <w:pPr>
              <w:jc w:val="left"/>
            </w:pPr>
            <w:r>
              <w:rPr>
                <w:rFonts w:ascii="Aptos" w:hAnsi="Aptos"/>
                <w:sz w:val="18"/>
              </w:rPr>
              <w:t>Digital Marketing Centre of Excellence Graduate Handbook</w:t>
            </w:r>
          </w:p>
        </w:tc>
        <w:tc>
          <w:tcPr>
            <w:tcW w:type="dxa" w:w="5760"/>
            <w:tcMar>
              <w:top w:w="100" w:type="dxa"/>
              <w:start w:w="120" w:type="dxa"/>
              <w:bottom w:w="100" w:type="dxa"/>
              <w:end w:w="120" w:type="dxa"/>
            </w:tcMar>
            <w:vAlign w:val="center"/>
          </w:tcPr>
          <w:p>
            <w:pPr>
              <w:jc w:val="left"/>
            </w:pPr>
            <w:r>
              <w:rPr>
                <w:rFonts w:ascii="Aptos" w:hAnsi="Aptos"/>
                <w:sz w:val="18"/>
              </w:rPr>
              <w:t>Defines bounded roles, quality governance, authority-review purpose, controlled workflows and escalation expectations.</w:t>
            </w:r>
          </w:p>
        </w:tc>
      </w:tr>
      <w:tr>
        <w:trPr>
          <w:cantSplit/>
        </w:trPr>
        <w:tc>
          <w:tcPr>
            <w:tcW w:type="dxa" w:w="936"/>
            <w:tcMar>
              <w:top w:w="100" w:type="dxa"/>
              <w:start w:w="120" w:type="dxa"/>
              <w:bottom w:w="100" w:type="dxa"/>
              <w:end w:w="120" w:type="dxa"/>
            </w:tcMar>
            <w:vAlign w:val="center"/>
          </w:tcPr>
          <w:p>
            <w:pPr>
              <w:jc w:val="left"/>
            </w:pPr>
            <w:r>
              <w:rPr>
                <w:rFonts w:ascii="Aptos" w:hAnsi="Aptos"/>
                <w:sz w:val="18"/>
              </w:rPr>
              <w:t>2</w:t>
            </w:r>
          </w:p>
        </w:tc>
        <w:tc>
          <w:tcPr>
            <w:tcW w:type="dxa" w:w="3456"/>
            <w:tcMar>
              <w:top w:w="100" w:type="dxa"/>
              <w:start w:w="120" w:type="dxa"/>
              <w:bottom w:w="100" w:type="dxa"/>
              <w:end w:w="120" w:type="dxa"/>
            </w:tcMar>
            <w:vAlign w:val="center"/>
          </w:tcPr>
          <w:p>
            <w:pPr>
              <w:jc w:val="left"/>
            </w:pPr>
            <w:r>
              <w:rPr>
                <w:rFonts w:ascii="Aptos" w:hAnsi="Aptos"/>
                <w:sz w:val="18"/>
              </w:rPr>
              <w:t>Authority Manager Agent Specification</w:t>
            </w:r>
          </w:p>
        </w:tc>
        <w:tc>
          <w:tcPr>
            <w:tcW w:type="dxa" w:w="5760"/>
            <w:tcMar>
              <w:top w:w="100" w:type="dxa"/>
              <w:start w:w="120" w:type="dxa"/>
              <w:bottom w:w="100" w:type="dxa"/>
              <w:end w:w="120" w:type="dxa"/>
            </w:tcMar>
            <w:vAlign w:val="center"/>
          </w:tcPr>
          <w:p>
            <w:pPr>
              <w:jc w:val="left"/>
            </w:pPr>
            <w:r>
              <w:rPr>
                <w:rFonts w:ascii="Aptos" w:hAnsi="Aptos"/>
                <w:sz w:val="18"/>
              </w:rPr>
              <w:t>Defines Authority Manager scope, preliminary content/authority analysis capability, brand/evidence responsibilities, specialist routing and escalation.</w:t>
            </w:r>
          </w:p>
        </w:tc>
      </w:tr>
      <w:tr>
        <w:trPr>
          <w:cantSplit/>
        </w:trPr>
        <w:tc>
          <w:tcPr>
            <w:tcW w:type="dxa" w:w="936"/>
            <w:tcMar>
              <w:top w:w="100" w:type="dxa"/>
              <w:start w:w="120" w:type="dxa"/>
              <w:bottom w:w="100" w:type="dxa"/>
              <w:end w:w="120" w:type="dxa"/>
            </w:tcMar>
            <w:vAlign w:val="center"/>
          </w:tcPr>
          <w:p>
            <w:pPr>
              <w:jc w:val="left"/>
            </w:pPr>
            <w:r>
              <w:rPr>
                <w:rFonts w:ascii="Aptos" w:hAnsi="Aptos"/>
                <w:sz w:val="18"/>
              </w:rPr>
              <w:t>3</w:t>
            </w:r>
          </w:p>
        </w:tc>
        <w:tc>
          <w:tcPr>
            <w:tcW w:type="dxa" w:w="3456"/>
            <w:tcMar>
              <w:top w:w="100" w:type="dxa"/>
              <w:start w:w="120" w:type="dxa"/>
              <w:bottom w:w="100" w:type="dxa"/>
              <w:end w:w="120" w:type="dxa"/>
            </w:tcMar>
            <w:vAlign w:val="center"/>
          </w:tcPr>
          <w:p>
            <w:pPr>
              <w:jc w:val="left"/>
            </w:pPr>
            <w:r>
              <w:rPr>
                <w:rFonts w:ascii="Aptos" w:hAnsi="Aptos"/>
                <w:sz w:val="18"/>
              </w:rPr>
              <w:t>Authority Manager AI Agent — Reusable Audit Criteria Framework v1</w:t>
            </w:r>
          </w:p>
        </w:tc>
        <w:tc>
          <w:tcPr>
            <w:tcW w:type="dxa" w:w="5760"/>
            <w:tcMar>
              <w:top w:w="100" w:type="dxa"/>
              <w:start w:w="120" w:type="dxa"/>
              <w:bottom w:w="100" w:type="dxa"/>
              <w:end w:w="120" w:type="dxa"/>
            </w:tcMar>
            <w:vAlign w:val="center"/>
          </w:tcPr>
          <w:p>
            <w:pPr>
              <w:jc w:val="left"/>
            </w:pPr>
            <w:r>
              <w:rPr>
                <w:rFonts w:ascii="Aptos" w:hAnsi="Aptos"/>
                <w:sz w:val="18"/>
              </w:rPr>
              <w:t>Used as the approved working lens for authority, trust, provenance, verification, brand, link/authority, safety and escalation. This report uses the criteria as analysis prompts, not as audit pass/fail gates.</w:t>
            </w:r>
          </w:p>
        </w:tc>
      </w:tr>
      <w:tr>
        <w:trPr>
          <w:cantSplit/>
        </w:trPr>
        <w:tc>
          <w:tcPr>
            <w:tcW w:type="dxa" w:w="936"/>
            <w:tcMar>
              <w:top w:w="100" w:type="dxa"/>
              <w:start w:w="120" w:type="dxa"/>
              <w:bottom w:w="100" w:type="dxa"/>
              <w:end w:w="120" w:type="dxa"/>
            </w:tcMar>
            <w:vAlign w:val="center"/>
          </w:tcPr>
          <w:p>
            <w:pPr>
              <w:jc w:val="left"/>
            </w:pPr>
            <w:r>
              <w:rPr>
                <w:rFonts w:ascii="Aptos" w:hAnsi="Aptos"/>
                <w:sz w:val="18"/>
              </w:rPr>
              <w:t>4</w:t>
            </w:r>
          </w:p>
        </w:tc>
        <w:tc>
          <w:tcPr>
            <w:tcW w:type="dxa" w:w="3456"/>
            <w:tcMar>
              <w:top w:w="100" w:type="dxa"/>
              <w:start w:w="120" w:type="dxa"/>
              <w:bottom w:w="100" w:type="dxa"/>
              <w:end w:w="120" w:type="dxa"/>
            </w:tcMar>
            <w:vAlign w:val="center"/>
          </w:tcPr>
          <w:p>
            <w:pPr>
              <w:jc w:val="left"/>
            </w:pPr>
            <w:r>
              <w:rPr>
                <w:rFonts w:ascii="Aptos" w:hAnsi="Aptos"/>
                <w:sz w:val="18"/>
              </w:rPr>
              <w:t>Viri_VR_House_Party_Content_Authority_Architecture_v1</w:t>
            </w:r>
          </w:p>
        </w:tc>
        <w:tc>
          <w:tcPr>
            <w:tcW w:type="dxa" w:w="5760"/>
            <w:tcMar>
              <w:top w:w="100" w:type="dxa"/>
              <w:start w:w="120" w:type="dxa"/>
              <w:bottom w:w="100" w:type="dxa"/>
              <w:end w:w="120" w:type="dxa"/>
            </w:tcMar>
            <w:vAlign w:val="center"/>
          </w:tcPr>
          <w:p>
            <w:pPr>
              <w:jc w:val="left"/>
            </w:pPr>
            <w:r>
              <w:rPr>
                <w:rFonts w:ascii="Aptos" w:hAnsi="Aptos"/>
                <w:sz w:val="18"/>
              </w:rPr>
              <w:t>Supplies HP-001 planned requirements, content brief, keywords, evidence snapshot, internal-link plan, consolidation plan, competitor observation and measurement limitations.</w:t>
            </w:r>
          </w:p>
        </w:tc>
      </w:tr>
    </w:tbl>
    <w:p>
      <w:pPr>
        <w:spacing w:after="0"/>
      </w:pPr>
    </w:p>
    <w:p>
      <w:pPr>
        <w:pStyle w:val="Heading1"/>
      </w:pPr>
      <w:r>
        <w:t>4. HP-001 Planned Requirement Summary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D9E3F0"/>
            <w:tcMar>
              <w:top w:w="100" w:type="dxa"/>
              <w:start w:w="120" w:type="dxa"/>
              <w:bottom w:w="100" w:type="dxa"/>
              <w:end w:w="120" w:type="dxa"/>
            </w:tcMar>
            <w:vAlign w:val="center"/>
          </w:tcPr>
          <w:p>
            <w:pPr>
              <w:jc w:val="left"/>
            </w:pPr>
            <w:r>
              <w:rPr>
                <w:rFonts w:ascii="Aptos" w:hAnsi="Aptos"/>
                <w:b/>
                <w:sz w:val="18"/>
              </w:rPr>
              <w:t>Area</w:t>
            </w:r>
          </w:p>
        </w:tc>
        <w:tc>
          <w:tcPr>
            <w:tcW w:type="dxa" w:w="8063"/>
            <w:shd w:fill="D9E3F0"/>
            <w:tcMar>
              <w:top w:w="100" w:type="dxa"/>
              <w:start w:w="120" w:type="dxa"/>
              <w:bottom w:w="100" w:type="dxa"/>
              <w:end w:w="120" w:type="dxa"/>
            </w:tcMar>
            <w:vAlign w:val="center"/>
          </w:tcPr>
          <w:p>
            <w:pPr>
              <w:jc w:val="left"/>
            </w:pPr>
            <w:r>
              <w:rPr>
                <w:rFonts w:ascii="Aptos" w:hAnsi="Aptos"/>
                <w:b/>
                <w:sz w:val="18"/>
              </w:rPr>
              <w:t>Approved HP-001 input</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Page role</w:t>
            </w:r>
          </w:p>
        </w:tc>
        <w:tc>
          <w:tcPr>
            <w:tcW w:type="dxa" w:w="8063"/>
            <w:tcMar>
              <w:top w:w="100" w:type="dxa"/>
              <w:start w:w="120" w:type="dxa"/>
              <w:bottom w:w="100" w:type="dxa"/>
              <w:end w:w="120" w:type="dxa"/>
            </w:tcMar>
            <w:vAlign w:val="center"/>
          </w:tcPr>
          <w:p>
            <w:pPr>
              <w:jc w:val="left"/>
            </w:pPr>
            <w:r>
              <w:rPr>
                <w:rFonts w:ascii="Aptos" w:hAnsi="Aptos"/>
                <w:sz w:val="18"/>
              </w:rPr>
              <w:t>P1 commercial pillar at /house-party/; explain, qualify and convert the hosted house-party delivery model.</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Primary keyword input</w:t>
            </w:r>
          </w:p>
        </w:tc>
        <w:tc>
          <w:tcPr>
            <w:tcW w:type="dxa" w:w="8063"/>
            <w:tcMar>
              <w:top w:w="100" w:type="dxa"/>
              <w:start w:w="120" w:type="dxa"/>
              <w:bottom w:w="100" w:type="dxa"/>
              <w:end w:w="120" w:type="dxa"/>
            </w:tcMar>
            <w:vAlign w:val="center"/>
          </w:tcPr>
          <w:p>
            <w:pPr>
              <w:jc w:val="left"/>
            </w:pPr>
            <w:r>
              <w:rPr>
                <w:rFonts w:ascii="Aptos" w:hAnsi="Aptos"/>
                <w:sz w:val="18"/>
              </w:rPr>
              <w:t>VR party at home</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Secondary keyword inputs</w:t>
            </w:r>
          </w:p>
        </w:tc>
        <w:tc>
          <w:tcPr>
            <w:tcW w:type="dxa" w:w="8063"/>
            <w:tcMar>
              <w:top w:w="100" w:type="dxa"/>
              <w:start w:w="120" w:type="dxa"/>
              <w:bottom w:w="100" w:type="dxa"/>
              <w:end w:w="120" w:type="dxa"/>
            </w:tcMar>
            <w:vAlign w:val="center"/>
          </w:tcPr>
          <w:p>
            <w:pPr>
              <w:jc w:val="left"/>
            </w:pPr>
            <w:r>
              <w:rPr>
                <w:rFonts w:ascii="Aptos" w:hAnsi="Aptos"/>
                <w:sz w:val="18"/>
              </w:rPr>
              <w:t>house party VR; VR house party; mobile VR party; VR birthday party at home; hosted house party entertainment</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Core service proposition</w:t>
            </w:r>
          </w:p>
        </w:tc>
        <w:tc>
          <w:tcPr>
            <w:tcW w:type="dxa" w:w="8063"/>
            <w:tcMar>
              <w:top w:w="100" w:type="dxa"/>
              <w:start w:w="120" w:type="dxa"/>
              <w:bottom w:w="100" w:type="dxa"/>
              <w:end w:w="120" w:type="dxa"/>
            </w:tcMar>
            <w:vAlign w:val="center"/>
          </w:tcPr>
          <w:p>
            <w:pPr>
              <w:jc w:val="left"/>
            </w:pPr>
            <w:r>
              <w:rPr>
                <w:rFonts w:ascii="Aptos" w:hAnsi="Aptos"/>
                <w:sz w:val="18"/>
              </w:rPr>
              <w:t>ViriVr brings equipment, setup, games and hosts to the customer’s home or selected private space.</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Planned content</w:t>
            </w:r>
          </w:p>
        </w:tc>
        <w:tc>
          <w:tcPr>
            <w:tcW w:type="dxa" w:w="8063"/>
            <w:tcMar>
              <w:top w:w="100" w:type="dxa"/>
              <w:start w:w="120" w:type="dxa"/>
              <w:bottom w:w="100" w:type="dxa"/>
              <w:end w:w="120" w:type="dxa"/>
            </w:tcMar>
            <w:vAlign w:val="center"/>
          </w:tcPr>
          <w:p>
            <w:pPr>
              <w:jc w:val="left"/>
            </w:pPr>
            <w:r>
              <w:rPr>
                <w:rFonts w:ascii="Aptos" w:hAnsi="Aptos"/>
                <w:sz w:val="18"/>
              </w:rPr>
              <w:t>Suitability; age guidance; group options; rotations; space and safety; power/connectivity; setup/pack-down; experience categories; weather contingency; service-area logic; inclusions; optional food/venue coordination; delivery-model distinctions.</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Trust/proof modules</w:t>
            </w:r>
          </w:p>
        </w:tc>
        <w:tc>
          <w:tcPr>
            <w:tcW w:type="dxa" w:w="8063"/>
            <w:tcMar>
              <w:top w:w="100" w:type="dxa"/>
              <w:start w:w="120" w:type="dxa"/>
              <w:bottom w:w="100" w:type="dxa"/>
              <w:end w:w="120" w:type="dxa"/>
            </w:tcMar>
            <w:vAlign w:val="center"/>
          </w:tcPr>
          <w:p>
            <w:pPr>
              <w:jc w:val="left"/>
            </w:pPr>
            <w:r>
              <w:rPr>
                <w:rFonts w:ascii="Aptos" w:hAnsi="Aptos"/>
                <w:sz w:val="18"/>
              </w:rPr>
              <w:t>Package/inclusion comparison; space suitability checklist; real house-party photos/testimonials; availability response-time promise; FAQ/objections.</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Geographic safeguard</w:t>
            </w:r>
          </w:p>
        </w:tc>
        <w:tc>
          <w:tcPr>
            <w:tcW w:type="dxa" w:w="8063"/>
            <w:tcMar>
              <w:top w:w="100" w:type="dxa"/>
              <w:start w:w="120" w:type="dxa"/>
              <w:bottom w:w="100" w:type="dxa"/>
              <w:end w:w="120" w:type="dxa"/>
            </w:tcMar>
            <w:vAlign w:val="center"/>
          </w:tcPr>
          <w:p>
            <w:pPr>
              <w:jc w:val="left"/>
            </w:pPr>
            <w:r>
              <w:rPr>
                <w:rFonts w:ascii="Aptos" w:hAnsi="Aptos"/>
                <w:sz w:val="18"/>
              </w:rPr>
              <w:t>National page should describe a repeatable service model and link to operational city pages rather than imply Australia-wide bookability.</w:t>
            </w:r>
          </w:p>
        </w:tc>
      </w:tr>
      <w:tr>
        <w:trPr>
          <w:cantSplit/>
        </w:trPr>
        <w:tc>
          <w:tcPr>
            <w:tcW w:type="dxa" w:w="2160"/>
            <w:tcMar>
              <w:top w:w="100" w:type="dxa"/>
              <w:start w:w="120" w:type="dxa"/>
              <w:bottom w:w="100" w:type="dxa"/>
              <w:end w:w="120" w:type="dxa"/>
            </w:tcMar>
            <w:vAlign w:val="center"/>
          </w:tcPr>
          <w:p>
            <w:pPr>
              <w:jc w:val="left"/>
            </w:pPr>
            <w:r>
              <w:rPr>
                <w:rFonts w:ascii="Aptos" w:hAnsi="Aptos"/>
                <w:sz w:val="18"/>
              </w:rPr>
              <w:t>Primary evidence required</w:t>
            </w:r>
          </w:p>
        </w:tc>
        <w:tc>
          <w:tcPr>
            <w:tcW w:type="dxa" w:w="8063"/>
            <w:tcMar>
              <w:top w:w="100" w:type="dxa"/>
              <w:start w:w="120" w:type="dxa"/>
              <w:bottom w:w="100" w:type="dxa"/>
              <w:end w:w="120" w:type="dxa"/>
            </w:tcMar>
            <w:vAlign w:val="center"/>
          </w:tcPr>
          <w:p>
            <w:pPr>
              <w:jc w:val="left"/>
            </w:pPr>
            <w:r>
              <w:rPr>
                <w:rFonts w:ascii="Aptos" w:hAnsi="Aptos"/>
                <w:sz w:val="18"/>
              </w:rPr>
              <w:t>Current package sheet; age/group-size confirmation; headset count; setup/pack-down times; public liability/safety process; power/Wi-Fi/offline requirements; service-area/travel-fee rules; original photos; customer quotes; current pricing approval.</w:t>
            </w:r>
          </w:p>
        </w:tc>
      </w:tr>
    </w:tbl>
    <w:p>
      <w:pPr>
        <w:spacing w:after="0"/>
      </w:pPr>
    </w:p>
    <w:p>
      <w:pPr>
        <w:pStyle w:val="Heading1"/>
      </w:pPr>
      <w:r>
        <w:t>5. Verified Evidence from Approved Sources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936"/>
            <w:shd w:fill="D9E3F0"/>
            <w:tcMar>
              <w:top w:w="100" w:type="dxa"/>
              <w:start w:w="120" w:type="dxa"/>
              <w:bottom w:w="100" w:type="dxa"/>
              <w:end w:w="120" w:type="dxa"/>
            </w:tcMar>
            <w:vAlign w:val="center"/>
          </w:tcPr>
          <w:p>
            <w:pPr>
              <w:jc w:val="left"/>
            </w:pPr>
            <w:r>
              <w:rPr>
                <w:rFonts w:ascii="Aptos" w:hAnsi="Aptos"/>
                <w:b/>
                <w:sz w:val="18"/>
              </w:rPr>
              <w:t>Evidence ID</w:t>
            </w:r>
          </w:p>
        </w:tc>
        <w:tc>
          <w:tcPr>
            <w:tcW w:type="dxa" w:w="3528"/>
            <w:shd w:fill="D9E3F0"/>
            <w:tcMar>
              <w:top w:w="100" w:type="dxa"/>
              <w:start w:w="120" w:type="dxa"/>
              <w:bottom w:w="100" w:type="dxa"/>
              <w:end w:w="120" w:type="dxa"/>
            </w:tcMar>
            <w:vAlign w:val="center"/>
          </w:tcPr>
          <w:p>
            <w:pPr>
              <w:jc w:val="left"/>
            </w:pPr>
            <w:r>
              <w:rPr>
                <w:rFonts w:ascii="Aptos" w:hAnsi="Aptos"/>
                <w:b/>
                <w:sz w:val="18"/>
              </w:rPr>
              <w:t>Verified evidence</w:t>
            </w:r>
          </w:p>
        </w:tc>
        <w:tc>
          <w:tcPr>
            <w:tcW w:type="dxa" w:w="3816"/>
            <w:shd w:fill="D9E3F0"/>
            <w:tcMar>
              <w:top w:w="100" w:type="dxa"/>
              <w:start w:w="120" w:type="dxa"/>
              <w:bottom w:w="100" w:type="dxa"/>
              <w:end w:w="120" w:type="dxa"/>
            </w:tcMar>
            <w:vAlign w:val="center"/>
          </w:tcPr>
          <w:p>
            <w:pPr>
              <w:jc w:val="left"/>
            </w:pPr>
            <w:r>
              <w:rPr>
                <w:rFonts w:ascii="Aptos" w:hAnsi="Aptos"/>
                <w:b/>
                <w:sz w:val="18"/>
              </w:rPr>
              <w:t>Authority Manager interpretation</w:t>
            </w:r>
          </w:p>
        </w:tc>
        <w:tc>
          <w:tcPr>
            <w:tcW w:type="dxa" w:w="1944"/>
            <w:shd w:fill="D9E3F0"/>
            <w:tcMar>
              <w:top w:w="100" w:type="dxa"/>
              <w:start w:w="120" w:type="dxa"/>
              <w:bottom w:w="100" w:type="dxa"/>
              <w:end w:w="120" w:type="dxa"/>
            </w:tcMar>
            <w:vAlign w:val="center"/>
          </w:tcPr>
          <w:p>
            <w:pPr>
              <w:jc w:val="left"/>
            </w:pPr>
            <w:r>
              <w:rPr>
                <w:rFonts w:ascii="Aptos" w:hAnsi="Aptos"/>
                <w:b/>
                <w:sz w:val="18"/>
              </w:rPr>
              <w:t>Source</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VE-01</w:t>
            </w:r>
          </w:p>
        </w:tc>
        <w:tc>
          <w:tcPr>
            <w:tcW w:type="dxa" w:w="3528"/>
            <w:tcMar>
              <w:top w:w="100" w:type="dxa"/>
              <w:start w:w="120" w:type="dxa"/>
              <w:bottom w:w="100" w:type="dxa"/>
              <w:end w:w="120" w:type="dxa"/>
            </w:tcMar>
            <w:vAlign w:val="center"/>
          </w:tcPr>
          <w:p>
            <w:pPr>
              <w:jc w:val="left"/>
            </w:pPr>
            <w:r>
              <w:rPr>
                <w:rFonts w:ascii="Aptos" w:hAnsi="Aptos"/>
                <w:sz w:val="17"/>
              </w:rPr>
              <w:t>House/home/teen party Search Console visibility: 47 impressions and 0 clicks in the reviewed period.</w:t>
            </w:r>
          </w:p>
        </w:tc>
        <w:tc>
          <w:tcPr>
            <w:tcW w:type="dxa" w:w="3816"/>
            <w:tcMar>
              <w:top w:w="100" w:type="dxa"/>
              <w:start w:w="120" w:type="dxa"/>
              <w:bottom w:w="100" w:type="dxa"/>
              <w:end w:w="120" w:type="dxa"/>
            </w:tcMar>
            <w:vAlign w:val="center"/>
          </w:tcPr>
          <w:p>
            <w:pPr>
              <w:jc w:val="left"/>
            </w:pPr>
            <w:r>
              <w:rPr>
                <w:rFonts w:ascii="Aptos" w:hAnsi="Aptos"/>
                <w:sz w:val="17"/>
              </w:rPr>
              <w:t>Supports early relevance only; does not prove demand scale or future performance.</w:t>
            </w:r>
          </w:p>
        </w:tc>
        <w:tc>
          <w:tcPr>
            <w:tcW w:type="dxa" w:w="1944"/>
            <w:tcMar>
              <w:top w:w="100" w:type="dxa"/>
              <w:start w:w="120" w:type="dxa"/>
              <w:bottom w:w="100" w:type="dxa"/>
              <w:end w:w="120" w:type="dxa"/>
            </w:tcMar>
            <w:vAlign w:val="center"/>
          </w:tcPr>
          <w:p>
            <w:pPr>
              <w:jc w:val="left"/>
            </w:pPr>
            <w:r>
              <w:rPr>
                <w:rFonts w:ascii="Aptos" w:hAnsi="Aptos"/>
                <w:sz w:val="17"/>
              </w:rPr>
              <w:t>Architecture workbook — Summary / Evidence tabs.</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VE-02</w:t>
            </w:r>
          </w:p>
        </w:tc>
        <w:tc>
          <w:tcPr>
            <w:tcW w:type="dxa" w:w="3528"/>
            <w:tcMar>
              <w:top w:w="100" w:type="dxa"/>
              <w:start w:w="120" w:type="dxa"/>
              <w:bottom w:w="100" w:type="dxa"/>
              <w:end w:w="120" w:type="dxa"/>
            </w:tcMar>
            <w:vAlign w:val="center"/>
          </w:tcPr>
          <w:p>
            <w:pPr>
              <w:jc w:val="left"/>
            </w:pPr>
            <w:r>
              <w:rPr>
                <w:rFonts w:ascii="Aptos" w:hAnsi="Aptos"/>
                <w:sz w:val="17"/>
              </w:rPr>
              <w:t>Exact “VR party at home” visibility was split across three URLs: 11 impressions, 0 clicks.</w:t>
            </w:r>
          </w:p>
        </w:tc>
        <w:tc>
          <w:tcPr>
            <w:tcW w:type="dxa" w:w="3816"/>
            <w:tcMar>
              <w:top w:w="100" w:type="dxa"/>
              <w:start w:w="120" w:type="dxa"/>
              <w:bottom w:w="100" w:type="dxa"/>
              <w:end w:w="120" w:type="dxa"/>
            </w:tcMar>
            <w:vAlign w:val="center"/>
          </w:tcPr>
          <w:p>
            <w:pPr>
              <w:jc w:val="left"/>
            </w:pPr>
            <w:r>
              <w:rPr>
                <w:rFonts w:ascii="Aptos" w:hAnsi="Aptos"/>
                <w:sz w:val="17"/>
              </w:rPr>
              <w:t>Supports the need for clearer ownership/consolidation; sample is small.</w:t>
            </w:r>
          </w:p>
        </w:tc>
        <w:tc>
          <w:tcPr>
            <w:tcW w:type="dxa" w:w="1944"/>
            <w:tcMar>
              <w:top w:w="100" w:type="dxa"/>
              <w:start w:w="120" w:type="dxa"/>
              <w:bottom w:w="100" w:type="dxa"/>
              <w:end w:w="120" w:type="dxa"/>
            </w:tcMar>
            <w:vAlign w:val="center"/>
          </w:tcPr>
          <w:p>
            <w:pPr>
              <w:jc w:val="left"/>
            </w:pPr>
            <w:r>
              <w:rPr>
                <w:rFonts w:ascii="Aptos" w:hAnsi="Aptos"/>
                <w:sz w:val="17"/>
              </w:rPr>
              <w:t>Architecture workbook — Summary / Evidence tabs.</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VE-03</w:t>
            </w:r>
          </w:p>
        </w:tc>
        <w:tc>
          <w:tcPr>
            <w:tcW w:type="dxa" w:w="3528"/>
            <w:tcMar>
              <w:top w:w="100" w:type="dxa"/>
              <w:start w:w="120" w:type="dxa"/>
              <w:bottom w:w="100" w:type="dxa"/>
              <w:end w:w="120" w:type="dxa"/>
            </w:tcMar>
            <w:vAlign w:val="center"/>
          </w:tcPr>
          <w:p>
            <w:pPr>
              <w:jc w:val="left"/>
            </w:pPr>
            <w:r>
              <w:rPr>
                <w:rFonts w:ascii="Aptos" w:hAnsi="Aptos"/>
                <w:sz w:val="17"/>
              </w:rPr>
              <w:t>/vr-party/ recorded 294 organic sessions, 237 engaged sessions and 70 configured conversions in the architecture dataset.</w:t>
            </w:r>
          </w:p>
        </w:tc>
        <w:tc>
          <w:tcPr>
            <w:tcW w:type="dxa" w:w="3816"/>
            <w:tcMar>
              <w:top w:w="100" w:type="dxa"/>
              <w:start w:w="120" w:type="dxa"/>
              <w:bottom w:w="100" w:type="dxa"/>
              <w:end w:w="120" w:type="dxa"/>
            </w:tcMar>
            <w:vAlign w:val="center"/>
          </w:tcPr>
          <w:p>
            <w:pPr>
              <w:jc w:val="left"/>
            </w:pPr>
            <w:r>
              <w:rPr>
                <w:rFonts w:ascii="Aptos" w:hAnsi="Aptos"/>
                <w:sz w:val="17"/>
              </w:rPr>
              <w:t>Useful as evidence of existing party-page traffic/internal authority; “configured conversions” are not verified as leads/bookings.</w:t>
            </w:r>
          </w:p>
        </w:tc>
        <w:tc>
          <w:tcPr>
            <w:tcW w:type="dxa" w:w="1944"/>
            <w:tcMar>
              <w:top w:w="100" w:type="dxa"/>
              <w:start w:w="120" w:type="dxa"/>
              <w:bottom w:w="100" w:type="dxa"/>
              <w:end w:w="120" w:type="dxa"/>
            </w:tcMar>
            <w:vAlign w:val="center"/>
          </w:tcPr>
          <w:p>
            <w:pPr>
              <w:jc w:val="left"/>
            </w:pPr>
            <w:r>
              <w:rPr>
                <w:rFonts w:ascii="Aptos" w:hAnsi="Aptos"/>
                <w:sz w:val="17"/>
              </w:rPr>
              <w:t>Architecture workbook — Summary / Evidence tabs.</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VE-04</w:t>
            </w:r>
          </w:p>
        </w:tc>
        <w:tc>
          <w:tcPr>
            <w:tcW w:type="dxa" w:w="3528"/>
            <w:tcMar>
              <w:top w:w="100" w:type="dxa"/>
              <w:start w:w="120" w:type="dxa"/>
              <w:bottom w:w="100" w:type="dxa"/>
              <w:end w:w="120" w:type="dxa"/>
            </w:tcMar>
            <w:vAlign w:val="center"/>
          </w:tcPr>
          <w:p>
            <w:pPr>
              <w:jc w:val="left"/>
            </w:pPr>
            <w:r>
              <w:rPr>
                <w:rFonts w:ascii="Aptos" w:hAnsi="Aptos"/>
                <w:sz w:val="17"/>
              </w:rPr>
              <w:t>GA4 conversion-event definitions were not verified; reported revenue was AUD 0 in the reviewed segment.</w:t>
            </w:r>
          </w:p>
        </w:tc>
        <w:tc>
          <w:tcPr>
            <w:tcW w:type="dxa" w:w="3816"/>
            <w:tcMar>
              <w:top w:w="100" w:type="dxa"/>
              <w:start w:w="120" w:type="dxa"/>
              <w:bottom w:w="100" w:type="dxa"/>
              <w:end w:w="120" w:type="dxa"/>
            </w:tcMar>
            <w:vAlign w:val="center"/>
          </w:tcPr>
          <w:p>
            <w:pPr>
              <w:jc w:val="left"/>
            </w:pPr>
            <w:r>
              <w:rPr>
                <w:rFonts w:ascii="Aptos" w:hAnsi="Aptos"/>
                <w:sz w:val="17"/>
              </w:rPr>
              <w:t>Do not use existing conversion counts as proof of bookings, revenue or commercial success.</w:t>
            </w:r>
          </w:p>
        </w:tc>
        <w:tc>
          <w:tcPr>
            <w:tcW w:type="dxa" w:w="1944"/>
            <w:tcMar>
              <w:top w:w="100" w:type="dxa"/>
              <w:start w:w="120" w:type="dxa"/>
              <w:bottom w:w="100" w:type="dxa"/>
              <w:end w:w="120" w:type="dxa"/>
            </w:tcMar>
            <w:vAlign w:val="center"/>
          </w:tcPr>
          <w:p>
            <w:pPr>
              <w:jc w:val="left"/>
            </w:pPr>
            <w:r>
              <w:rPr>
                <w:rFonts w:ascii="Aptos" w:hAnsi="Aptos"/>
                <w:sz w:val="17"/>
              </w:rPr>
              <w:t>Architecture workbook — Evidence tab.</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VE-05</w:t>
            </w:r>
          </w:p>
        </w:tc>
        <w:tc>
          <w:tcPr>
            <w:tcW w:type="dxa" w:w="3528"/>
            <w:tcMar>
              <w:top w:w="100" w:type="dxa"/>
              <w:start w:w="120" w:type="dxa"/>
              <w:bottom w:w="100" w:type="dxa"/>
              <w:end w:w="120" w:type="dxa"/>
            </w:tcMar>
            <w:vAlign w:val="center"/>
          </w:tcPr>
          <w:p>
            <w:pPr>
              <w:jc w:val="left"/>
            </w:pPr>
            <w:r>
              <w:rPr>
                <w:rFonts w:ascii="Aptos" w:hAnsi="Aptos"/>
                <w:sz w:val="17"/>
              </w:rPr>
              <w:t>Current /vr-party/ was reviewed as fixed-venue-led with no dedicated house-party route and outdated venue-centric claims.</w:t>
            </w:r>
          </w:p>
        </w:tc>
        <w:tc>
          <w:tcPr>
            <w:tcW w:type="dxa" w:w="3816"/>
            <w:tcMar>
              <w:top w:w="100" w:type="dxa"/>
              <w:start w:w="120" w:type="dxa"/>
              <w:bottom w:w="100" w:type="dxa"/>
              <w:end w:w="120" w:type="dxa"/>
            </w:tcMar>
            <w:vAlign w:val="center"/>
          </w:tcPr>
          <w:p>
            <w:pPr>
              <w:jc w:val="left"/>
            </w:pPr>
            <w:r>
              <w:rPr>
                <w:rFonts w:ascii="Aptos" w:hAnsi="Aptos"/>
                <w:sz w:val="17"/>
              </w:rPr>
              <w:t>Creates brand/trust consistency risk if legacy wording is reused in HP-001.</w:t>
            </w:r>
          </w:p>
        </w:tc>
        <w:tc>
          <w:tcPr>
            <w:tcW w:type="dxa" w:w="1944"/>
            <w:tcMar>
              <w:top w:w="100" w:type="dxa"/>
              <w:start w:w="120" w:type="dxa"/>
              <w:bottom w:w="100" w:type="dxa"/>
              <w:end w:w="120" w:type="dxa"/>
            </w:tcMar>
            <w:vAlign w:val="center"/>
          </w:tcPr>
          <w:p>
            <w:pPr>
              <w:jc w:val="left"/>
            </w:pPr>
            <w:r>
              <w:rPr>
                <w:rFonts w:ascii="Aptos" w:hAnsi="Aptos"/>
                <w:sz w:val="17"/>
              </w:rPr>
              <w:t>Architecture workbook — Evidence / Consolidation tabs.</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VE-06</w:t>
            </w:r>
          </w:p>
        </w:tc>
        <w:tc>
          <w:tcPr>
            <w:tcW w:type="dxa" w:w="3528"/>
            <w:tcMar>
              <w:top w:w="100" w:type="dxa"/>
              <w:start w:w="120" w:type="dxa"/>
              <w:bottom w:w="100" w:type="dxa"/>
              <w:end w:w="120" w:type="dxa"/>
            </w:tcMar>
            <w:vAlign w:val="center"/>
          </w:tcPr>
          <w:p>
            <w:pPr>
              <w:jc w:val="left"/>
            </w:pPr>
            <w:r>
              <w:rPr>
                <w:rFonts w:ascii="Aptos" w:hAnsi="Aptos"/>
                <w:sz w:val="17"/>
              </w:rPr>
              <w:t>The architecture requires verified facts, original photos, case studies/named review context, current dates and answer completeness before publication; it explicitly says not to retain unverified pricing, venue, service-area or safety claims.</w:t>
            </w:r>
          </w:p>
        </w:tc>
        <w:tc>
          <w:tcPr>
            <w:tcW w:type="dxa" w:w="3816"/>
            <w:tcMar>
              <w:top w:w="100" w:type="dxa"/>
              <w:start w:w="120" w:type="dxa"/>
              <w:bottom w:w="100" w:type="dxa"/>
              <w:end w:w="120" w:type="dxa"/>
            </w:tcMar>
            <w:vAlign w:val="center"/>
          </w:tcPr>
          <w:p>
            <w:pPr>
              <w:jc w:val="left"/>
            </w:pPr>
            <w:r>
              <w:rPr>
                <w:rFonts w:ascii="Aptos" w:hAnsi="Aptos"/>
                <w:sz w:val="17"/>
              </w:rPr>
              <w:t>Directly reinforces pre-development evidence-pack preparation.</w:t>
            </w:r>
          </w:p>
        </w:tc>
        <w:tc>
          <w:tcPr>
            <w:tcW w:type="dxa" w:w="1944"/>
            <w:tcMar>
              <w:top w:w="100" w:type="dxa"/>
              <w:start w:w="120" w:type="dxa"/>
              <w:bottom w:w="100" w:type="dxa"/>
              <w:end w:w="120" w:type="dxa"/>
            </w:tcMar>
            <w:vAlign w:val="center"/>
          </w:tcPr>
          <w:p>
            <w:pPr>
              <w:jc w:val="left"/>
            </w:pPr>
            <w:r>
              <w:rPr>
                <w:rFonts w:ascii="Aptos" w:hAnsi="Aptos"/>
                <w:sz w:val="17"/>
              </w:rPr>
              <w:t>Architecture workbook — Measurement Plan.</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VE-07</w:t>
            </w:r>
          </w:p>
        </w:tc>
        <w:tc>
          <w:tcPr>
            <w:tcW w:type="dxa" w:w="3528"/>
            <w:tcMar>
              <w:top w:w="100" w:type="dxa"/>
              <w:start w:w="120" w:type="dxa"/>
              <w:bottom w:w="100" w:type="dxa"/>
              <w:end w:w="120" w:type="dxa"/>
            </w:tcMar>
            <w:vAlign w:val="center"/>
          </w:tcPr>
          <w:p>
            <w:pPr>
              <w:jc w:val="left"/>
            </w:pPr>
            <w:r>
              <w:rPr>
                <w:rFonts w:ascii="Aptos" w:hAnsi="Aptos"/>
                <w:sz w:val="17"/>
              </w:rPr>
              <w:t>KaptureVR was recorded as a mobile VR competitor whose public page prominently communicates we-come-to-you, setup, supervision, safety and flexible packages.</w:t>
            </w:r>
          </w:p>
        </w:tc>
        <w:tc>
          <w:tcPr>
            <w:tcW w:type="dxa" w:w="3816"/>
            <w:tcMar>
              <w:top w:w="100" w:type="dxa"/>
              <w:start w:w="120" w:type="dxa"/>
              <w:bottom w:w="100" w:type="dxa"/>
              <w:end w:w="120" w:type="dxa"/>
            </w:tcMar>
            <w:vAlign w:val="center"/>
          </w:tcPr>
          <w:p>
            <w:pPr>
              <w:jc w:val="left"/>
            </w:pPr>
            <w:r>
              <w:rPr>
                <w:rFonts w:ascii="Aptos" w:hAnsi="Aptos"/>
                <w:sz w:val="17"/>
              </w:rPr>
              <w:t>Useful competitor content-pattern evidence only; no approved competitor performance or authority metrics are provided.</w:t>
            </w:r>
          </w:p>
        </w:tc>
        <w:tc>
          <w:tcPr>
            <w:tcW w:type="dxa" w:w="1944"/>
            <w:tcMar>
              <w:top w:w="100" w:type="dxa"/>
              <w:start w:w="120" w:type="dxa"/>
              <w:bottom w:w="100" w:type="dxa"/>
              <w:end w:w="120" w:type="dxa"/>
            </w:tcMar>
            <w:vAlign w:val="center"/>
          </w:tcPr>
          <w:p>
            <w:pPr>
              <w:jc w:val="left"/>
            </w:pPr>
            <w:r>
              <w:rPr>
                <w:rFonts w:ascii="Aptos" w:hAnsi="Aptos"/>
                <w:sz w:val="17"/>
              </w:rPr>
              <w:t>Architecture workbook — Evidence tab, reviewed 2 Sep 2026.</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VE-08</w:t>
            </w:r>
          </w:p>
        </w:tc>
        <w:tc>
          <w:tcPr>
            <w:tcW w:type="dxa" w:w="3528"/>
            <w:tcMar>
              <w:top w:w="100" w:type="dxa"/>
              <w:start w:w="120" w:type="dxa"/>
              <w:bottom w:w="100" w:type="dxa"/>
              <w:end w:w="120" w:type="dxa"/>
            </w:tcMar>
            <w:vAlign w:val="center"/>
          </w:tcPr>
          <w:p>
            <w:pPr>
              <w:jc w:val="left"/>
            </w:pPr>
            <w:r>
              <w:rPr>
                <w:rFonts w:ascii="Aptos" w:hAnsi="Aptos"/>
                <w:sz w:val="17"/>
              </w:rPr>
              <w:t>Keyword Planner totals are overlapping phrase sums from a Melbourne-segmented export; national demand is unavailable.</w:t>
            </w:r>
          </w:p>
        </w:tc>
        <w:tc>
          <w:tcPr>
            <w:tcW w:type="dxa" w:w="3816"/>
            <w:tcMar>
              <w:top w:w="100" w:type="dxa"/>
              <w:start w:w="120" w:type="dxa"/>
              <w:bottom w:w="100" w:type="dxa"/>
              <w:end w:w="120" w:type="dxa"/>
            </w:tcMar>
            <w:vAlign w:val="center"/>
          </w:tcPr>
          <w:p>
            <w:pPr>
              <w:jc w:val="left"/>
            </w:pPr>
            <w:r>
              <w:rPr>
                <w:rFonts w:ascii="Aptos" w:hAnsi="Aptos"/>
                <w:sz w:val="17"/>
              </w:rPr>
              <w:t>Keyword inputs can inform content analysis, but should not be represented as unique national demand.</w:t>
            </w:r>
          </w:p>
        </w:tc>
        <w:tc>
          <w:tcPr>
            <w:tcW w:type="dxa" w:w="1944"/>
            <w:tcMar>
              <w:top w:w="100" w:type="dxa"/>
              <w:start w:w="120" w:type="dxa"/>
              <w:bottom w:w="100" w:type="dxa"/>
              <w:end w:w="120" w:type="dxa"/>
            </w:tcMar>
            <w:vAlign w:val="center"/>
          </w:tcPr>
          <w:p>
            <w:pPr>
              <w:jc w:val="left"/>
            </w:pPr>
            <w:r>
              <w:rPr>
                <w:rFonts w:ascii="Aptos" w:hAnsi="Aptos"/>
                <w:sz w:val="17"/>
              </w:rPr>
              <w:t>Architecture workbook — Summary / Evidence tabs.</w:t>
            </w:r>
          </w:p>
        </w:tc>
      </w:tr>
    </w:tbl>
    <w:p>
      <w:pPr>
        <w:spacing w:after="0"/>
      </w:pPr>
    </w:p>
    <w:p>
      <w:pPr>
        <w:pStyle w:val="Heading1"/>
      </w:pPr>
      <w:r>
        <w:t>6. Planned Authority-Related Requirements — Support Test</w:t>
      </w:r>
    </w:p>
    <w:p>
      <w:r>
        <w:t>This is a pre-development support test, not an audit result. “Evidence required” means the architecture specifies the intended claim or module but the underlying approved proof is not present in the reviewed sources.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20"/>
            <w:shd w:fill="D9E3F0"/>
            <w:tcMar>
              <w:top w:w="100" w:type="dxa"/>
              <w:start w:w="120" w:type="dxa"/>
              <w:bottom w:w="100" w:type="dxa"/>
              <w:end w:w="120" w:type="dxa"/>
            </w:tcMar>
            <w:vAlign w:val="center"/>
          </w:tcPr>
          <w:p>
            <w:pPr>
              <w:jc w:val="left"/>
            </w:pPr>
            <w:r>
              <w:rPr>
                <w:rFonts w:ascii="Aptos" w:hAnsi="Aptos"/>
                <w:b/>
                <w:sz w:val="18"/>
              </w:rPr>
              <w:t>Planned requirement</w:t>
            </w:r>
          </w:p>
        </w:tc>
        <w:tc>
          <w:tcPr>
            <w:tcW w:type="dxa" w:w="2160"/>
            <w:shd w:fill="D9E3F0"/>
            <w:tcMar>
              <w:top w:w="100" w:type="dxa"/>
              <w:start w:w="120" w:type="dxa"/>
              <w:bottom w:w="100" w:type="dxa"/>
              <w:end w:w="120" w:type="dxa"/>
            </w:tcMar>
            <w:vAlign w:val="center"/>
          </w:tcPr>
          <w:p>
            <w:pPr>
              <w:jc w:val="left"/>
            </w:pPr>
            <w:r>
              <w:rPr>
                <w:rFonts w:ascii="Aptos" w:hAnsi="Aptos"/>
                <w:b/>
                <w:sz w:val="18"/>
              </w:rPr>
              <w:t>Pre-development support status</w:t>
            </w:r>
          </w:p>
        </w:tc>
        <w:tc>
          <w:tcPr>
            <w:tcW w:type="dxa" w:w="5544"/>
            <w:shd w:fill="D9E3F0"/>
            <w:tcMar>
              <w:top w:w="100" w:type="dxa"/>
              <w:start w:w="120" w:type="dxa"/>
              <w:bottom w:w="100" w:type="dxa"/>
              <w:end w:w="120" w:type="dxa"/>
            </w:tcMar>
            <w:vAlign w:val="center"/>
          </w:tcPr>
          <w:p>
            <w:pPr>
              <w:jc w:val="left"/>
            </w:pPr>
            <w:r>
              <w:rPr>
                <w:rFonts w:ascii="Aptos" w:hAnsi="Aptos"/>
                <w:b/>
                <w:sz w:val="18"/>
              </w:rPr>
              <w:t>Authority Manager finding</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Hosted at home/private space</w:t>
            </w:r>
          </w:p>
        </w:tc>
        <w:tc>
          <w:tcPr>
            <w:tcW w:type="dxa" w:w="2160"/>
            <w:tcMar>
              <w:top w:w="100" w:type="dxa"/>
              <w:start w:w="120" w:type="dxa"/>
              <w:bottom w:w="100" w:type="dxa"/>
              <w:end w:w="120" w:type="dxa"/>
            </w:tcMar>
            <w:vAlign w:val="center"/>
          </w:tcPr>
          <w:p>
            <w:pPr>
              <w:jc w:val="left"/>
            </w:pPr>
            <w:r>
              <w:rPr>
                <w:rFonts w:ascii="Aptos" w:hAnsi="Aptos"/>
                <w:sz w:val="17"/>
              </w:rPr>
              <w:t>Supported in principle; operational proof required</w:t>
            </w:r>
          </w:p>
        </w:tc>
        <w:tc>
          <w:tcPr>
            <w:tcW w:type="dxa" w:w="5544"/>
            <w:tcMar>
              <w:top w:w="100" w:type="dxa"/>
              <w:start w:w="120" w:type="dxa"/>
              <w:bottom w:w="100" w:type="dxa"/>
              <w:end w:w="120" w:type="dxa"/>
            </w:tcMar>
            <w:vAlign w:val="center"/>
          </w:tcPr>
          <w:p>
            <w:pPr>
              <w:jc w:val="left"/>
            </w:pPr>
            <w:r>
              <w:rPr>
                <w:rFonts w:ascii="Aptos" w:hAnsi="Aptos"/>
                <w:sz w:val="17"/>
              </w:rPr>
              <w:t>The architecture defines this as HP-001’s core service proposition, but no approved service-operations document in the reviewed sources independently confirms current delivery scope.</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Equipment/headsets supplied</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Planned title/meta/content say equipment/headsets are supplied. Confirm current package sheet and equipment allocation before copy is finalised.</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Setup, pack-down and host support</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The architecture expects setup/pack-down times and hosted/supervised support; actual timings and staffing model are not supplied.</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Age guidance and group size</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Architecture explicitly requires confirmed minimum age and group size. Do not infer ranges from adjacent pages unless approved as current HP-001 service rules.</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Rotation model</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Rotation claims depend on verified headset count, group size and operational model.</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Space and safety requirements</w:t>
            </w:r>
          </w:p>
        </w:tc>
        <w:tc>
          <w:tcPr>
            <w:tcW w:type="dxa" w:w="2160"/>
            <w:tcMar>
              <w:top w:w="100" w:type="dxa"/>
              <w:start w:w="120" w:type="dxa"/>
              <w:bottom w:w="100" w:type="dxa"/>
              <w:end w:w="120" w:type="dxa"/>
            </w:tcMar>
            <w:vAlign w:val="center"/>
          </w:tcPr>
          <w:p>
            <w:pPr>
              <w:jc w:val="left"/>
            </w:pPr>
            <w:r>
              <w:rPr>
                <w:rFonts w:ascii="Aptos" w:hAnsi="Aptos"/>
                <w:sz w:val="17"/>
              </w:rPr>
              <w:t>Evidence required / sensitive</w:t>
            </w:r>
          </w:p>
        </w:tc>
        <w:tc>
          <w:tcPr>
            <w:tcW w:type="dxa" w:w="5544"/>
            <w:tcMar>
              <w:top w:w="100" w:type="dxa"/>
              <w:start w:w="120" w:type="dxa"/>
              <w:bottom w:w="100" w:type="dxa"/>
              <w:end w:w="120" w:type="dxa"/>
            </w:tcMar>
            <w:vAlign w:val="center"/>
          </w:tcPr>
          <w:p>
            <w:pPr>
              <w:jc w:val="left"/>
            </w:pPr>
            <w:r>
              <w:rPr>
                <w:rFonts w:ascii="Aptos" w:hAnsi="Aptos"/>
                <w:sz w:val="17"/>
              </w:rPr>
              <w:t>Minimum play-space and safety claims require approved operational/safety evidence. Any public-liability representation needs current business evidence and careful wording.</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Power / Wi-Fi / offline operation</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Planned content expects connectivity requirements; no approved technical operating requirements are present in the reviewed evidence.</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Weather contingency</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The page plans weather contingency guidance, but no approved policy is supplied.</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Service area and travel rules</w:t>
            </w:r>
          </w:p>
        </w:tc>
        <w:tc>
          <w:tcPr>
            <w:tcW w:type="dxa" w:w="2160"/>
            <w:tcMar>
              <w:top w:w="100" w:type="dxa"/>
              <w:start w:w="120" w:type="dxa"/>
              <w:bottom w:w="100" w:type="dxa"/>
              <w:end w:w="120" w:type="dxa"/>
            </w:tcMar>
            <w:vAlign w:val="center"/>
          </w:tcPr>
          <w:p>
            <w:pPr>
              <w:jc w:val="left"/>
            </w:pPr>
            <w:r>
              <w:rPr>
                <w:rFonts w:ascii="Aptos" w:hAnsi="Aptos"/>
                <w:sz w:val="17"/>
              </w:rPr>
              <w:t>Evidence required / high trust importance</w:t>
            </w:r>
          </w:p>
        </w:tc>
        <w:tc>
          <w:tcPr>
            <w:tcW w:type="dxa" w:w="5544"/>
            <w:tcMar>
              <w:top w:w="100" w:type="dxa"/>
              <w:start w:w="120" w:type="dxa"/>
              <w:bottom w:w="100" w:type="dxa"/>
              <w:end w:w="120" w:type="dxa"/>
            </w:tcMar>
            <w:vAlign w:val="center"/>
          </w:tcPr>
          <w:p>
            <w:pPr>
              <w:jc w:val="left"/>
            </w:pPr>
            <w:r>
              <w:rPr>
                <w:rFonts w:ascii="Aptos" w:hAnsi="Aptos"/>
                <w:sz w:val="17"/>
              </w:rPr>
              <w:t>This is essential to avoid national overclaiming. Local availability and travel rules must be current and approved.</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Pricing and inclusions</w:t>
            </w:r>
          </w:p>
        </w:tc>
        <w:tc>
          <w:tcPr>
            <w:tcW w:type="dxa" w:w="2160"/>
            <w:tcMar>
              <w:top w:w="100" w:type="dxa"/>
              <w:start w:w="120" w:type="dxa"/>
              <w:bottom w:w="100" w:type="dxa"/>
              <w:end w:w="120" w:type="dxa"/>
            </w:tcMar>
            <w:vAlign w:val="center"/>
          </w:tcPr>
          <w:p>
            <w:pPr>
              <w:jc w:val="left"/>
            </w:pPr>
            <w:r>
              <w:rPr>
                <w:rFonts w:ascii="Aptos" w:hAnsi="Aptos"/>
                <w:sz w:val="17"/>
              </w:rPr>
              <w:t>Evidence required / high trust importance</w:t>
            </w:r>
          </w:p>
        </w:tc>
        <w:tc>
          <w:tcPr>
            <w:tcW w:type="dxa" w:w="5544"/>
            <w:tcMar>
              <w:top w:w="100" w:type="dxa"/>
              <w:start w:w="120" w:type="dxa"/>
              <w:bottom w:w="100" w:type="dxa"/>
              <w:end w:w="120" w:type="dxa"/>
            </w:tcMar>
            <w:vAlign w:val="center"/>
          </w:tcPr>
          <w:p>
            <w:pPr>
              <w:jc w:val="left"/>
            </w:pPr>
            <w:r>
              <w:rPr>
                <w:rFonts w:ascii="Aptos" w:hAnsi="Aptos"/>
                <w:sz w:val="17"/>
              </w:rPr>
              <w:t>Architecture requires verified current pricing only and a current package sheet.</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Original photos and customer quotes</w:t>
            </w:r>
          </w:p>
        </w:tc>
        <w:tc>
          <w:tcPr>
            <w:tcW w:type="dxa" w:w="2160"/>
            <w:tcMar>
              <w:top w:w="100" w:type="dxa"/>
              <w:start w:w="120" w:type="dxa"/>
              <w:bottom w:w="100" w:type="dxa"/>
              <w:end w:w="120" w:type="dxa"/>
            </w:tcMar>
            <w:vAlign w:val="center"/>
          </w:tcPr>
          <w:p>
            <w:pPr>
              <w:jc w:val="left"/>
            </w:pPr>
            <w:r>
              <w:rPr>
                <w:rFonts w:ascii="Aptos" w:hAnsi="Aptos"/>
                <w:sz w:val="17"/>
              </w:rPr>
              <w:t>Evidence required / permissions</w:t>
            </w:r>
          </w:p>
        </w:tc>
        <w:tc>
          <w:tcPr>
            <w:tcW w:type="dxa" w:w="5544"/>
            <w:tcMar>
              <w:top w:w="100" w:type="dxa"/>
              <w:start w:w="120" w:type="dxa"/>
              <w:bottom w:w="100" w:type="dxa"/>
              <w:end w:w="120" w:type="dxa"/>
            </w:tcMar>
            <w:vAlign w:val="center"/>
          </w:tcPr>
          <w:p>
            <w:pPr>
              <w:jc w:val="left"/>
            </w:pPr>
            <w:r>
              <w:rPr>
                <w:rFonts w:ascii="Aptos" w:hAnsi="Aptos"/>
                <w:sz w:val="17"/>
              </w:rPr>
              <w:t>Proof assets are planned but not supplied; provenance, consent/permission and relevance to house-party delivery must be confirmed.</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Availability response-time promise</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A response-time promise is planned as a CRO module, but no approved service standard/SLA is present.</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Optional food/venue coordination</w:t>
            </w:r>
          </w:p>
        </w:tc>
        <w:tc>
          <w:tcPr>
            <w:tcW w:type="dxa" w:w="2160"/>
            <w:tcMar>
              <w:top w:w="100" w:type="dxa"/>
              <w:start w:w="120" w:type="dxa"/>
              <w:bottom w:w="100" w:type="dxa"/>
              <w:end w:w="120" w:type="dxa"/>
            </w:tcMar>
            <w:vAlign w:val="center"/>
          </w:tcPr>
          <w:p>
            <w:pPr>
              <w:jc w:val="left"/>
            </w:pPr>
            <w:r>
              <w:rPr>
                <w:rFonts w:ascii="Aptos" w:hAnsi="Aptos"/>
                <w:sz w:val="17"/>
              </w:rPr>
              <w:t>Evidence required</w:t>
            </w:r>
          </w:p>
        </w:tc>
        <w:tc>
          <w:tcPr>
            <w:tcW w:type="dxa" w:w="5544"/>
            <w:tcMar>
              <w:top w:w="100" w:type="dxa"/>
              <w:start w:w="120" w:type="dxa"/>
              <w:bottom w:w="100" w:type="dxa"/>
              <w:end w:w="120" w:type="dxa"/>
            </w:tcMar>
            <w:vAlign w:val="center"/>
          </w:tcPr>
          <w:p>
            <w:pPr>
              <w:jc w:val="left"/>
            </w:pPr>
            <w:r>
              <w:rPr>
                <w:rFonts w:ascii="Aptos" w:hAnsi="Aptos"/>
                <w:sz w:val="17"/>
              </w:rPr>
              <w:t>Confirm what ViriVr actually coordinates, under what conditions, and whether partner/private venue wording is current.</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Internal authority relationships</w:t>
            </w:r>
          </w:p>
        </w:tc>
        <w:tc>
          <w:tcPr>
            <w:tcW w:type="dxa" w:w="2160"/>
            <w:tcMar>
              <w:top w:w="100" w:type="dxa"/>
              <w:start w:w="120" w:type="dxa"/>
              <w:bottom w:w="100" w:type="dxa"/>
              <w:end w:w="120" w:type="dxa"/>
            </w:tcMar>
            <w:vAlign w:val="center"/>
          </w:tcPr>
          <w:p>
            <w:pPr>
              <w:jc w:val="left"/>
            </w:pPr>
            <w:r>
              <w:rPr>
                <w:rFonts w:ascii="Aptos" w:hAnsi="Aptos"/>
                <w:sz w:val="17"/>
              </w:rPr>
              <w:t>Planned, implementation dependency</w:t>
            </w:r>
          </w:p>
        </w:tc>
        <w:tc>
          <w:tcPr>
            <w:tcW w:type="dxa" w:w="5544"/>
            <w:tcMar>
              <w:top w:w="100" w:type="dxa"/>
              <w:start w:w="120" w:type="dxa"/>
              <w:bottom w:w="100" w:type="dxa"/>
              <w:end w:w="120" w:type="dxa"/>
            </w:tcMar>
            <w:vAlign w:val="center"/>
          </w:tcPr>
          <w:p>
            <w:pPr>
              <w:jc w:val="left"/>
            </w:pPr>
            <w:r>
              <w:rPr>
                <w:rFonts w:ascii="Aptos" w:hAnsi="Aptos"/>
                <w:sz w:val="17"/>
              </w:rPr>
              <w:t>The workbook maps links between HP-001, VRP-001, HP-002–005 and other owners. Detailed technical implementation belongs to Technical SEO/Internal Linking specialist.</w:t>
            </w:r>
          </w:p>
        </w:tc>
      </w:tr>
      <w:tr>
        <w:trPr>
          <w:cantSplit/>
        </w:trPr>
        <w:tc>
          <w:tcPr>
            <w:tcW w:type="dxa" w:w="2520"/>
            <w:tcMar>
              <w:top w:w="100" w:type="dxa"/>
              <w:start w:w="120" w:type="dxa"/>
              <w:bottom w:w="100" w:type="dxa"/>
              <w:end w:w="120" w:type="dxa"/>
            </w:tcMar>
            <w:vAlign w:val="center"/>
          </w:tcPr>
          <w:p>
            <w:pPr>
              <w:jc w:val="left"/>
            </w:pPr>
            <w:r>
              <w:rPr>
                <w:rFonts w:ascii="Aptos" w:hAnsi="Aptos"/>
                <w:sz w:val="17"/>
              </w:rPr>
              <w:t>Schema opportunities</w:t>
            </w:r>
          </w:p>
        </w:tc>
        <w:tc>
          <w:tcPr>
            <w:tcW w:type="dxa" w:w="2160"/>
            <w:tcMar>
              <w:top w:w="100" w:type="dxa"/>
              <w:start w:w="120" w:type="dxa"/>
              <w:bottom w:w="100" w:type="dxa"/>
              <w:end w:w="120" w:type="dxa"/>
            </w:tcMar>
            <w:vAlign w:val="center"/>
          </w:tcPr>
          <w:p>
            <w:pPr>
              <w:jc w:val="left"/>
            </w:pPr>
            <w:r>
              <w:rPr>
                <w:rFonts w:ascii="Aptos" w:hAnsi="Aptos"/>
                <w:sz w:val="17"/>
              </w:rPr>
              <w:t>Dependency only</w:t>
            </w:r>
          </w:p>
        </w:tc>
        <w:tc>
          <w:tcPr>
            <w:tcW w:type="dxa" w:w="5544"/>
            <w:tcMar>
              <w:top w:w="100" w:type="dxa"/>
              <w:start w:w="120" w:type="dxa"/>
              <w:bottom w:w="100" w:type="dxa"/>
              <w:end w:w="120" w:type="dxa"/>
            </w:tcMar>
            <w:vAlign w:val="center"/>
          </w:tcPr>
          <w:p>
            <w:pPr>
              <w:jc w:val="left"/>
            </w:pPr>
            <w:r>
              <w:rPr>
                <w:rFonts w:ascii="Aptos" w:hAnsi="Aptos"/>
                <w:sz w:val="17"/>
              </w:rPr>
              <w:t>Service/Breadcrumb/FAQ/Organization are listed as opportunities; validation/implementation belongs to Technical SEO.</w:t>
            </w:r>
          </w:p>
        </w:tc>
      </w:tr>
    </w:tbl>
    <w:p>
      <w:pPr>
        <w:spacing w:after="0"/>
      </w:pPr>
    </w:p>
    <w:p>
      <w:pPr>
        <w:pStyle w:val="Heading1"/>
      </w:pPr>
      <w:r>
        <w:t>7. Preliminary Authority Gaps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D9E3F0"/>
            <w:tcMar>
              <w:top w:w="100" w:type="dxa"/>
              <w:start w:w="120" w:type="dxa"/>
              <w:bottom w:w="100" w:type="dxa"/>
              <w:end w:w="120" w:type="dxa"/>
            </w:tcMar>
            <w:vAlign w:val="center"/>
          </w:tcPr>
          <w:p>
            <w:pPr>
              <w:jc w:val="left"/>
            </w:pPr>
            <w:r>
              <w:rPr>
                <w:rFonts w:ascii="Aptos" w:hAnsi="Aptos"/>
                <w:b/>
                <w:sz w:val="18"/>
              </w:rPr>
              <w:t>Gap</w:t>
            </w:r>
          </w:p>
        </w:tc>
        <w:tc>
          <w:tcPr>
            <w:tcW w:type="dxa" w:w="4680"/>
            <w:shd w:fill="D9E3F0"/>
            <w:tcMar>
              <w:top w:w="100" w:type="dxa"/>
              <w:start w:w="120" w:type="dxa"/>
              <w:bottom w:w="100" w:type="dxa"/>
              <w:end w:w="120" w:type="dxa"/>
            </w:tcMar>
            <w:vAlign w:val="center"/>
          </w:tcPr>
          <w:p>
            <w:pPr>
              <w:jc w:val="left"/>
            </w:pPr>
            <w:r>
              <w:rPr>
                <w:rFonts w:ascii="Aptos" w:hAnsi="Aptos"/>
                <w:b/>
                <w:sz w:val="18"/>
              </w:rPr>
              <w:t>Finding</w:t>
            </w:r>
          </w:p>
        </w:tc>
        <w:tc>
          <w:tcPr>
            <w:tcW w:type="dxa" w:w="3456"/>
            <w:shd w:fill="D9E3F0"/>
            <w:tcMar>
              <w:top w:w="100" w:type="dxa"/>
              <w:start w:w="120" w:type="dxa"/>
              <w:bottom w:w="100" w:type="dxa"/>
              <w:end w:w="120" w:type="dxa"/>
            </w:tcMar>
            <w:vAlign w:val="center"/>
          </w:tcPr>
          <w:p>
            <w:pPr>
              <w:jc w:val="left"/>
            </w:pPr>
            <w:r>
              <w:rPr>
                <w:rFonts w:ascii="Aptos" w:hAnsi="Aptos"/>
                <w:b/>
                <w:sz w:val="18"/>
              </w:rPr>
              <w:t>Development implication</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AG-01 — Evidence-pack readiness</w:t>
            </w:r>
          </w:p>
        </w:tc>
        <w:tc>
          <w:tcPr>
            <w:tcW w:type="dxa" w:w="4680"/>
            <w:tcMar>
              <w:top w:w="100" w:type="dxa"/>
              <w:start w:w="120" w:type="dxa"/>
              <w:bottom w:w="100" w:type="dxa"/>
              <w:end w:w="120" w:type="dxa"/>
            </w:tcMar>
            <w:vAlign w:val="center"/>
          </w:tcPr>
          <w:p>
            <w:pPr>
              <w:jc w:val="left"/>
            </w:pPr>
            <w:r>
              <w:rPr>
                <w:rFonts w:ascii="Aptos" w:hAnsi="Aptos"/>
                <w:sz w:val="17"/>
              </w:rPr>
              <w:t>The architecture lists required proof but the reviewed Project Sources do not contain the underlying package sheet, capacity/age rules, equipment count, safety/public-liability documentation, connectivity requirements, service-area rules, pricing approval, original house-party proof or customer quotes.</w:t>
            </w:r>
          </w:p>
        </w:tc>
        <w:tc>
          <w:tcPr>
            <w:tcW w:type="dxa" w:w="3456"/>
            <w:tcMar>
              <w:top w:w="100" w:type="dxa"/>
              <w:start w:w="120" w:type="dxa"/>
              <w:bottom w:w="100" w:type="dxa"/>
              <w:end w:w="120" w:type="dxa"/>
            </w:tcMar>
            <w:vAlign w:val="center"/>
          </w:tcPr>
          <w:p>
            <w:pPr>
              <w:jc w:val="left"/>
            </w:pPr>
            <w:r>
              <w:rPr>
                <w:rFonts w:ascii="Aptos" w:hAnsi="Aptos"/>
                <w:sz w:val="17"/>
              </w:rPr>
              <w:t>Development may draft structure, but factual authority claims should not be treated as ready for final copy until evidence is supplied.</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AG-02 — Proof-asset confirmation</w:t>
            </w:r>
          </w:p>
        </w:tc>
        <w:tc>
          <w:tcPr>
            <w:tcW w:type="dxa" w:w="4680"/>
            <w:tcMar>
              <w:top w:w="100" w:type="dxa"/>
              <w:start w:w="120" w:type="dxa"/>
              <w:bottom w:w="100" w:type="dxa"/>
              <w:end w:w="120" w:type="dxa"/>
            </w:tcMar>
            <w:vAlign w:val="center"/>
          </w:tcPr>
          <w:p>
            <w:pPr>
              <w:jc w:val="left"/>
            </w:pPr>
            <w:r>
              <w:rPr>
                <w:rFonts w:ascii="Aptos" w:hAnsi="Aptos"/>
                <w:sz w:val="17"/>
              </w:rPr>
              <w:t>Real photos and testimonials are planned authority/trust modules, yet no approved proof register or consent/provenance record was found in the reviewed sources.</w:t>
            </w:r>
          </w:p>
        </w:tc>
        <w:tc>
          <w:tcPr>
            <w:tcW w:type="dxa" w:w="3456"/>
            <w:tcMar>
              <w:top w:w="100" w:type="dxa"/>
              <w:start w:w="120" w:type="dxa"/>
              <w:bottom w:w="100" w:type="dxa"/>
              <w:end w:w="120" w:type="dxa"/>
            </w:tcMar>
            <w:vAlign w:val="center"/>
          </w:tcPr>
          <w:p>
            <w:pPr>
              <w:jc w:val="left"/>
            </w:pPr>
            <w:r>
              <w:rPr>
                <w:rFonts w:ascii="Aptos" w:hAnsi="Aptos"/>
                <w:sz w:val="17"/>
              </w:rPr>
              <w:t>Obtain approved original assets and permissions before relying on them as trust signals.</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AG-03 — External citation/authority depth</w:t>
            </w:r>
          </w:p>
        </w:tc>
        <w:tc>
          <w:tcPr>
            <w:tcW w:type="dxa" w:w="4680"/>
            <w:tcMar>
              <w:top w:w="100" w:type="dxa"/>
              <w:start w:w="120" w:type="dxa"/>
              <w:bottom w:w="100" w:type="dxa"/>
              <w:end w:w="120" w:type="dxa"/>
            </w:tcMar>
            <w:vAlign w:val="center"/>
          </w:tcPr>
          <w:p>
            <w:pPr>
              <w:jc w:val="left"/>
            </w:pPr>
            <w:r>
              <w:rPr>
                <w:rFonts w:ascii="Aptos" w:hAnsi="Aptos"/>
                <w:sz w:val="17"/>
              </w:rPr>
              <w:t>The HP-001 brief does not define an external citation plan or third-party authority-source pack for claims that may extend beyond first-party operational facts.</w:t>
            </w:r>
          </w:p>
        </w:tc>
        <w:tc>
          <w:tcPr>
            <w:tcW w:type="dxa" w:w="3456"/>
            <w:tcMar>
              <w:top w:w="100" w:type="dxa"/>
              <w:start w:w="120" w:type="dxa"/>
              <w:bottom w:w="100" w:type="dxa"/>
              <w:end w:w="120" w:type="dxa"/>
            </w:tcMar>
            <w:vAlign w:val="center"/>
          </w:tcPr>
          <w:p>
            <w:pPr>
              <w:jc w:val="left"/>
            </w:pPr>
            <w:r>
              <w:rPr>
                <w:rFonts w:ascii="Aptos" w:hAnsi="Aptos"/>
                <w:sz w:val="17"/>
              </w:rPr>
              <w:t>Do not invent external citations. Flag deeper citation/trust-signal analysis to Brand Authority Builder when required.</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AG-04 — Competitor authority evidence</w:t>
            </w:r>
          </w:p>
        </w:tc>
        <w:tc>
          <w:tcPr>
            <w:tcW w:type="dxa" w:w="4680"/>
            <w:tcMar>
              <w:top w:w="100" w:type="dxa"/>
              <w:start w:w="120" w:type="dxa"/>
              <w:bottom w:w="100" w:type="dxa"/>
              <w:end w:w="120" w:type="dxa"/>
            </w:tcMar>
            <w:vAlign w:val="center"/>
          </w:tcPr>
          <w:p>
            <w:pPr>
              <w:jc w:val="left"/>
            </w:pPr>
            <w:r>
              <w:rPr>
                <w:rFonts w:ascii="Aptos" w:hAnsi="Aptos"/>
                <w:sz w:val="17"/>
              </w:rPr>
              <w:t>Only one approved competitor content-pattern observation is present. No competitor referring-domain, backlink, coverage, citation or trusted-mention dataset is supplied.</w:t>
            </w:r>
          </w:p>
        </w:tc>
        <w:tc>
          <w:tcPr>
            <w:tcW w:type="dxa" w:w="3456"/>
            <w:tcMar>
              <w:top w:w="100" w:type="dxa"/>
              <w:start w:w="120" w:type="dxa"/>
              <w:bottom w:w="100" w:type="dxa"/>
              <w:end w:w="120" w:type="dxa"/>
            </w:tcMar>
            <w:vAlign w:val="center"/>
          </w:tcPr>
          <w:p>
            <w:pPr>
              <w:jc w:val="left"/>
            </w:pPr>
            <w:r>
              <w:rPr>
                <w:rFonts w:ascii="Aptos" w:hAnsi="Aptos"/>
                <w:sz w:val="17"/>
              </w:rPr>
              <w:t>Detailed competitor authority comparison cannot be completed at Authority Manager level from current approved evidence.</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AG-05 — Legacy authority fragmentation</w:t>
            </w:r>
          </w:p>
        </w:tc>
        <w:tc>
          <w:tcPr>
            <w:tcW w:type="dxa" w:w="4680"/>
            <w:tcMar>
              <w:top w:w="100" w:type="dxa"/>
              <w:start w:w="120" w:type="dxa"/>
              <w:bottom w:w="100" w:type="dxa"/>
              <w:end w:w="120" w:type="dxa"/>
            </w:tcMar>
            <w:vAlign w:val="center"/>
          </w:tcPr>
          <w:p>
            <w:pPr>
              <w:jc w:val="left"/>
            </w:pPr>
            <w:r>
              <w:rPr>
                <w:rFonts w:ascii="Aptos" w:hAnsi="Aptos"/>
                <w:sz w:val="17"/>
              </w:rPr>
              <w:t>House-party relevance is split across existing URLs and legacy pages contain outdated venue/corporate positioning.</w:t>
            </w:r>
          </w:p>
        </w:tc>
        <w:tc>
          <w:tcPr>
            <w:tcW w:type="dxa" w:w="3456"/>
            <w:tcMar>
              <w:top w:w="100" w:type="dxa"/>
              <w:start w:w="120" w:type="dxa"/>
              <w:bottom w:w="100" w:type="dxa"/>
              <w:end w:w="120" w:type="dxa"/>
            </w:tcMar>
            <w:vAlign w:val="center"/>
          </w:tcPr>
          <w:p>
            <w:pPr>
              <w:jc w:val="left"/>
            </w:pPr>
            <w:r>
              <w:rPr>
                <w:rFonts w:ascii="Aptos" w:hAnsi="Aptos"/>
                <w:sz w:val="17"/>
              </w:rPr>
              <w:t>The new HP-001 owner needs coordinated consolidation and consistent supporting-page references so outdated signals do not undermine authority.</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AG-06 — Experience proof dependency</w:t>
            </w:r>
          </w:p>
        </w:tc>
        <w:tc>
          <w:tcPr>
            <w:tcW w:type="dxa" w:w="4680"/>
            <w:tcMar>
              <w:top w:w="100" w:type="dxa"/>
              <w:start w:w="120" w:type="dxa"/>
              <w:bottom w:w="100" w:type="dxa"/>
              <w:end w:w="120" w:type="dxa"/>
            </w:tcMar>
            <w:vAlign w:val="center"/>
          </w:tcPr>
          <w:p>
            <w:pPr>
              <w:jc w:val="left"/>
            </w:pPr>
            <w:r>
              <w:rPr>
                <w:rFonts w:ascii="Aptos" w:hAnsi="Aptos"/>
                <w:sz w:val="17"/>
              </w:rPr>
              <w:t>HP-001 plans experience categories but the architecture expects EXP-001 to act as a stable experience evidence source.</w:t>
            </w:r>
          </w:p>
        </w:tc>
        <w:tc>
          <w:tcPr>
            <w:tcW w:type="dxa" w:w="3456"/>
            <w:tcMar>
              <w:top w:w="100" w:type="dxa"/>
              <w:start w:w="120" w:type="dxa"/>
              <w:bottom w:w="100" w:type="dxa"/>
              <w:end w:w="120" w:type="dxa"/>
            </w:tcMar>
            <w:vAlign w:val="center"/>
          </w:tcPr>
          <w:p>
            <w:pPr>
              <w:jc w:val="left"/>
            </w:pPr>
            <w:r>
              <w:rPr>
                <w:rFonts w:ascii="Aptos" w:hAnsi="Aptos"/>
                <w:sz w:val="17"/>
              </w:rPr>
              <w:t>Detailed game/experience claims should remain aligned to the approved experience source rather than duplicated inconsistently.</w:t>
            </w:r>
          </w:p>
        </w:tc>
      </w:tr>
    </w:tbl>
    <w:p>
      <w:pPr>
        <w:spacing w:after="0"/>
      </w:pPr>
    </w:p>
    <w:p>
      <w:pPr>
        <w:pStyle w:val="Heading1"/>
      </w:pPr>
      <w:r>
        <w:t>8. Preliminary Trust Gaps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D9E3F0"/>
            <w:tcMar>
              <w:top w:w="100" w:type="dxa"/>
              <w:start w:w="120" w:type="dxa"/>
              <w:bottom w:w="100" w:type="dxa"/>
              <w:end w:w="120" w:type="dxa"/>
            </w:tcMar>
            <w:vAlign w:val="center"/>
          </w:tcPr>
          <w:p>
            <w:pPr>
              <w:jc w:val="left"/>
            </w:pPr>
            <w:r>
              <w:rPr>
                <w:rFonts w:ascii="Aptos" w:hAnsi="Aptos"/>
                <w:b/>
                <w:sz w:val="18"/>
              </w:rPr>
              <w:t>ID</w:t>
            </w:r>
          </w:p>
        </w:tc>
        <w:tc>
          <w:tcPr>
            <w:tcW w:type="dxa" w:w="2232"/>
            <w:shd w:fill="D9E3F0"/>
            <w:tcMar>
              <w:top w:w="100" w:type="dxa"/>
              <w:start w:w="120" w:type="dxa"/>
              <w:bottom w:w="100" w:type="dxa"/>
              <w:end w:w="120" w:type="dxa"/>
            </w:tcMar>
            <w:vAlign w:val="center"/>
          </w:tcPr>
          <w:p>
            <w:pPr>
              <w:jc w:val="left"/>
            </w:pPr>
            <w:r>
              <w:rPr>
                <w:rFonts w:ascii="Aptos" w:hAnsi="Aptos"/>
                <w:b/>
                <w:sz w:val="18"/>
              </w:rPr>
              <w:t>Trust gap</w:t>
            </w:r>
          </w:p>
        </w:tc>
        <w:tc>
          <w:tcPr>
            <w:tcW w:type="dxa" w:w="3528"/>
            <w:shd w:fill="D9E3F0"/>
            <w:tcMar>
              <w:top w:w="100" w:type="dxa"/>
              <w:start w:w="120" w:type="dxa"/>
              <w:bottom w:w="100" w:type="dxa"/>
              <w:end w:w="120" w:type="dxa"/>
            </w:tcMar>
            <w:vAlign w:val="center"/>
          </w:tcPr>
          <w:p>
            <w:pPr>
              <w:jc w:val="left"/>
            </w:pPr>
            <w:r>
              <w:rPr>
                <w:rFonts w:ascii="Aptos" w:hAnsi="Aptos"/>
                <w:b/>
                <w:sz w:val="18"/>
              </w:rPr>
              <w:t>Risk</w:t>
            </w:r>
          </w:p>
        </w:tc>
        <w:tc>
          <w:tcPr>
            <w:tcW w:type="dxa" w:w="3671"/>
            <w:shd w:fill="D9E3F0"/>
            <w:tcMar>
              <w:top w:w="100" w:type="dxa"/>
              <w:start w:w="120" w:type="dxa"/>
              <w:bottom w:w="100" w:type="dxa"/>
              <w:end w:w="120" w:type="dxa"/>
            </w:tcMar>
            <w:vAlign w:val="center"/>
          </w:tcPr>
          <w:p>
            <w:pPr>
              <w:jc w:val="left"/>
            </w:pPr>
            <w:r>
              <w:rPr>
                <w:rFonts w:ascii="Aptos" w:hAnsi="Aptos"/>
                <w:b/>
                <w:sz w:val="18"/>
              </w:rPr>
              <w:t>Recommended control</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TG-01</w:t>
            </w:r>
          </w:p>
        </w:tc>
        <w:tc>
          <w:tcPr>
            <w:tcW w:type="dxa" w:w="2232"/>
            <w:tcMar>
              <w:top w:w="100" w:type="dxa"/>
              <w:start w:w="120" w:type="dxa"/>
              <w:bottom w:w="100" w:type="dxa"/>
              <w:end w:w="120" w:type="dxa"/>
            </w:tcMar>
            <w:vAlign w:val="center"/>
          </w:tcPr>
          <w:p>
            <w:pPr>
              <w:jc w:val="left"/>
            </w:pPr>
            <w:r>
              <w:rPr>
                <w:rFonts w:ascii="Aptos" w:hAnsi="Aptos"/>
                <w:sz w:val="17"/>
              </w:rPr>
              <w:t>National availability ambiguity</w:t>
            </w:r>
          </w:p>
        </w:tc>
        <w:tc>
          <w:tcPr>
            <w:tcW w:type="dxa" w:w="3528"/>
            <w:tcMar>
              <w:top w:w="100" w:type="dxa"/>
              <w:start w:w="120" w:type="dxa"/>
              <w:bottom w:w="100" w:type="dxa"/>
              <w:end w:w="120" w:type="dxa"/>
            </w:tcMar>
            <w:vAlign w:val="center"/>
          </w:tcPr>
          <w:p>
            <w:pPr>
              <w:jc w:val="left"/>
            </w:pPr>
            <w:r>
              <w:rPr>
                <w:rFonts w:ascii="Aptos" w:hAnsi="Aptos"/>
                <w:sz w:val="17"/>
              </w:rPr>
              <w:t>A national page could be interpreted as nationally bookable. Architecture explicitly warns against that.</w:t>
            </w:r>
          </w:p>
        </w:tc>
        <w:tc>
          <w:tcPr>
            <w:tcW w:type="dxa" w:w="3671"/>
            <w:tcMar>
              <w:top w:w="100" w:type="dxa"/>
              <w:start w:w="120" w:type="dxa"/>
              <w:bottom w:w="100" w:type="dxa"/>
              <w:end w:w="120" w:type="dxa"/>
            </w:tcMar>
            <w:vAlign w:val="center"/>
          </w:tcPr>
          <w:p>
            <w:pPr>
              <w:jc w:val="left"/>
            </w:pPr>
            <w:r>
              <w:rPr>
                <w:rFonts w:ascii="Aptos" w:hAnsi="Aptos"/>
                <w:sz w:val="17"/>
              </w:rPr>
              <w:t>Use precise availability language tied to verified operational locations and postcode/date checking.</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TG-02</w:t>
            </w:r>
          </w:p>
        </w:tc>
        <w:tc>
          <w:tcPr>
            <w:tcW w:type="dxa" w:w="2232"/>
            <w:tcMar>
              <w:top w:w="100" w:type="dxa"/>
              <w:start w:w="120" w:type="dxa"/>
              <w:bottom w:w="100" w:type="dxa"/>
              <w:end w:w="120" w:type="dxa"/>
            </w:tcMar>
            <w:vAlign w:val="center"/>
          </w:tcPr>
          <w:p>
            <w:pPr>
              <w:jc w:val="left"/>
            </w:pPr>
            <w:r>
              <w:rPr>
                <w:rFonts w:ascii="Aptos" w:hAnsi="Aptos"/>
                <w:sz w:val="17"/>
              </w:rPr>
              <w:t>Pricing currency</w:t>
            </w:r>
          </w:p>
        </w:tc>
        <w:tc>
          <w:tcPr>
            <w:tcW w:type="dxa" w:w="3528"/>
            <w:tcMar>
              <w:top w:w="100" w:type="dxa"/>
              <w:start w:w="120" w:type="dxa"/>
              <w:bottom w:w="100" w:type="dxa"/>
              <w:end w:w="120" w:type="dxa"/>
            </w:tcMar>
            <w:vAlign w:val="center"/>
          </w:tcPr>
          <w:p>
            <w:pPr>
              <w:jc w:val="left"/>
            </w:pPr>
            <w:r>
              <w:rPr>
                <w:rFonts w:ascii="Aptos" w:hAnsi="Aptos"/>
                <w:sz w:val="17"/>
              </w:rPr>
              <w:t>Price-sensitive copy can quickly become inaccurate.</w:t>
            </w:r>
          </w:p>
        </w:tc>
        <w:tc>
          <w:tcPr>
            <w:tcW w:type="dxa" w:w="3671"/>
            <w:tcMar>
              <w:top w:w="100" w:type="dxa"/>
              <w:start w:w="120" w:type="dxa"/>
              <w:bottom w:w="100" w:type="dxa"/>
              <w:end w:w="120" w:type="dxa"/>
            </w:tcMar>
            <w:vAlign w:val="center"/>
          </w:tcPr>
          <w:p>
            <w:pPr>
              <w:jc w:val="left"/>
            </w:pPr>
            <w:r>
              <w:rPr>
                <w:rFonts w:ascii="Aptos" w:hAnsi="Aptos"/>
                <w:sz w:val="17"/>
              </w:rPr>
              <w:t>Use only currently approved pricing; include ownership/update process before publication.</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TG-03</w:t>
            </w:r>
          </w:p>
        </w:tc>
        <w:tc>
          <w:tcPr>
            <w:tcW w:type="dxa" w:w="2232"/>
            <w:tcMar>
              <w:top w:w="100" w:type="dxa"/>
              <w:start w:w="120" w:type="dxa"/>
              <w:bottom w:w="100" w:type="dxa"/>
              <w:end w:w="120" w:type="dxa"/>
            </w:tcMar>
            <w:vAlign w:val="center"/>
          </w:tcPr>
          <w:p>
            <w:pPr>
              <w:jc w:val="left"/>
            </w:pPr>
            <w:r>
              <w:rPr>
                <w:rFonts w:ascii="Aptos" w:hAnsi="Aptos"/>
                <w:sz w:val="17"/>
              </w:rPr>
              <w:t>Safety / public liability wording</w:t>
            </w:r>
          </w:p>
        </w:tc>
        <w:tc>
          <w:tcPr>
            <w:tcW w:type="dxa" w:w="3528"/>
            <w:tcMar>
              <w:top w:w="100" w:type="dxa"/>
              <w:start w:w="120" w:type="dxa"/>
              <w:bottom w:w="100" w:type="dxa"/>
              <w:end w:w="120" w:type="dxa"/>
            </w:tcMar>
            <w:vAlign w:val="center"/>
          </w:tcPr>
          <w:p>
            <w:pPr>
              <w:jc w:val="left"/>
            </w:pPr>
            <w:r>
              <w:rPr>
                <w:rFonts w:ascii="Aptos" w:hAnsi="Aptos"/>
                <w:sz w:val="17"/>
              </w:rPr>
              <w:t>Safety and insurance-style statements carry elevated trust and reputational risk.</w:t>
            </w:r>
          </w:p>
        </w:tc>
        <w:tc>
          <w:tcPr>
            <w:tcW w:type="dxa" w:w="3671"/>
            <w:tcMar>
              <w:top w:w="100" w:type="dxa"/>
              <w:start w:w="120" w:type="dxa"/>
              <w:bottom w:w="100" w:type="dxa"/>
              <w:end w:w="120" w:type="dxa"/>
            </w:tcMar>
            <w:vAlign w:val="center"/>
          </w:tcPr>
          <w:p>
            <w:pPr>
              <w:jc w:val="left"/>
            </w:pPr>
            <w:r>
              <w:rPr>
                <w:rFonts w:ascii="Aptos" w:hAnsi="Aptos"/>
                <w:sz w:val="17"/>
              </w:rPr>
              <w:t>Require approved safety process and current public-liability evidence; escalate wording uncertainty.</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TG-04</w:t>
            </w:r>
          </w:p>
        </w:tc>
        <w:tc>
          <w:tcPr>
            <w:tcW w:type="dxa" w:w="2232"/>
            <w:tcMar>
              <w:top w:w="100" w:type="dxa"/>
              <w:start w:w="120" w:type="dxa"/>
              <w:bottom w:w="100" w:type="dxa"/>
              <w:end w:w="120" w:type="dxa"/>
            </w:tcMar>
            <w:vAlign w:val="center"/>
          </w:tcPr>
          <w:p>
            <w:pPr>
              <w:jc w:val="left"/>
            </w:pPr>
            <w:r>
              <w:rPr>
                <w:rFonts w:ascii="Aptos" w:hAnsi="Aptos"/>
                <w:sz w:val="17"/>
              </w:rPr>
              <w:t>Age/capacity/supervision</w:t>
            </w:r>
          </w:p>
        </w:tc>
        <w:tc>
          <w:tcPr>
            <w:tcW w:type="dxa" w:w="3528"/>
            <w:tcMar>
              <w:top w:w="100" w:type="dxa"/>
              <w:start w:w="120" w:type="dxa"/>
              <w:bottom w:w="100" w:type="dxa"/>
              <w:end w:w="120" w:type="dxa"/>
            </w:tcMar>
            <w:vAlign w:val="center"/>
          </w:tcPr>
          <w:p>
            <w:pPr>
              <w:jc w:val="left"/>
            </w:pPr>
            <w:r>
              <w:rPr>
                <w:rFonts w:ascii="Aptos" w:hAnsi="Aptos"/>
                <w:sz w:val="17"/>
              </w:rPr>
              <w:t>Wrong age, group-size or supervision claims could mislead customers.</w:t>
            </w:r>
          </w:p>
        </w:tc>
        <w:tc>
          <w:tcPr>
            <w:tcW w:type="dxa" w:w="3671"/>
            <w:tcMar>
              <w:top w:w="100" w:type="dxa"/>
              <w:start w:w="120" w:type="dxa"/>
              <w:bottom w:w="100" w:type="dxa"/>
              <w:end w:w="120" w:type="dxa"/>
            </w:tcMar>
            <w:vAlign w:val="center"/>
          </w:tcPr>
          <w:p>
            <w:pPr>
              <w:jc w:val="left"/>
            </w:pPr>
            <w:r>
              <w:rPr>
                <w:rFonts w:ascii="Aptos" w:hAnsi="Aptos"/>
                <w:sz w:val="17"/>
              </w:rPr>
              <w:t>Require current age/capacity/host model evidence before publishing.</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TG-05</w:t>
            </w:r>
          </w:p>
        </w:tc>
        <w:tc>
          <w:tcPr>
            <w:tcW w:type="dxa" w:w="2232"/>
            <w:tcMar>
              <w:top w:w="100" w:type="dxa"/>
              <w:start w:w="120" w:type="dxa"/>
              <w:bottom w:w="100" w:type="dxa"/>
              <w:end w:w="120" w:type="dxa"/>
            </w:tcMar>
            <w:vAlign w:val="center"/>
          </w:tcPr>
          <w:p>
            <w:pPr>
              <w:jc w:val="left"/>
            </w:pPr>
            <w:r>
              <w:rPr>
                <w:rFonts w:ascii="Aptos" w:hAnsi="Aptos"/>
                <w:sz w:val="17"/>
              </w:rPr>
              <w:t>Availability promise</w:t>
            </w:r>
          </w:p>
        </w:tc>
        <w:tc>
          <w:tcPr>
            <w:tcW w:type="dxa" w:w="3528"/>
            <w:tcMar>
              <w:top w:w="100" w:type="dxa"/>
              <w:start w:w="120" w:type="dxa"/>
              <w:bottom w:w="100" w:type="dxa"/>
              <w:end w:w="120" w:type="dxa"/>
            </w:tcMar>
            <w:vAlign w:val="center"/>
          </w:tcPr>
          <w:p>
            <w:pPr>
              <w:jc w:val="left"/>
            </w:pPr>
            <w:r>
              <w:rPr>
                <w:rFonts w:ascii="Aptos" w:hAnsi="Aptos"/>
                <w:sz w:val="17"/>
              </w:rPr>
              <w:t>The planned response-time promise is unsupported in current approved sources.</w:t>
            </w:r>
          </w:p>
        </w:tc>
        <w:tc>
          <w:tcPr>
            <w:tcW w:type="dxa" w:w="3671"/>
            <w:tcMar>
              <w:top w:w="100" w:type="dxa"/>
              <w:start w:w="120" w:type="dxa"/>
              <w:bottom w:w="100" w:type="dxa"/>
              <w:end w:w="120" w:type="dxa"/>
            </w:tcMar>
            <w:vAlign w:val="center"/>
          </w:tcPr>
          <w:p>
            <w:pPr>
              <w:jc w:val="left"/>
            </w:pPr>
            <w:r>
              <w:rPr>
                <w:rFonts w:ascii="Aptos" w:hAnsi="Aptos"/>
                <w:sz w:val="17"/>
              </w:rPr>
              <w:t>Either provide an approved service standard or remove/qualify the promise.</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TG-06</w:t>
            </w:r>
          </w:p>
        </w:tc>
        <w:tc>
          <w:tcPr>
            <w:tcW w:type="dxa" w:w="2232"/>
            <w:tcMar>
              <w:top w:w="100" w:type="dxa"/>
              <w:start w:w="120" w:type="dxa"/>
              <w:bottom w:w="100" w:type="dxa"/>
              <w:end w:w="120" w:type="dxa"/>
            </w:tcMar>
            <w:vAlign w:val="center"/>
          </w:tcPr>
          <w:p>
            <w:pPr>
              <w:jc w:val="left"/>
            </w:pPr>
            <w:r>
              <w:rPr>
                <w:rFonts w:ascii="Aptos" w:hAnsi="Aptos"/>
                <w:sz w:val="17"/>
              </w:rPr>
              <w:t>Testimonials/photos</w:t>
            </w:r>
          </w:p>
        </w:tc>
        <w:tc>
          <w:tcPr>
            <w:tcW w:type="dxa" w:w="3528"/>
            <w:tcMar>
              <w:top w:w="100" w:type="dxa"/>
              <w:start w:w="120" w:type="dxa"/>
              <w:bottom w:w="100" w:type="dxa"/>
              <w:end w:w="120" w:type="dxa"/>
            </w:tcMar>
            <w:vAlign w:val="center"/>
          </w:tcPr>
          <w:p>
            <w:pPr>
              <w:jc w:val="left"/>
            </w:pPr>
            <w:r>
              <w:rPr>
                <w:rFonts w:ascii="Aptos" w:hAnsi="Aptos"/>
                <w:sz w:val="17"/>
              </w:rPr>
              <w:t>Unverified or non-house-party proof could weaken credibility.</w:t>
            </w:r>
          </w:p>
        </w:tc>
        <w:tc>
          <w:tcPr>
            <w:tcW w:type="dxa" w:w="3671"/>
            <w:tcMar>
              <w:top w:w="100" w:type="dxa"/>
              <w:start w:w="120" w:type="dxa"/>
              <w:bottom w:w="100" w:type="dxa"/>
              <w:end w:w="120" w:type="dxa"/>
            </w:tcMar>
            <w:vAlign w:val="center"/>
          </w:tcPr>
          <w:p>
            <w:pPr>
              <w:jc w:val="left"/>
            </w:pPr>
            <w:r>
              <w:rPr>
                <w:rFonts w:ascii="Aptos" w:hAnsi="Aptos"/>
                <w:sz w:val="17"/>
              </w:rPr>
              <w:t>Use authentic, relevant, permissioned proof with provenance.</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TG-07</w:t>
            </w:r>
          </w:p>
        </w:tc>
        <w:tc>
          <w:tcPr>
            <w:tcW w:type="dxa" w:w="2232"/>
            <w:tcMar>
              <w:top w:w="100" w:type="dxa"/>
              <w:start w:w="120" w:type="dxa"/>
              <w:bottom w:w="100" w:type="dxa"/>
              <w:end w:w="120" w:type="dxa"/>
            </w:tcMar>
            <w:vAlign w:val="center"/>
          </w:tcPr>
          <w:p>
            <w:pPr>
              <w:jc w:val="left"/>
            </w:pPr>
            <w:r>
              <w:rPr>
                <w:rFonts w:ascii="Aptos" w:hAnsi="Aptos"/>
                <w:sz w:val="17"/>
              </w:rPr>
              <w:t>Delivery-model confusion</w:t>
            </w:r>
          </w:p>
        </w:tc>
        <w:tc>
          <w:tcPr>
            <w:tcW w:type="dxa" w:w="3528"/>
            <w:tcMar>
              <w:top w:w="100" w:type="dxa"/>
              <w:start w:w="120" w:type="dxa"/>
              <w:bottom w:w="100" w:type="dxa"/>
              <w:end w:w="120" w:type="dxa"/>
            </w:tcMar>
            <w:vAlign w:val="center"/>
          </w:tcPr>
          <w:p>
            <w:pPr>
              <w:jc w:val="left"/>
            </w:pPr>
            <w:r>
              <w:rPr>
                <w:rFonts w:ascii="Aptos" w:hAnsi="Aptos"/>
                <w:sz w:val="17"/>
              </w:rPr>
              <w:t>House party, customer-selected venue, Viri-sourced partner venue and private venue hire could blur together.</w:t>
            </w:r>
          </w:p>
        </w:tc>
        <w:tc>
          <w:tcPr>
            <w:tcW w:type="dxa" w:w="3671"/>
            <w:tcMar>
              <w:top w:w="100" w:type="dxa"/>
              <w:start w:w="120" w:type="dxa"/>
              <w:bottom w:w="100" w:type="dxa"/>
              <w:end w:w="120" w:type="dxa"/>
            </w:tcMar>
            <w:vAlign w:val="center"/>
          </w:tcPr>
          <w:p>
            <w:pPr>
              <w:jc w:val="left"/>
            </w:pPr>
            <w:r>
              <w:rPr>
                <w:rFonts w:ascii="Aptos" w:hAnsi="Aptos"/>
                <w:sz w:val="17"/>
              </w:rPr>
              <w:t>Define each using approved operational facts and route to the correct owner pages.</w:t>
            </w:r>
          </w:p>
        </w:tc>
      </w:tr>
      <w:tr>
        <w:trPr>
          <w:cantSplit/>
        </w:trPr>
        <w:tc>
          <w:tcPr>
            <w:tcW w:type="dxa" w:w="792"/>
            <w:tcMar>
              <w:top w:w="100" w:type="dxa"/>
              <w:start w:w="120" w:type="dxa"/>
              <w:bottom w:w="100" w:type="dxa"/>
              <w:end w:w="120" w:type="dxa"/>
            </w:tcMar>
            <w:vAlign w:val="center"/>
          </w:tcPr>
          <w:p>
            <w:pPr>
              <w:jc w:val="left"/>
            </w:pPr>
            <w:r>
              <w:rPr>
                <w:rFonts w:ascii="Aptos" w:hAnsi="Aptos"/>
                <w:sz w:val="17"/>
              </w:rPr>
              <w:t>TG-08</w:t>
            </w:r>
          </w:p>
        </w:tc>
        <w:tc>
          <w:tcPr>
            <w:tcW w:type="dxa" w:w="2232"/>
            <w:tcMar>
              <w:top w:w="100" w:type="dxa"/>
              <w:start w:w="120" w:type="dxa"/>
              <w:bottom w:w="100" w:type="dxa"/>
              <w:end w:w="120" w:type="dxa"/>
            </w:tcMar>
            <w:vAlign w:val="center"/>
          </w:tcPr>
          <w:p>
            <w:pPr>
              <w:jc w:val="left"/>
            </w:pPr>
            <w:r>
              <w:rPr>
                <w:rFonts w:ascii="Aptos" w:hAnsi="Aptos"/>
                <w:sz w:val="17"/>
              </w:rPr>
              <w:t>Legacy factual inconsistency</w:t>
            </w:r>
          </w:p>
        </w:tc>
        <w:tc>
          <w:tcPr>
            <w:tcW w:type="dxa" w:w="3528"/>
            <w:tcMar>
              <w:top w:w="100" w:type="dxa"/>
              <w:start w:w="120" w:type="dxa"/>
              <w:bottom w:w="100" w:type="dxa"/>
              <w:end w:w="120" w:type="dxa"/>
            </w:tcMar>
            <w:vAlign w:val="center"/>
          </w:tcPr>
          <w:p>
            <w:pPr>
              <w:jc w:val="left"/>
            </w:pPr>
            <w:r>
              <w:rPr>
                <w:rFonts w:ascii="Aptos" w:hAnsi="Aptos"/>
                <w:sz w:val="17"/>
              </w:rPr>
              <w:t>Existing fixed-venue and obsolete venue claims could conflict with HP-001.</w:t>
            </w:r>
          </w:p>
        </w:tc>
        <w:tc>
          <w:tcPr>
            <w:tcW w:type="dxa" w:w="3671"/>
            <w:tcMar>
              <w:top w:w="100" w:type="dxa"/>
              <w:start w:w="120" w:type="dxa"/>
              <w:bottom w:w="100" w:type="dxa"/>
              <w:end w:w="120" w:type="dxa"/>
            </w:tcMar>
            <w:vAlign w:val="center"/>
          </w:tcPr>
          <w:p>
            <w:pPr>
              <w:jc w:val="left"/>
            </w:pPr>
            <w:r>
              <w:rPr>
                <w:rFonts w:ascii="Aptos" w:hAnsi="Aptos"/>
                <w:sz w:val="17"/>
              </w:rPr>
              <w:t>Do not reuse outdated King Street, TopYard, Forest Hill, corporate or school positioning unless explicitly re-approved.</w:t>
            </w:r>
          </w:p>
        </w:tc>
      </w:tr>
    </w:tbl>
    <w:p>
      <w:pPr>
        <w:spacing w:after="0"/>
      </w:pPr>
    </w:p>
    <w:p>
      <w:pPr>
        <w:pStyle w:val="Heading1"/>
      </w:pPr>
      <w:r>
        <w:t>9. Evidence Requirements Before Factual Copy Is Finalised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792"/>
            <w:shd w:fill="D9E3F0"/>
            <w:tcMar>
              <w:top w:w="100" w:type="dxa"/>
              <w:start w:w="120" w:type="dxa"/>
              <w:bottom w:w="100" w:type="dxa"/>
              <w:end w:w="120" w:type="dxa"/>
            </w:tcMar>
            <w:vAlign w:val="center"/>
          </w:tcPr>
          <w:p>
            <w:pPr>
              <w:jc w:val="left"/>
            </w:pPr>
            <w:r>
              <w:rPr>
                <w:rFonts w:ascii="Aptos" w:hAnsi="Aptos"/>
                <w:b/>
                <w:sz w:val="18"/>
              </w:rPr>
              <w:t>ID</w:t>
            </w:r>
          </w:p>
        </w:tc>
        <w:tc>
          <w:tcPr>
            <w:tcW w:type="dxa" w:w="2376"/>
            <w:shd w:fill="D9E3F0"/>
            <w:tcMar>
              <w:top w:w="100" w:type="dxa"/>
              <w:start w:w="120" w:type="dxa"/>
              <w:bottom w:w="100" w:type="dxa"/>
              <w:end w:w="120" w:type="dxa"/>
            </w:tcMar>
            <w:vAlign w:val="center"/>
          </w:tcPr>
          <w:p>
            <w:pPr>
              <w:jc w:val="left"/>
            </w:pPr>
            <w:r>
              <w:rPr>
                <w:rFonts w:ascii="Aptos" w:hAnsi="Aptos"/>
                <w:b/>
                <w:sz w:val="18"/>
              </w:rPr>
              <w:t>Evidence item</w:t>
            </w:r>
          </w:p>
        </w:tc>
        <w:tc>
          <w:tcPr>
            <w:tcW w:type="dxa" w:w="3456"/>
            <w:shd w:fill="D9E3F0"/>
            <w:tcMar>
              <w:top w:w="100" w:type="dxa"/>
              <w:start w:w="120" w:type="dxa"/>
              <w:bottom w:w="100" w:type="dxa"/>
              <w:end w:w="120" w:type="dxa"/>
            </w:tcMar>
            <w:vAlign w:val="center"/>
          </w:tcPr>
          <w:p>
            <w:pPr>
              <w:jc w:val="left"/>
            </w:pPr>
            <w:r>
              <w:rPr>
                <w:rFonts w:ascii="Aptos" w:hAnsi="Aptos"/>
                <w:b/>
                <w:sz w:val="18"/>
              </w:rPr>
              <w:t>Supports</w:t>
            </w:r>
          </w:p>
        </w:tc>
        <w:tc>
          <w:tcPr>
            <w:tcW w:type="dxa" w:w="2376"/>
            <w:shd w:fill="D9E3F0"/>
            <w:tcMar>
              <w:top w:w="100" w:type="dxa"/>
              <w:start w:w="120" w:type="dxa"/>
              <w:bottom w:w="100" w:type="dxa"/>
              <w:end w:w="120" w:type="dxa"/>
            </w:tcMar>
            <w:vAlign w:val="center"/>
          </w:tcPr>
          <w:p>
            <w:pPr>
              <w:jc w:val="left"/>
            </w:pPr>
            <w:r>
              <w:rPr>
                <w:rFonts w:ascii="Aptos" w:hAnsi="Aptos"/>
                <w:b/>
                <w:sz w:val="18"/>
              </w:rPr>
              <w:t>Recommended source/owner</w:t>
            </w:r>
          </w:p>
        </w:tc>
        <w:tc>
          <w:tcPr>
            <w:tcW w:type="dxa" w:w="1152"/>
            <w:shd w:fill="D9E3F0"/>
            <w:tcMar>
              <w:top w:w="100" w:type="dxa"/>
              <w:start w:w="120" w:type="dxa"/>
              <w:bottom w:w="100" w:type="dxa"/>
              <w:end w:w="120" w:type="dxa"/>
            </w:tcMar>
            <w:vAlign w:val="center"/>
          </w:tcPr>
          <w:p>
            <w:pPr>
              <w:jc w:val="left"/>
            </w:pPr>
            <w:r>
              <w:rPr>
                <w:rFonts w:ascii="Aptos" w:hAnsi="Aptos"/>
                <w:b/>
                <w:sz w:val="18"/>
              </w:rPr>
              <w:t>Status</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ER-01</w:t>
            </w:r>
          </w:p>
        </w:tc>
        <w:tc>
          <w:tcPr>
            <w:tcW w:type="dxa" w:w="2376"/>
            <w:tcMar>
              <w:top w:w="100" w:type="dxa"/>
              <w:start w:w="120" w:type="dxa"/>
              <w:bottom w:w="100" w:type="dxa"/>
              <w:end w:w="120" w:type="dxa"/>
            </w:tcMar>
            <w:vAlign w:val="center"/>
          </w:tcPr>
          <w:p>
            <w:pPr>
              <w:jc w:val="left"/>
            </w:pPr>
            <w:r>
              <w:rPr>
                <w:rFonts w:ascii="Aptos" w:hAnsi="Aptos"/>
                <w:sz w:val="16"/>
              </w:rPr>
              <w:t>Current package sheet</w:t>
            </w:r>
          </w:p>
        </w:tc>
        <w:tc>
          <w:tcPr>
            <w:tcW w:type="dxa" w:w="3456"/>
            <w:tcMar>
              <w:top w:w="100" w:type="dxa"/>
              <w:start w:w="120" w:type="dxa"/>
              <w:bottom w:w="100" w:type="dxa"/>
              <w:end w:w="120" w:type="dxa"/>
            </w:tcMar>
            <w:vAlign w:val="center"/>
          </w:tcPr>
          <w:p>
            <w:pPr>
              <w:jc w:val="left"/>
            </w:pPr>
            <w:r>
              <w:rPr>
                <w:rFonts w:ascii="Aptos" w:hAnsi="Aptos"/>
                <w:sz w:val="16"/>
              </w:rPr>
              <w:t>Packages, inclusions, equipment, price references, service definition</w:t>
            </w:r>
          </w:p>
        </w:tc>
        <w:tc>
          <w:tcPr>
            <w:tcW w:type="dxa" w:w="2376"/>
            <w:tcMar>
              <w:top w:w="100" w:type="dxa"/>
              <w:start w:w="120" w:type="dxa"/>
              <w:bottom w:w="100" w:type="dxa"/>
              <w:end w:w="120" w:type="dxa"/>
            </w:tcMar>
            <w:vAlign w:val="center"/>
          </w:tcPr>
          <w:p>
            <w:pPr>
              <w:jc w:val="left"/>
            </w:pPr>
            <w:r>
              <w:rPr>
                <w:rFonts w:ascii="Aptos" w:hAnsi="Aptos"/>
                <w:sz w:val="16"/>
              </w:rPr>
              <w:t>Human/business owner or approved package source</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ER-02</w:t>
            </w:r>
          </w:p>
        </w:tc>
        <w:tc>
          <w:tcPr>
            <w:tcW w:type="dxa" w:w="2376"/>
            <w:tcMar>
              <w:top w:w="100" w:type="dxa"/>
              <w:start w:w="120" w:type="dxa"/>
              <w:bottom w:w="100" w:type="dxa"/>
              <w:end w:w="120" w:type="dxa"/>
            </w:tcMar>
            <w:vAlign w:val="center"/>
          </w:tcPr>
          <w:p>
            <w:pPr>
              <w:jc w:val="left"/>
            </w:pPr>
            <w:r>
              <w:rPr>
                <w:rFonts w:ascii="Aptos" w:hAnsi="Aptos"/>
                <w:sz w:val="16"/>
              </w:rPr>
              <w:t>Age and group-size policy</w:t>
            </w:r>
          </w:p>
        </w:tc>
        <w:tc>
          <w:tcPr>
            <w:tcW w:type="dxa" w:w="3456"/>
            <w:tcMar>
              <w:top w:w="100" w:type="dxa"/>
              <w:start w:w="120" w:type="dxa"/>
              <w:bottom w:w="100" w:type="dxa"/>
              <w:end w:w="120" w:type="dxa"/>
            </w:tcMar>
            <w:vAlign w:val="center"/>
          </w:tcPr>
          <w:p>
            <w:pPr>
              <w:jc w:val="left"/>
            </w:pPr>
            <w:r>
              <w:rPr>
                <w:rFonts w:ascii="Aptos" w:hAnsi="Aptos"/>
                <w:sz w:val="16"/>
              </w:rPr>
              <w:t>Minimum age, maximum/minimum group size, suitability</w:t>
            </w:r>
          </w:p>
        </w:tc>
        <w:tc>
          <w:tcPr>
            <w:tcW w:type="dxa" w:w="2376"/>
            <w:tcMar>
              <w:top w:w="100" w:type="dxa"/>
              <w:start w:w="120" w:type="dxa"/>
              <w:bottom w:w="100" w:type="dxa"/>
              <w:end w:w="120" w:type="dxa"/>
            </w:tcMar>
            <w:vAlign w:val="center"/>
          </w:tcPr>
          <w:p>
            <w:pPr>
              <w:jc w:val="left"/>
            </w:pPr>
            <w:r>
              <w:rPr>
                <w:rFonts w:ascii="Aptos" w:hAnsi="Aptos"/>
                <w:sz w:val="16"/>
              </w:rPr>
              <w:t>Operations/business owner</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ER-03</w:t>
            </w:r>
          </w:p>
        </w:tc>
        <w:tc>
          <w:tcPr>
            <w:tcW w:type="dxa" w:w="2376"/>
            <w:tcMar>
              <w:top w:w="100" w:type="dxa"/>
              <w:start w:w="120" w:type="dxa"/>
              <w:bottom w:w="100" w:type="dxa"/>
              <w:end w:w="120" w:type="dxa"/>
            </w:tcMar>
            <w:vAlign w:val="center"/>
          </w:tcPr>
          <w:p>
            <w:pPr>
              <w:jc w:val="left"/>
            </w:pPr>
            <w:r>
              <w:rPr>
                <w:rFonts w:ascii="Aptos" w:hAnsi="Aptos"/>
                <w:sz w:val="16"/>
              </w:rPr>
              <w:t>Equipment/headset allocation</w:t>
            </w:r>
          </w:p>
        </w:tc>
        <w:tc>
          <w:tcPr>
            <w:tcW w:type="dxa" w:w="3456"/>
            <w:tcMar>
              <w:top w:w="100" w:type="dxa"/>
              <w:start w:w="120" w:type="dxa"/>
              <w:bottom w:w="100" w:type="dxa"/>
              <w:end w:w="120" w:type="dxa"/>
            </w:tcMar>
            <w:vAlign w:val="center"/>
          </w:tcPr>
          <w:p>
            <w:pPr>
              <w:jc w:val="left"/>
            </w:pPr>
            <w:r>
              <w:rPr>
                <w:rFonts w:ascii="Aptos" w:hAnsi="Aptos"/>
                <w:sz w:val="16"/>
              </w:rPr>
              <w:t>Headset count, simultaneous play, rotation model</w:t>
            </w:r>
          </w:p>
        </w:tc>
        <w:tc>
          <w:tcPr>
            <w:tcW w:type="dxa" w:w="2376"/>
            <w:tcMar>
              <w:top w:w="100" w:type="dxa"/>
              <w:start w:w="120" w:type="dxa"/>
              <w:bottom w:w="100" w:type="dxa"/>
              <w:end w:w="120" w:type="dxa"/>
            </w:tcMar>
            <w:vAlign w:val="center"/>
          </w:tcPr>
          <w:p>
            <w:pPr>
              <w:jc w:val="left"/>
            </w:pPr>
            <w:r>
              <w:rPr>
                <w:rFonts w:ascii="Aptos" w:hAnsi="Aptos"/>
                <w:sz w:val="16"/>
              </w:rPr>
              <w:t>Operations</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ER-04</w:t>
            </w:r>
          </w:p>
        </w:tc>
        <w:tc>
          <w:tcPr>
            <w:tcW w:type="dxa" w:w="2376"/>
            <w:tcMar>
              <w:top w:w="100" w:type="dxa"/>
              <w:start w:w="120" w:type="dxa"/>
              <w:bottom w:w="100" w:type="dxa"/>
              <w:end w:w="120" w:type="dxa"/>
            </w:tcMar>
            <w:vAlign w:val="center"/>
          </w:tcPr>
          <w:p>
            <w:pPr>
              <w:jc w:val="left"/>
            </w:pPr>
            <w:r>
              <w:rPr>
                <w:rFonts w:ascii="Aptos" w:hAnsi="Aptos"/>
                <w:sz w:val="16"/>
              </w:rPr>
              <w:t>Setup/pack-down operating facts</w:t>
            </w:r>
          </w:p>
        </w:tc>
        <w:tc>
          <w:tcPr>
            <w:tcW w:type="dxa" w:w="3456"/>
            <w:tcMar>
              <w:top w:w="100" w:type="dxa"/>
              <w:start w:w="120" w:type="dxa"/>
              <w:bottom w:w="100" w:type="dxa"/>
              <w:end w:w="120" w:type="dxa"/>
            </w:tcMar>
            <w:vAlign w:val="center"/>
          </w:tcPr>
          <w:p>
            <w:pPr>
              <w:jc w:val="left"/>
            </w:pPr>
            <w:r>
              <w:rPr>
                <w:rFonts w:ascii="Aptos" w:hAnsi="Aptos"/>
                <w:sz w:val="16"/>
              </w:rPr>
              <w:t>Arrival/setup/pack-down timing and responsibilities</w:t>
            </w:r>
          </w:p>
        </w:tc>
        <w:tc>
          <w:tcPr>
            <w:tcW w:type="dxa" w:w="2376"/>
            <w:tcMar>
              <w:top w:w="100" w:type="dxa"/>
              <w:start w:w="120" w:type="dxa"/>
              <w:bottom w:w="100" w:type="dxa"/>
              <w:end w:w="120" w:type="dxa"/>
            </w:tcMar>
            <w:vAlign w:val="center"/>
          </w:tcPr>
          <w:p>
            <w:pPr>
              <w:jc w:val="left"/>
            </w:pPr>
            <w:r>
              <w:rPr>
                <w:rFonts w:ascii="Aptos" w:hAnsi="Aptos"/>
                <w:sz w:val="16"/>
              </w:rPr>
              <w:t>Operations</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ER-05</w:t>
            </w:r>
          </w:p>
        </w:tc>
        <w:tc>
          <w:tcPr>
            <w:tcW w:type="dxa" w:w="2376"/>
            <w:tcMar>
              <w:top w:w="100" w:type="dxa"/>
              <w:start w:w="120" w:type="dxa"/>
              <w:bottom w:w="100" w:type="dxa"/>
              <w:end w:w="120" w:type="dxa"/>
            </w:tcMar>
            <w:vAlign w:val="center"/>
          </w:tcPr>
          <w:p>
            <w:pPr>
              <w:jc w:val="left"/>
            </w:pPr>
            <w:r>
              <w:rPr>
                <w:rFonts w:ascii="Aptos" w:hAnsi="Aptos"/>
                <w:sz w:val="16"/>
              </w:rPr>
              <w:t>Safety process</w:t>
            </w:r>
          </w:p>
        </w:tc>
        <w:tc>
          <w:tcPr>
            <w:tcW w:type="dxa" w:w="3456"/>
            <w:tcMar>
              <w:top w:w="100" w:type="dxa"/>
              <w:start w:w="120" w:type="dxa"/>
              <w:bottom w:w="100" w:type="dxa"/>
              <w:end w:w="120" w:type="dxa"/>
            </w:tcMar>
            <w:vAlign w:val="center"/>
          </w:tcPr>
          <w:p>
            <w:pPr>
              <w:jc w:val="left"/>
            </w:pPr>
            <w:r>
              <w:rPr>
                <w:rFonts w:ascii="Aptos" w:hAnsi="Aptos"/>
                <w:sz w:val="16"/>
              </w:rPr>
              <w:t>Space rules, play-zone controls, supervision, operating precautions</w:t>
            </w:r>
          </w:p>
        </w:tc>
        <w:tc>
          <w:tcPr>
            <w:tcW w:type="dxa" w:w="2376"/>
            <w:tcMar>
              <w:top w:w="100" w:type="dxa"/>
              <w:start w:w="120" w:type="dxa"/>
              <w:bottom w:w="100" w:type="dxa"/>
              <w:end w:w="120" w:type="dxa"/>
            </w:tcMar>
            <w:vAlign w:val="center"/>
          </w:tcPr>
          <w:p>
            <w:pPr>
              <w:jc w:val="left"/>
            </w:pPr>
            <w:r>
              <w:rPr>
                <w:rFonts w:ascii="Aptos" w:hAnsi="Aptos"/>
                <w:sz w:val="16"/>
              </w:rPr>
              <w:t>Operations / appropriate human approver</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ER-06</w:t>
            </w:r>
          </w:p>
        </w:tc>
        <w:tc>
          <w:tcPr>
            <w:tcW w:type="dxa" w:w="2376"/>
            <w:tcMar>
              <w:top w:w="100" w:type="dxa"/>
              <w:start w:w="120" w:type="dxa"/>
              <w:bottom w:w="100" w:type="dxa"/>
              <w:end w:w="120" w:type="dxa"/>
            </w:tcMar>
            <w:vAlign w:val="center"/>
          </w:tcPr>
          <w:p>
            <w:pPr>
              <w:jc w:val="left"/>
            </w:pPr>
            <w:r>
              <w:rPr>
                <w:rFonts w:ascii="Aptos" w:hAnsi="Aptos"/>
                <w:sz w:val="16"/>
              </w:rPr>
              <w:t>Current public-liability evidence</w:t>
            </w:r>
          </w:p>
        </w:tc>
        <w:tc>
          <w:tcPr>
            <w:tcW w:type="dxa" w:w="3456"/>
            <w:tcMar>
              <w:top w:w="100" w:type="dxa"/>
              <w:start w:w="120" w:type="dxa"/>
              <w:bottom w:w="100" w:type="dxa"/>
              <w:end w:w="120" w:type="dxa"/>
            </w:tcMar>
            <w:vAlign w:val="center"/>
          </w:tcPr>
          <w:p>
            <w:pPr>
              <w:jc w:val="left"/>
            </w:pPr>
            <w:r>
              <w:rPr>
                <w:rFonts w:ascii="Aptos" w:hAnsi="Aptos"/>
                <w:sz w:val="16"/>
              </w:rPr>
              <w:t>Any statement about coverage or insurance status</w:t>
            </w:r>
          </w:p>
        </w:tc>
        <w:tc>
          <w:tcPr>
            <w:tcW w:type="dxa" w:w="2376"/>
            <w:tcMar>
              <w:top w:w="100" w:type="dxa"/>
              <w:start w:w="120" w:type="dxa"/>
              <w:bottom w:w="100" w:type="dxa"/>
              <w:end w:w="120" w:type="dxa"/>
            </w:tcMar>
            <w:vAlign w:val="center"/>
          </w:tcPr>
          <w:p>
            <w:pPr>
              <w:jc w:val="left"/>
            </w:pPr>
            <w:r>
              <w:rPr>
                <w:rFonts w:ascii="Aptos" w:hAnsi="Aptos"/>
                <w:sz w:val="16"/>
              </w:rPr>
              <w:t>Appropriate human/business owner</w:t>
            </w:r>
          </w:p>
        </w:tc>
        <w:tc>
          <w:tcPr>
            <w:tcW w:type="dxa" w:w="1152"/>
            <w:tcMar>
              <w:top w:w="100" w:type="dxa"/>
              <w:start w:w="120" w:type="dxa"/>
              <w:bottom w:w="100" w:type="dxa"/>
              <w:end w:w="120" w:type="dxa"/>
            </w:tcMar>
            <w:vAlign w:val="center"/>
          </w:tcPr>
          <w:p>
            <w:pPr>
              <w:jc w:val="left"/>
            </w:pPr>
            <w:r>
              <w:rPr>
                <w:rFonts w:ascii="Aptos" w:hAnsi="Aptos"/>
                <w:sz w:val="16"/>
              </w:rPr>
              <w:t>Required before any such claim</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ER-07</w:t>
            </w:r>
          </w:p>
        </w:tc>
        <w:tc>
          <w:tcPr>
            <w:tcW w:type="dxa" w:w="2376"/>
            <w:tcMar>
              <w:top w:w="100" w:type="dxa"/>
              <w:start w:w="120" w:type="dxa"/>
              <w:bottom w:w="100" w:type="dxa"/>
              <w:end w:w="120" w:type="dxa"/>
            </w:tcMar>
            <w:vAlign w:val="center"/>
          </w:tcPr>
          <w:p>
            <w:pPr>
              <w:jc w:val="left"/>
            </w:pPr>
            <w:r>
              <w:rPr>
                <w:rFonts w:ascii="Aptos" w:hAnsi="Aptos"/>
                <w:sz w:val="16"/>
              </w:rPr>
              <w:t>Power/connectivity/offline requirements</w:t>
            </w:r>
          </w:p>
        </w:tc>
        <w:tc>
          <w:tcPr>
            <w:tcW w:type="dxa" w:w="3456"/>
            <w:tcMar>
              <w:top w:w="100" w:type="dxa"/>
              <w:start w:w="120" w:type="dxa"/>
              <w:bottom w:w="100" w:type="dxa"/>
              <w:end w:w="120" w:type="dxa"/>
            </w:tcMar>
            <w:vAlign w:val="center"/>
          </w:tcPr>
          <w:p>
            <w:pPr>
              <w:jc w:val="left"/>
            </w:pPr>
            <w:r>
              <w:rPr>
                <w:rFonts w:ascii="Aptos" w:hAnsi="Aptos"/>
                <w:sz w:val="16"/>
              </w:rPr>
              <w:t>Wi-Fi, power, offline fallback, technical dependencies</w:t>
            </w:r>
          </w:p>
        </w:tc>
        <w:tc>
          <w:tcPr>
            <w:tcW w:type="dxa" w:w="2376"/>
            <w:tcMar>
              <w:top w:w="100" w:type="dxa"/>
              <w:start w:w="120" w:type="dxa"/>
              <w:bottom w:w="100" w:type="dxa"/>
              <w:end w:w="120" w:type="dxa"/>
            </w:tcMar>
            <w:vAlign w:val="center"/>
          </w:tcPr>
          <w:p>
            <w:pPr>
              <w:jc w:val="left"/>
            </w:pPr>
            <w:r>
              <w:rPr>
                <w:rFonts w:ascii="Aptos" w:hAnsi="Aptos"/>
                <w:sz w:val="16"/>
              </w:rPr>
              <w:t>Operations / technical owner</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ER-08</w:t>
            </w:r>
          </w:p>
        </w:tc>
        <w:tc>
          <w:tcPr>
            <w:tcW w:type="dxa" w:w="2376"/>
            <w:tcMar>
              <w:top w:w="100" w:type="dxa"/>
              <w:start w:w="120" w:type="dxa"/>
              <w:bottom w:w="100" w:type="dxa"/>
              <w:end w:w="120" w:type="dxa"/>
            </w:tcMar>
            <w:vAlign w:val="center"/>
          </w:tcPr>
          <w:p>
            <w:pPr>
              <w:jc w:val="left"/>
            </w:pPr>
            <w:r>
              <w:rPr>
                <w:rFonts w:ascii="Aptos" w:hAnsi="Aptos"/>
                <w:sz w:val="16"/>
              </w:rPr>
              <w:t>Service-area and travel rules</w:t>
            </w:r>
          </w:p>
        </w:tc>
        <w:tc>
          <w:tcPr>
            <w:tcW w:type="dxa" w:w="3456"/>
            <w:tcMar>
              <w:top w:w="100" w:type="dxa"/>
              <w:start w:w="120" w:type="dxa"/>
              <w:bottom w:w="100" w:type="dxa"/>
              <w:end w:w="120" w:type="dxa"/>
            </w:tcMar>
            <w:vAlign w:val="center"/>
          </w:tcPr>
          <w:p>
            <w:pPr>
              <w:jc w:val="left"/>
            </w:pPr>
            <w:r>
              <w:rPr>
                <w:rFonts w:ascii="Aptos" w:hAnsi="Aptos"/>
                <w:sz w:val="16"/>
              </w:rPr>
              <w:t>Where ViriVr can attend, travel fees, local constraints</w:t>
            </w:r>
          </w:p>
        </w:tc>
        <w:tc>
          <w:tcPr>
            <w:tcW w:type="dxa" w:w="2376"/>
            <w:tcMar>
              <w:top w:w="100" w:type="dxa"/>
              <w:start w:w="120" w:type="dxa"/>
              <w:bottom w:w="100" w:type="dxa"/>
              <w:end w:w="120" w:type="dxa"/>
            </w:tcMar>
            <w:vAlign w:val="center"/>
          </w:tcPr>
          <w:p>
            <w:pPr>
              <w:jc w:val="left"/>
            </w:pPr>
            <w:r>
              <w:rPr>
                <w:rFonts w:ascii="Aptos" w:hAnsi="Aptos"/>
                <w:sz w:val="16"/>
              </w:rPr>
              <w:t>Operations/business owner</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ER-09</w:t>
            </w:r>
          </w:p>
        </w:tc>
        <w:tc>
          <w:tcPr>
            <w:tcW w:type="dxa" w:w="2376"/>
            <w:tcMar>
              <w:top w:w="100" w:type="dxa"/>
              <w:start w:w="120" w:type="dxa"/>
              <w:bottom w:w="100" w:type="dxa"/>
              <w:end w:w="120" w:type="dxa"/>
            </w:tcMar>
            <w:vAlign w:val="center"/>
          </w:tcPr>
          <w:p>
            <w:pPr>
              <w:jc w:val="left"/>
            </w:pPr>
            <w:r>
              <w:rPr>
                <w:rFonts w:ascii="Aptos" w:hAnsi="Aptos"/>
                <w:sz w:val="16"/>
              </w:rPr>
              <w:t>Current pricing approval</w:t>
            </w:r>
          </w:p>
        </w:tc>
        <w:tc>
          <w:tcPr>
            <w:tcW w:type="dxa" w:w="3456"/>
            <w:tcMar>
              <w:top w:w="100" w:type="dxa"/>
              <w:start w:w="120" w:type="dxa"/>
              <w:bottom w:w="100" w:type="dxa"/>
              <w:end w:w="120" w:type="dxa"/>
            </w:tcMar>
            <w:vAlign w:val="center"/>
          </w:tcPr>
          <w:p>
            <w:pPr>
              <w:jc w:val="left"/>
            </w:pPr>
            <w:r>
              <w:rPr>
                <w:rFonts w:ascii="Aptos" w:hAnsi="Aptos"/>
                <w:sz w:val="16"/>
              </w:rPr>
              <w:t>All package/price statements</w:t>
            </w:r>
          </w:p>
        </w:tc>
        <w:tc>
          <w:tcPr>
            <w:tcW w:type="dxa" w:w="2376"/>
            <w:tcMar>
              <w:top w:w="100" w:type="dxa"/>
              <w:start w:w="120" w:type="dxa"/>
              <w:bottom w:w="100" w:type="dxa"/>
              <w:end w:w="120" w:type="dxa"/>
            </w:tcMar>
            <w:vAlign w:val="center"/>
          </w:tcPr>
          <w:p>
            <w:pPr>
              <w:jc w:val="left"/>
            </w:pPr>
            <w:r>
              <w:rPr>
                <w:rFonts w:ascii="Aptos" w:hAnsi="Aptos"/>
                <w:sz w:val="16"/>
              </w:rPr>
              <w:t>Human business approver</w:t>
            </w:r>
          </w:p>
        </w:tc>
        <w:tc>
          <w:tcPr>
            <w:tcW w:type="dxa" w:w="1152"/>
            <w:tcMar>
              <w:top w:w="100" w:type="dxa"/>
              <w:start w:w="120" w:type="dxa"/>
              <w:bottom w:w="100" w:type="dxa"/>
              <w:end w:w="120" w:type="dxa"/>
            </w:tcMar>
            <w:vAlign w:val="center"/>
          </w:tcPr>
          <w:p>
            <w:pPr>
              <w:jc w:val="left"/>
            </w:pPr>
            <w:r>
              <w:rPr>
                <w:rFonts w:ascii="Aptos" w:hAnsi="Aptos"/>
                <w:sz w:val="16"/>
              </w:rPr>
              <w:t>Required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ER-10</w:t>
            </w:r>
          </w:p>
        </w:tc>
        <w:tc>
          <w:tcPr>
            <w:tcW w:type="dxa" w:w="2376"/>
            <w:tcMar>
              <w:top w:w="100" w:type="dxa"/>
              <w:start w:w="120" w:type="dxa"/>
              <w:bottom w:w="100" w:type="dxa"/>
              <w:end w:w="120" w:type="dxa"/>
            </w:tcMar>
            <w:vAlign w:val="center"/>
          </w:tcPr>
          <w:p>
            <w:pPr>
              <w:jc w:val="left"/>
            </w:pPr>
            <w:r>
              <w:rPr>
                <w:rFonts w:ascii="Aptos" w:hAnsi="Aptos"/>
                <w:sz w:val="16"/>
              </w:rPr>
              <w:t>Weather contingency policy</w:t>
            </w:r>
          </w:p>
        </w:tc>
        <w:tc>
          <w:tcPr>
            <w:tcW w:type="dxa" w:w="3456"/>
            <w:tcMar>
              <w:top w:w="100" w:type="dxa"/>
              <w:start w:w="120" w:type="dxa"/>
              <w:bottom w:w="100" w:type="dxa"/>
              <w:end w:w="120" w:type="dxa"/>
            </w:tcMar>
            <w:vAlign w:val="center"/>
          </w:tcPr>
          <w:p>
            <w:pPr>
              <w:jc w:val="left"/>
            </w:pPr>
            <w:r>
              <w:rPr>
                <w:rFonts w:ascii="Aptos" w:hAnsi="Aptos"/>
                <w:sz w:val="16"/>
              </w:rPr>
              <w:t>Indoor/outdoor limitations and fallback process</w:t>
            </w:r>
          </w:p>
        </w:tc>
        <w:tc>
          <w:tcPr>
            <w:tcW w:type="dxa" w:w="2376"/>
            <w:tcMar>
              <w:top w:w="100" w:type="dxa"/>
              <w:start w:w="120" w:type="dxa"/>
              <w:bottom w:w="100" w:type="dxa"/>
              <w:end w:w="120" w:type="dxa"/>
            </w:tcMar>
            <w:vAlign w:val="center"/>
          </w:tcPr>
          <w:p>
            <w:pPr>
              <w:jc w:val="left"/>
            </w:pPr>
            <w:r>
              <w:rPr>
                <w:rFonts w:ascii="Aptos" w:hAnsi="Aptos"/>
                <w:sz w:val="16"/>
              </w:rPr>
              <w:t>Operations</w:t>
            </w:r>
          </w:p>
        </w:tc>
        <w:tc>
          <w:tcPr>
            <w:tcW w:type="dxa" w:w="1152"/>
            <w:tcMar>
              <w:top w:w="100" w:type="dxa"/>
              <w:start w:w="120" w:type="dxa"/>
              <w:bottom w:w="100" w:type="dxa"/>
              <w:end w:w="120" w:type="dxa"/>
            </w:tcMar>
            <w:vAlign w:val="center"/>
          </w:tcPr>
          <w:p>
            <w:pPr>
              <w:jc w:val="left"/>
            </w:pPr>
            <w:r>
              <w:rPr>
                <w:rFonts w:ascii="Aptos" w:hAnsi="Aptos"/>
                <w:sz w:val="16"/>
              </w:rPr>
              <w:t>Required if mentioned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ER-11</w:t>
            </w:r>
          </w:p>
        </w:tc>
        <w:tc>
          <w:tcPr>
            <w:tcW w:type="dxa" w:w="2376"/>
            <w:tcMar>
              <w:top w:w="100" w:type="dxa"/>
              <w:start w:w="120" w:type="dxa"/>
              <w:bottom w:w="100" w:type="dxa"/>
              <w:end w:w="120" w:type="dxa"/>
            </w:tcMar>
            <w:vAlign w:val="center"/>
          </w:tcPr>
          <w:p>
            <w:pPr>
              <w:jc w:val="left"/>
            </w:pPr>
            <w:r>
              <w:rPr>
                <w:rFonts w:ascii="Aptos" w:hAnsi="Aptos"/>
                <w:sz w:val="16"/>
              </w:rPr>
              <w:t>Optional food/venue coordination rules</w:t>
            </w:r>
          </w:p>
        </w:tc>
        <w:tc>
          <w:tcPr>
            <w:tcW w:type="dxa" w:w="3456"/>
            <w:tcMar>
              <w:top w:w="100" w:type="dxa"/>
              <w:start w:w="120" w:type="dxa"/>
              <w:bottom w:w="100" w:type="dxa"/>
              <w:end w:w="120" w:type="dxa"/>
            </w:tcMar>
            <w:vAlign w:val="center"/>
          </w:tcPr>
          <w:p>
            <w:pPr>
              <w:jc w:val="left"/>
            </w:pPr>
            <w:r>
              <w:rPr>
                <w:rFonts w:ascii="Aptos" w:hAnsi="Aptos"/>
                <w:sz w:val="16"/>
              </w:rPr>
              <w:t>What is offered, who supplies it, partner/private venue distinctions</w:t>
            </w:r>
          </w:p>
        </w:tc>
        <w:tc>
          <w:tcPr>
            <w:tcW w:type="dxa" w:w="2376"/>
            <w:tcMar>
              <w:top w:w="100" w:type="dxa"/>
              <w:start w:w="120" w:type="dxa"/>
              <w:bottom w:w="100" w:type="dxa"/>
              <w:end w:w="120" w:type="dxa"/>
            </w:tcMar>
            <w:vAlign w:val="center"/>
          </w:tcPr>
          <w:p>
            <w:pPr>
              <w:jc w:val="left"/>
            </w:pPr>
            <w:r>
              <w:rPr>
                <w:rFonts w:ascii="Aptos" w:hAnsi="Aptos"/>
                <w:sz w:val="16"/>
              </w:rPr>
              <w:t>Business/operations owner</w:t>
            </w:r>
          </w:p>
        </w:tc>
        <w:tc>
          <w:tcPr>
            <w:tcW w:type="dxa" w:w="1152"/>
            <w:tcMar>
              <w:top w:w="100" w:type="dxa"/>
              <w:start w:w="120" w:type="dxa"/>
              <w:bottom w:w="100" w:type="dxa"/>
              <w:end w:w="120" w:type="dxa"/>
            </w:tcMar>
            <w:vAlign w:val="center"/>
          </w:tcPr>
          <w:p>
            <w:pPr>
              <w:jc w:val="left"/>
            </w:pPr>
            <w:r>
              <w:rPr>
                <w:rFonts w:ascii="Aptos" w:hAnsi="Aptos"/>
                <w:sz w:val="16"/>
              </w:rPr>
              <w:t>Required if mentioned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ER-12</w:t>
            </w:r>
          </w:p>
        </w:tc>
        <w:tc>
          <w:tcPr>
            <w:tcW w:type="dxa" w:w="2376"/>
            <w:tcMar>
              <w:top w:w="100" w:type="dxa"/>
              <w:start w:w="120" w:type="dxa"/>
              <w:bottom w:w="100" w:type="dxa"/>
              <w:end w:w="120" w:type="dxa"/>
            </w:tcMar>
            <w:vAlign w:val="center"/>
          </w:tcPr>
          <w:p>
            <w:pPr>
              <w:jc w:val="left"/>
            </w:pPr>
            <w:r>
              <w:rPr>
                <w:rFonts w:ascii="Aptos" w:hAnsi="Aptos"/>
                <w:sz w:val="16"/>
              </w:rPr>
              <w:t>Original house-party photos</w:t>
            </w:r>
          </w:p>
        </w:tc>
        <w:tc>
          <w:tcPr>
            <w:tcW w:type="dxa" w:w="3456"/>
            <w:tcMar>
              <w:top w:w="100" w:type="dxa"/>
              <w:start w:w="120" w:type="dxa"/>
              <w:bottom w:w="100" w:type="dxa"/>
              <w:end w:w="120" w:type="dxa"/>
            </w:tcMar>
            <w:vAlign w:val="center"/>
          </w:tcPr>
          <w:p>
            <w:pPr>
              <w:jc w:val="left"/>
            </w:pPr>
            <w:r>
              <w:rPr>
                <w:rFonts w:ascii="Aptos" w:hAnsi="Aptos"/>
                <w:sz w:val="16"/>
              </w:rPr>
              <w:t>Visual proof relevant to the actual service</w:t>
            </w:r>
          </w:p>
        </w:tc>
        <w:tc>
          <w:tcPr>
            <w:tcW w:type="dxa" w:w="2376"/>
            <w:tcMar>
              <w:top w:w="100" w:type="dxa"/>
              <w:start w:w="120" w:type="dxa"/>
              <w:bottom w:w="100" w:type="dxa"/>
              <w:end w:w="120" w:type="dxa"/>
            </w:tcMar>
            <w:vAlign w:val="center"/>
          </w:tcPr>
          <w:p>
            <w:pPr>
              <w:jc w:val="left"/>
            </w:pPr>
            <w:r>
              <w:rPr>
                <w:rFonts w:ascii="Aptos" w:hAnsi="Aptos"/>
                <w:sz w:val="16"/>
              </w:rPr>
              <w:t>Content/brand asset owner</w:t>
            </w:r>
          </w:p>
        </w:tc>
        <w:tc>
          <w:tcPr>
            <w:tcW w:type="dxa" w:w="1152"/>
            <w:tcMar>
              <w:top w:w="100" w:type="dxa"/>
              <w:start w:w="120" w:type="dxa"/>
              <w:bottom w:w="100" w:type="dxa"/>
              <w:end w:w="120" w:type="dxa"/>
            </w:tcMar>
            <w:vAlign w:val="center"/>
          </w:tcPr>
          <w:p>
            <w:pPr>
              <w:jc w:val="left"/>
            </w:pPr>
            <w:r>
              <w:rPr>
                <w:rFonts w:ascii="Aptos" w:hAnsi="Aptos"/>
                <w:sz w:val="16"/>
              </w:rPr>
              <w:t>Required for planned module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ER-13</w:t>
            </w:r>
          </w:p>
        </w:tc>
        <w:tc>
          <w:tcPr>
            <w:tcW w:type="dxa" w:w="2376"/>
            <w:tcMar>
              <w:top w:w="100" w:type="dxa"/>
              <w:start w:w="120" w:type="dxa"/>
              <w:bottom w:w="100" w:type="dxa"/>
              <w:end w:w="120" w:type="dxa"/>
            </w:tcMar>
            <w:vAlign w:val="center"/>
          </w:tcPr>
          <w:p>
            <w:pPr>
              <w:jc w:val="left"/>
            </w:pPr>
            <w:r>
              <w:rPr>
                <w:rFonts w:ascii="Aptos" w:hAnsi="Aptos"/>
                <w:sz w:val="16"/>
              </w:rPr>
              <w:t>House-party customer quotes/testimonials</w:t>
            </w:r>
          </w:p>
        </w:tc>
        <w:tc>
          <w:tcPr>
            <w:tcW w:type="dxa" w:w="3456"/>
            <w:tcMar>
              <w:top w:w="100" w:type="dxa"/>
              <w:start w:w="120" w:type="dxa"/>
              <w:bottom w:w="100" w:type="dxa"/>
              <w:end w:w="120" w:type="dxa"/>
            </w:tcMar>
            <w:vAlign w:val="center"/>
          </w:tcPr>
          <w:p>
            <w:pPr>
              <w:jc w:val="left"/>
            </w:pPr>
            <w:r>
              <w:rPr>
                <w:rFonts w:ascii="Aptos" w:hAnsi="Aptos"/>
                <w:sz w:val="16"/>
              </w:rPr>
              <w:t>Authenticity, relevance, permission/consent</w:t>
            </w:r>
          </w:p>
        </w:tc>
        <w:tc>
          <w:tcPr>
            <w:tcW w:type="dxa" w:w="2376"/>
            <w:tcMar>
              <w:top w:w="100" w:type="dxa"/>
              <w:start w:w="120" w:type="dxa"/>
              <w:bottom w:w="100" w:type="dxa"/>
              <w:end w:w="120" w:type="dxa"/>
            </w:tcMar>
            <w:vAlign w:val="center"/>
          </w:tcPr>
          <w:p>
            <w:pPr>
              <w:jc w:val="left"/>
            </w:pPr>
            <w:r>
              <w:rPr>
                <w:rFonts w:ascii="Aptos" w:hAnsi="Aptos"/>
                <w:sz w:val="16"/>
              </w:rPr>
              <w:t>Content/brand asset owner</w:t>
            </w:r>
          </w:p>
        </w:tc>
        <w:tc>
          <w:tcPr>
            <w:tcW w:type="dxa" w:w="1152"/>
            <w:tcMar>
              <w:top w:w="100" w:type="dxa"/>
              <w:start w:w="120" w:type="dxa"/>
              <w:bottom w:w="100" w:type="dxa"/>
              <w:end w:w="120" w:type="dxa"/>
            </w:tcMar>
            <w:vAlign w:val="center"/>
          </w:tcPr>
          <w:p>
            <w:pPr>
              <w:jc w:val="left"/>
            </w:pPr>
            <w:r>
              <w:rPr>
                <w:rFonts w:ascii="Aptos" w:hAnsi="Aptos"/>
                <w:sz w:val="16"/>
              </w:rPr>
              <w:t>Required for planned module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ER-14</w:t>
            </w:r>
          </w:p>
        </w:tc>
        <w:tc>
          <w:tcPr>
            <w:tcW w:type="dxa" w:w="2376"/>
            <w:tcMar>
              <w:top w:w="100" w:type="dxa"/>
              <w:start w:w="120" w:type="dxa"/>
              <w:bottom w:w="100" w:type="dxa"/>
              <w:end w:w="120" w:type="dxa"/>
            </w:tcMar>
            <w:vAlign w:val="center"/>
          </w:tcPr>
          <w:p>
            <w:pPr>
              <w:jc w:val="left"/>
            </w:pPr>
            <w:r>
              <w:rPr>
                <w:rFonts w:ascii="Aptos" w:hAnsi="Aptos"/>
                <w:sz w:val="16"/>
              </w:rPr>
              <w:t>Availability response standard</w:t>
            </w:r>
          </w:p>
        </w:tc>
        <w:tc>
          <w:tcPr>
            <w:tcW w:type="dxa" w:w="3456"/>
            <w:tcMar>
              <w:top w:w="100" w:type="dxa"/>
              <w:start w:w="120" w:type="dxa"/>
              <w:bottom w:w="100" w:type="dxa"/>
              <w:end w:w="120" w:type="dxa"/>
            </w:tcMar>
            <w:vAlign w:val="center"/>
          </w:tcPr>
          <w:p>
            <w:pPr>
              <w:jc w:val="left"/>
            </w:pPr>
            <w:r>
              <w:rPr>
                <w:rFonts w:ascii="Aptos" w:hAnsi="Aptos"/>
                <w:sz w:val="16"/>
              </w:rPr>
              <w:t>Any response-time promise</w:t>
            </w:r>
          </w:p>
        </w:tc>
        <w:tc>
          <w:tcPr>
            <w:tcW w:type="dxa" w:w="2376"/>
            <w:tcMar>
              <w:top w:w="100" w:type="dxa"/>
              <w:start w:w="120" w:type="dxa"/>
              <w:bottom w:w="100" w:type="dxa"/>
              <w:end w:w="120" w:type="dxa"/>
            </w:tcMar>
            <w:vAlign w:val="center"/>
          </w:tcPr>
          <w:p>
            <w:pPr>
              <w:jc w:val="left"/>
            </w:pPr>
            <w:r>
              <w:rPr>
                <w:rFonts w:ascii="Aptos" w:hAnsi="Aptos"/>
                <w:sz w:val="16"/>
              </w:rPr>
              <w:t>Operations/customer-service owner</w:t>
            </w:r>
          </w:p>
        </w:tc>
        <w:tc>
          <w:tcPr>
            <w:tcW w:type="dxa" w:w="1152"/>
            <w:tcMar>
              <w:top w:w="100" w:type="dxa"/>
              <w:start w:w="120" w:type="dxa"/>
              <w:bottom w:w="100" w:type="dxa"/>
              <w:end w:w="120" w:type="dxa"/>
            </w:tcMar>
            <w:vAlign w:val="center"/>
          </w:tcPr>
          <w:p>
            <w:pPr>
              <w:jc w:val="left"/>
            </w:pPr>
            <w:r>
              <w:rPr>
                <w:rFonts w:ascii="Aptos" w:hAnsi="Aptos"/>
                <w:sz w:val="16"/>
              </w:rPr>
              <w:t>Required if promised</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ER-15</w:t>
            </w:r>
          </w:p>
        </w:tc>
        <w:tc>
          <w:tcPr>
            <w:tcW w:type="dxa" w:w="2376"/>
            <w:tcMar>
              <w:top w:w="100" w:type="dxa"/>
              <w:start w:w="120" w:type="dxa"/>
              <w:bottom w:w="100" w:type="dxa"/>
              <w:end w:w="120" w:type="dxa"/>
            </w:tcMar>
            <w:vAlign w:val="center"/>
          </w:tcPr>
          <w:p>
            <w:pPr>
              <w:jc w:val="left"/>
            </w:pPr>
            <w:r>
              <w:rPr>
                <w:rFonts w:ascii="Aptos" w:hAnsi="Aptos"/>
                <w:sz w:val="16"/>
              </w:rPr>
              <w:t>Experience catalogue/source</w:t>
            </w:r>
          </w:p>
        </w:tc>
        <w:tc>
          <w:tcPr>
            <w:tcW w:type="dxa" w:w="3456"/>
            <w:tcMar>
              <w:top w:w="100" w:type="dxa"/>
              <w:start w:w="120" w:type="dxa"/>
              <w:bottom w:w="100" w:type="dxa"/>
              <w:end w:w="120" w:type="dxa"/>
            </w:tcMar>
            <w:vAlign w:val="center"/>
          </w:tcPr>
          <w:p>
            <w:pPr>
              <w:jc w:val="left"/>
            </w:pPr>
            <w:r>
              <w:rPr>
                <w:rFonts w:ascii="Aptos" w:hAnsi="Aptos"/>
                <w:sz w:val="16"/>
              </w:rPr>
              <w:t>Game categories, suitability and delivery compatibility</w:t>
            </w:r>
          </w:p>
        </w:tc>
        <w:tc>
          <w:tcPr>
            <w:tcW w:type="dxa" w:w="2376"/>
            <w:tcMar>
              <w:top w:w="100" w:type="dxa"/>
              <w:start w:w="120" w:type="dxa"/>
              <w:bottom w:w="100" w:type="dxa"/>
              <w:end w:w="120" w:type="dxa"/>
            </w:tcMar>
            <w:vAlign w:val="center"/>
          </w:tcPr>
          <w:p>
            <w:pPr>
              <w:jc w:val="left"/>
            </w:pPr>
            <w:r>
              <w:rPr>
                <w:rFonts w:ascii="Aptos" w:hAnsi="Aptos"/>
                <w:sz w:val="16"/>
              </w:rPr>
              <w:t>EXP-001 / responsible content owner</w:t>
            </w:r>
          </w:p>
        </w:tc>
        <w:tc>
          <w:tcPr>
            <w:tcW w:type="dxa" w:w="1152"/>
            <w:tcMar>
              <w:top w:w="100" w:type="dxa"/>
              <w:start w:w="120" w:type="dxa"/>
              <w:bottom w:w="100" w:type="dxa"/>
              <w:end w:w="120" w:type="dxa"/>
            </w:tcMar>
            <w:vAlign w:val="center"/>
          </w:tcPr>
          <w:p>
            <w:pPr>
              <w:jc w:val="left"/>
            </w:pPr>
            <w:r>
              <w:rPr>
                <w:rFonts w:ascii="Aptos" w:hAnsi="Aptos"/>
                <w:sz w:val="16"/>
              </w:rPr>
              <w:t>Dependency</w:t>
            </w:r>
          </w:p>
        </w:tc>
      </w:tr>
    </w:tbl>
    <w:p>
      <w:pPr>
        <w:spacing w:after="0"/>
      </w:pPr>
    </w:p>
    <w:p>
      <w:pPr>
        <w:pStyle w:val="Heading1"/>
      </w:pPr>
      <w:r>
        <w:t>10. Claims Requiring Verification Before Use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951"/>
            <w:shd w:fill="D9E3F0"/>
            <w:tcMar>
              <w:top w:w="100" w:type="dxa"/>
              <w:start w:w="120" w:type="dxa"/>
              <w:bottom w:w="100" w:type="dxa"/>
              <w:end w:w="120" w:type="dxa"/>
            </w:tcMar>
            <w:vAlign w:val="center"/>
          </w:tcPr>
          <w:p>
            <w:pPr>
              <w:jc w:val="left"/>
            </w:pPr>
            <w:r>
              <w:rPr>
                <w:rFonts w:ascii="Aptos" w:hAnsi="Aptos"/>
                <w:b/>
                <w:sz w:val="18"/>
              </w:rPr>
              <w:t>Claim / claim type</w:t>
            </w:r>
          </w:p>
        </w:tc>
        <w:tc>
          <w:tcPr>
            <w:tcW w:type="dxa" w:w="4536"/>
            <w:shd w:fill="D9E3F0"/>
            <w:tcMar>
              <w:top w:w="100" w:type="dxa"/>
              <w:start w:w="120" w:type="dxa"/>
              <w:bottom w:w="100" w:type="dxa"/>
              <w:end w:w="120" w:type="dxa"/>
            </w:tcMar>
            <w:vAlign w:val="center"/>
          </w:tcPr>
          <w:p>
            <w:pPr>
              <w:jc w:val="left"/>
            </w:pPr>
            <w:r>
              <w:rPr>
                <w:rFonts w:ascii="Aptos" w:hAnsi="Aptos"/>
                <w:b/>
                <w:sz w:val="18"/>
              </w:rPr>
              <w:t>Verification required</w:t>
            </w:r>
          </w:p>
        </w:tc>
        <w:tc>
          <w:tcPr>
            <w:tcW w:type="dxa" w:w="2736"/>
            <w:shd w:fill="D9E3F0"/>
            <w:tcMar>
              <w:top w:w="100" w:type="dxa"/>
              <w:start w:w="120" w:type="dxa"/>
              <w:bottom w:w="100" w:type="dxa"/>
              <w:end w:w="120" w:type="dxa"/>
            </w:tcMar>
            <w:vAlign w:val="center"/>
          </w:tcPr>
          <w:p>
            <w:pPr>
              <w:jc w:val="left"/>
            </w:pPr>
            <w:r>
              <w:rPr>
                <w:rFonts w:ascii="Aptos" w:hAnsi="Aptos"/>
                <w:b/>
                <w:sz w:val="18"/>
              </w:rPr>
              <w:t>Required evidence</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“Fully hosted” / “complete” VR house party</w:t>
            </w:r>
          </w:p>
        </w:tc>
        <w:tc>
          <w:tcPr>
            <w:tcW w:type="dxa" w:w="4536"/>
            <w:tcMar>
              <w:top w:w="100" w:type="dxa"/>
              <w:start w:w="120" w:type="dxa"/>
              <w:bottom w:w="100" w:type="dxa"/>
              <w:end w:w="120" w:type="dxa"/>
            </w:tcMar>
            <w:vAlign w:val="center"/>
          </w:tcPr>
          <w:p>
            <w:pPr>
              <w:jc w:val="left"/>
            </w:pPr>
            <w:r>
              <w:rPr>
                <w:rFonts w:ascii="Aptos" w:hAnsi="Aptos"/>
                <w:sz w:val="16"/>
              </w:rPr>
              <w:t>Verify what hosting includes: staffing, onboarding, rotations, troubleshooting, supervision and pack-down.</w:t>
            </w:r>
          </w:p>
        </w:tc>
        <w:tc>
          <w:tcPr>
            <w:tcW w:type="dxa" w:w="2736"/>
            <w:tcMar>
              <w:top w:w="100" w:type="dxa"/>
              <w:start w:w="120" w:type="dxa"/>
              <w:bottom w:w="100" w:type="dxa"/>
              <w:end w:w="120" w:type="dxa"/>
            </w:tcMar>
            <w:vAlign w:val="center"/>
          </w:tcPr>
          <w:p>
            <w:pPr>
              <w:jc w:val="left"/>
            </w:pPr>
            <w:r>
              <w:rPr>
                <w:rFonts w:ascii="Aptos" w:hAnsi="Aptos"/>
                <w:sz w:val="16"/>
              </w:rPr>
              <w:t>Current package + operations definition</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“We bring equipment/headsets”</w:t>
            </w:r>
          </w:p>
        </w:tc>
        <w:tc>
          <w:tcPr>
            <w:tcW w:type="dxa" w:w="4536"/>
            <w:tcMar>
              <w:top w:w="100" w:type="dxa"/>
              <w:start w:w="120" w:type="dxa"/>
              <w:bottom w:w="100" w:type="dxa"/>
              <w:end w:w="120" w:type="dxa"/>
            </w:tcMar>
            <w:vAlign w:val="center"/>
          </w:tcPr>
          <w:p>
            <w:pPr>
              <w:jc w:val="left"/>
            </w:pPr>
            <w:r>
              <w:rPr>
                <w:rFonts w:ascii="Aptos" w:hAnsi="Aptos"/>
                <w:sz w:val="16"/>
              </w:rPr>
              <w:t>Verify equipment included and any customer-provided requirements.</w:t>
            </w:r>
          </w:p>
        </w:tc>
        <w:tc>
          <w:tcPr>
            <w:tcW w:type="dxa" w:w="2736"/>
            <w:tcMar>
              <w:top w:w="100" w:type="dxa"/>
              <w:start w:w="120" w:type="dxa"/>
              <w:bottom w:w="100" w:type="dxa"/>
              <w:end w:w="120" w:type="dxa"/>
            </w:tcMar>
            <w:vAlign w:val="center"/>
          </w:tcPr>
          <w:p>
            <w:pPr>
              <w:jc w:val="left"/>
            </w:pPr>
            <w:r>
              <w:rPr>
                <w:rFonts w:ascii="Aptos" w:hAnsi="Aptos"/>
                <w:sz w:val="16"/>
              </w:rPr>
              <w:t>Package sheet + equipment allocation</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“Supervised” / host-supported activity</w:t>
            </w:r>
          </w:p>
        </w:tc>
        <w:tc>
          <w:tcPr>
            <w:tcW w:type="dxa" w:w="4536"/>
            <w:tcMar>
              <w:top w:w="100" w:type="dxa"/>
              <w:start w:w="120" w:type="dxa"/>
              <w:bottom w:w="100" w:type="dxa"/>
              <w:end w:w="120" w:type="dxa"/>
            </w:tcMar>
            <w:vAlign w:val="center"/>
          </w:tcPr>
          <w:p>
            <w:pPr>
              <w:jc w:val="left"/>
            </w:pPr>
            <w:r>
              <w:rPr>
                <w:rFonts w:ascii="Aptos" w:hAnsi="Aptos"/>
                <w:sz w:val="16"/>
              </w:rPr>
              <w:t>Verify supervision model, host-to-player expectations and limits.</w:t>
            </w:r>
          </w:p>
        </w:tc>
        <w:tc>
          <w:tcPr>
            <w:tcW w:type="dxa" w:w="2736"/>
            <w:tcMar>
              <w:top w:w="100" w:type="dxa"/>
              <w:start w:w="120" w:type="dxa"/>
              <w:bottom w:w="100" w:type="dxa"/>
              <w:end w:w="120" w:type="dxa"/>
            </w:tcMar>
            <w:vAlign w:val="center"/>
          </w:tcPr>
          <w:p>
            <w:pPr>
              <w:jc w:val="left"/>
            </w:pPr>
            <w:r>
              <w:rPr>
                <w:rFonts w:ascii="Aptos" w:hAnsi="Aptos"/>
                <w:sz w:val="16"/>
              </w:rPr>
              <w:t>Operations/safety process</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Age suitability statements</w:t>
            </w:r>
          </w:p>
        </w:tc>
        <w:tc>
          <w:tcPr>
            <w:tcW w:type="dxa" w:w="4536"/>
            <w:tcMar>
              <w:top w:w="100" w:type="dxa"/>
              <w:start w:w="120" w:type="dxa"/>
              <w:bottom w:w="100" w:type="dxa"/>
              <w:end w:w="120" w:type="dxa"/>
            </w:tcMar>
            <w:vAlign w:val="center"/>
          </w:tcPr>
          <w:p>
            <w:pPr>
              <w:jc w:val="left"/>
            </w:pPr>
            <w:r>
              <w:rPr>
                <w:rFonts w:ascii="Aptos" w:hAnsi="Aptos"/>
                <w:sz w:val="16"/>
              </w:rPr>
              <w:t>Verify current minimum age and game-specific limits.</w:t>
            </w:r>
          </w:p>
        </w:tc>
        <w:tc>
          <w:tcPr>
            <w:tcW w:type="dxa" w:w="2736"/>
            <w:tcMar>
              <w:top w:w="100" w:type="dxa"/>
              <w:start w:w="120" w:type="dxa"/>
              <w:bottom w:w="100" w:type="dxa"/>
              <w:end w:w="120" w:type="dxa"/>
            </w:tcMar>
            <w:vAlign w:val="center"/>
          </w:tcPr>
          <w:p>
            <w:pPr>
              <w:jc w:val="left"/>
            </w:pPr>
            <w:r>
              <w:rPr>
                <w:rFonts w:ascii="Aptos" w:hAnsi="Aptos"/>
                <w:sz w:val="16"/>
              </w:rPr>
              <w:t>Approved age/game-suitability policy</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Minimum/maximum group statements</w:t>
            </w:r>
          </w:p>
        </w:tc>
        <w:tc>
          <w:tcPr>
            <w:tcW w:type="dxa" w:w="4536"/>
            <w:tcMar>
              <w:top w:w="100" w:type="dxa"/>
              <w:start w:w="120" w:type="dxa"/>
              <w:bottom w:w="100" w:type="dxa"/>
              <w:end w:w="120" w:type="dxa"/>
            </w:tcMar>
            <w:vAlign w:val="center"/>
          </w:tcPr>
          <w:p>
            <w:pPr>
              <w:jc w:val="left"/>
            </w:pPr>
            <w:r>
              <w:rPr>
                <w:rFonts w:ascii="Aptos" w:hAnsi="Aptos"/>
                <w:sz w:val="16"/>
              </w:rPr>
              <w:t>Verify package/capacity rules and any venue/space dependence.</w:t>
            </w:r>
          </w:p>
        </w:tc>
        <w:tc>
          <w:tcPr>
            <w:tcW w:type="dxa" w:w="2736"/>
            <w:tcMar>
              <w:top w:w="100" w:type="dxa"/>
              <w:start w:w="120" w:type="dxa"/>
              <w:bottom w:w="100" w:type="dxa"/>
              <w:end w:w="120" w:type="dxa"/>
            </w:tcMar>
            <w:vAlign w:val="center"/>
          </w:tcPr>
          <w:p>
            <w:pPr>
              <w:jc w:val="left"/>
            </w:pPr>
            <w:r>
              <w:rPr>
                <w:rFonts w:ascii="Aptos" w:hAnsi="Aptos"/>
                <w:sz w:val="16"/>
              </w:rPr>
              <w:t>Package/capacity rules</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Rotation timing or format</w:t>
            </w:r>
          </w:p>
        </w:tc>
        <w:tc>
          <w:tcPr>
            <w:tcW w:type="dxa" w:w="4536"/>
            <w:tcMar>
              <w:top w:w="100" w:type="dxa"/>
              <w:start w:w="120" w:type="dxa"/>
              <w:bottom w:w="100" w:type="dxa"/>
              <w:end w:w="120" w:type="dxa"/>
            </w:tcMar>
            <w:vAlign w:val="center"/>
          </w:tcPr>
          <w:p>
            <w:pPr>
              <w:jc w:val="left"/>
            </w:pPr>
            <w:r>
              <w:rPr>
                <w:rFonts w:ascii="Aptos" w:hAnsi="Aptos"/>
                <w:sz w:val="16"/>
              </w:rPr>
              <w:t>Verify headset count, session duration and operational rotation model.</w:t>
            </w:r>
          </w:p>
        </w:tc>
        <w:tc>
          <w:tcPr>
            <w:tcW w:type="dxa" w:w="2736"/>
            <w:tcMar>
              <w:top w:w="100" w:type="dxa"/>
              <w:start w:w="120" w:type="dxa"/>
              <w:bottom w:w="100" w:type="dxa"/>
              <w:end w:w="120" w:type="dxa"/>
            </w:tcMar>
            <w:vAlign w:val="center"/>
          </w:tcPr>
          <w:p>
            <w:pPr>
              <w:jc w:val="left"/>
            </w:pPr>
            <w:r>
              <w:rPr>
                <w:rFonts w:ascii="Aptos" w:hAnsi="Aptos"/>
                <w:sz w:val="16"/>
              </w:rPr>
              <w:t>Operations/run sheet</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Space requirements</w:t>
            </w:r>
          </w:p>
        </w:tc>
        <w:tc>
          <w:tcPr>
            <w:tcW w:type="dxa" w:w="4536"/>
            <w:tcMar>
              <w:top w:w="100" w:type="dxa"/>
              <w:start w:w="120" w:type="dxa"/>
              <w:bottom w:w="100" w:type="dxa"/>
              <w:end w:w="120" w:type="dxa"/>
            </w:tcMar>
            <w:vAlign w:val="center"/>
          </w:tcPr>
          <w:p>
            <w:pPr>
              <w:jc w:val="left"/>
            </w:pPr>
            <w:r>
              <w:rPr>
                <w:rFonts w:ascii="Aptos" w:hAnsi="Aptos"/>
                <w:sz w:val="16"/>
              </w:rPr>
              <w:t>Verify minimum dimensions/conditions and how suitability is assessed.</w:t>
            </w:r>
          </w:p>
        </w:tc>
        <w:tc>
          <w:tcPr>
            <w:tcW w:type="dxa" w:w="2736"/>
            <w:tcMar>
              <w:top w:w="100" w:type="dxa"/>
              <w:start w:w="120" w:type="dxa"/>
              <w:bottom w:w="100" w:type="dxa"/>
              <w:end w:w="120" w:type="dxa"/>
            </w:tcMar>
            <w:vAlign w:val="center"/>
          </w:tcPr>
          <w:p>
            <w:pPr>
              <w:jc w:val="left"/>
            </w:pPr>
            <w:r>
              <w:rPr>
                <w:rFonts w:ascii="Aptos" w:hAnsi="Aptos"/>
                <w:sz w:val="16"/>
              </w:rPr>
              <w:t>Safety/operations guidance</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Safety claims</w:t>
            </w:r>
          </w:p>
        </w:tc>
        <w:tc>
          <w:tcPr>
            <w:tcW w:type="dxa" w:w="4536"/>
            <w:tcMar>
              <w:top w:w="100" w:type="dxa"/>
              <w:start w:w="120" w:type="dxa"/>
              <w:bottom w:w="100" w:type="dxa"/>
              <w:end w:w="120" w:type="dxa"/>
            </w:tcMar>
            <w:vAlign w:val="center"/>
          </w:tcPr>
          <w:p>
            <w:pPr>
              <w:jc w:val="left"/>
            </w:pPr>
            <w:r>
              <w:rPr>
                <w:rFonts w:ascii="Aptos" w:hAnsi="Aptos"/>
                <w:sz w:val="16"/>
              </w:rPr>
              <w:t>Verify exact controls; avoid general “safe” claims without approved basis.</w:t>
            </w:r>
          </w:p>
        </w:tc>
        <w:tc>
          <w:tcPr>
            <w:tcW w:type="dxa" w:w="2736"/>
            <w:tcMar>
              <w:top w:w="100" w:type="dxa"/>
              <w:start w:w="120" w:type="dxa"/>
              <w:bottom w:w="100" w:type="dxa"/>
              <w:end w:w="120" w:type="dxa"/>
            </w:tcMar>
            <w:vAlign w:val="center"/>
          </w:tcPr>
          <w:p>
            <w:pPr>
              <w:jc w:val="left"/>
            </w:pPr>
            <w:r>
              <w:rPr>
                <w:rFonts w:ascii="Aptos" w:hAnsi="Aptos"/>
                <w:sz w:val="16"/>
              </w:rPr>
              <w:t>Approved safety process</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Public liability claims</w:t>
            </w:r>
          </w:p>
        </w:tc>
        <w:tc>
          <w:tcPr>
            <w:tcW w:type="dxa" w:w="4536"/>
            <w:tcMar>
              <w:top w:w="100" w:type="dxa"/>
              <w:start w:w="120" w:type="dxa"/>
              <w:bottom w:w="100" w:type="dxa"/>
              <w:end w:w="120" w:type="dxa"/>
            </w:tcMar>
            <w:vAlign w:val="center"/>
          </w:tcPr>
          <w:p>
            <w:pPr>
              <w:jc w:val="left"/>
            </w:pPr>
            <w:r>
              <w:rPr>
                <w:rFonts w:ascii="Aptos" w:hAnsi="Aptos"/>
                <w:sz w:val="16"/>
              </w:rPr>
              <w:t>Verify current coverage and approved wording.</w:t>
            </w:r>
          </w:p>
        </w:tc>
        <w:tc>
          <w:tcPr>
            <w:tcW w:type="dxa" w:w="2736"/>
            <w:tcMar>
              <w:top w:w="100" w:type="dxa"/>
              <w:start w:w="120" w:type="dxa"/>
              <w:bottom w:w="100" w:type="dxa"/>
              <w:end w:w="120" w:type="dxa"/>
            </w:tcMar>
            <w:vAlign w:val="center"/>
          </w:tcPr>
          <w:p>
            <w:pPr>
              <w:jc w:val="left"/>
            </w:pPr>
            <w:r>
              <w:rPr>
                <w:rFonts w:ascii="Aptos" w:hAnsi="Aptos"/>
                <w:sz w:val="16"/>
              </w:rPr>
              <w:t>Current public-liability evidence</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Power/Wi-Fi/offline statements</w:t>
            </w:r>
          </w:p>
        </w:tc>
        <w:tc>
          <w:tcPr>
            <w:tcW w:type="dxa" w:w="4536"/>
            <w:tcMar>
              <w:top w:w="100" w:type="dxa"/>
              <w:start w:w="120" w:type="dxa"/>
              <w:bottom w:w="100" w:type="dxa"/>
              <w:end w:w="120" w:type="dxa"/>
            </w:tcMar>
            <w:vAlign w:val="center"/>
          </w:tcPr>
          <w:p>
            <w:pPr>
              <w:jc w:val="left"/>
            </w:pPr>
            <w:r>
              <w:rPr>
                <w:rFonts w:ascii="Aptos" w:hAnsi="Aptos"/>
                <w:sz w:val="16"/>
              </w:rPr>
              <w:t>Verify power load, connectivity need and fallback.</w:t>
            </w:r>
          </w:p>
        </w:tc>
        <w:tc>
          <w:tcPr>
            <w:tcW w:type="dxa" w:w="2736"/>
            <w:tcMar>
              <w:top w:w="100" w:type="dxa"/>
              <w:start w:w="120" w:type="dxa"/>
              <w:bottom w:w="100" w:type="dxa"/>
              <w:end w:w="120" w:type="dxa"/>
            </w:tcMar>
            <w:vAlign w:val="center"/>
          </w:tcPr>
          <w:p>
            <w:pPr>
              <w:jc w:val="left"/>
            </w:pPr>
            <w:r>
              <w:rPr>
                <w:rFonts w:ascii="Aptos" w:hAnsi="Aptos"/>
                <w:sz w:val="16"/>
              </w:rPr>
              <w:t>Technical/operations requirements</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Setup/pack-down times</w:t>
            </w:r>
          </w:p>
        </w:tc>
        <w:tc>
          <w:tcPr>
            <w:tcW w:type="dxa" w:w="4536"/>
            <w:tcMar>
              <w:top w:w="100" w:type="dxa"/>
              <w:start w:w="120" w:type="dxa"/>
              <w:bottom w:w="100" w:type="dxa"/>
              <w:end w:w="120" w:type="dxa"/>
            </w:tcMar>
            <w:vAlign w:val="center"/>
          </w:tcPr>
          <w:p>
            <w:pPr>
              <w:jc w:val="left"/>
            </w:pPr>
            <w:r>
              <w:rPr>
                <w:rFonts w:ascii="Aptos" w:hAnsi="Aptos"/>
                <w:sz w:val="16"/>
              </w:rPr>
              <w:t>Verify realistic operating times and factors that alter them.</w:t>
            </w:r>
          </w:p>
        </w:tc>
        <w:tc>
          <w:tcPr>
            <w:tcW w:type="dxa" w:w="2736"/>
            <w:tcMar>
              <w:top w:w="100" w:type="dxa"/>
              <w:start w:w="120" w:type="dxa"/>
              <w:bottom w:w="100" w:type="dxa"/>
              <w:end w:w="120" w:type="dxa"/>
            </w:tcMar>
            <w:vAlign w:val="center"/>
          </w:tcPr>
          <w:p>
            <w:pPr>
              <w:jc w:val="left"/>
            </w:pPr>
            <w:r>
              <w:rPr>
                <w:rFonts w:ascii="Aptos" w:hAnsi="Aptos"/>
                <w:sz w:val="16"/>
              </w:rPr>
              <w:t>Operations/run sheet</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Weather contingency</w:t>
            </w:r>
          </w:p>
        </w:tc>
        <w:tc>
          <w:tcPr>
            <w:tcW w:type="dxa" w:w="4536"/>
            <w:tcMar>
              <w:top w:w="100" w:type="dxa"/>
              <w:start w:w="120" w:type="dxa"/>
              <w:bottom w:w="100" w:type="dxa"/>
              <w:end w:w="120" w:type="dxa"/>
            </w:tcMar>
            <w:vAlign w:val="center"/>
          </w:tcPr>
          <w:p>
            <w:pPr>
              <w:jc w:val="left"/>
            </w:pPr>
            <w:r>
              <w:rPr>
                <w:rFonts w:ascii="Aptos" w:hAnsi="Aptos"/>
                <w:sz w:val="16"/>
              </w:rPr>
              <w:t>Verify what happens for outdoor/space/weather constraints.</w:t>
            </w:r>
          </w:p>
        </w:tc>
        <w:tc>
          <w:tcPr>
            <w:tcW w:type="dxa" w:w="2736"/>
            <w:tcMar>
              <w:top w:w="100" w:type="dxa"/>
              <w:start w:w="120" w:type="dxa"/>
              <w:bottom w:w="100" w:type="dxa"/>
              <w:end w:w="120" w:type="dxa"/>
            </w:tcMar>
            <w:vAlign w:val="center"/>
          </w:tcPr>
          <w:p>
            <w:pPr>
              <w:jc w:val="left"/>
            </w:pPr>
            <w:r>
              <w:rPr>
                <w:rFonts w:ascii="Aptos" w:hAnsi="Aptos"/>
                <w:sz w:val="16"/>
              </w:rPr>
              <w:t>Approved contingency policy</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Service area / travel fee</w:t>
            </w:r>
          </w:p>
        </w:tc>
        <w:tc>
          <w:tcPr>
            <w:tcW w:type="dxa" w:w="4536"/>
            <w:tcMar>
              <w:top w:w="100" w:type="dxa"/>
              <w:start w:w="120" w:type="dxa"/>
              <w:bottom w:w="100" w:type="dxa"/>
              <w:end w:w="120" w:type="dxa"/>
            </w:tcMar>
            <w:vAlign w:val="center"/>
          </w:tcPr>
          <w:p>
            <w:pPr>
              <w:jc w:val="left"/>
            </w:pPr>
            <w:r>
              <w:rPr>
                <w:rFonts w:ascii="Aptos" w:hAnsi="Aptos"/>
                <w:sz w:val="16"/>
              </w:rPr>
              <w:t>Verify current location eligibility and fee rules.</w:t>
            </w:r>
          </w:p>
        </w:tc>
        <w:tc>
          <w:tcPr>
            <w:tcW w:type="dxa" w:w="2736"/>
            <w:tcMar>
              <w:top w:w="100" w:type="dxa"/>
              <w:start w:w="120" w:type="dxa"/>
              <w:bottom w:w="100" w:type="dxa"/>
              <w:end w:w="120" w:type="dxa"/>
            </w:tcMar>
            <w:vAlign w:val="center"/>
          </w:tcPr>
          <w:p>
            <w:pPr>
              <w:jc w:val="left"/>
            </w:pPr>
            <w:r>
              <w:rPr>
                <w:rFonts w:ascii="Aptos" w:hAnsi="Aptos"/>
                <w:sz w:val="16"/>
              </w:rPr>
              <w:t>Service map/travel policy</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Pricing / package inclusions</w:t>
            </w:r>
          </w:p>
        </w:tc>
        <w:tc>
          <w:tcPr>
            <w:tcW w:type="dxa" w:w="4536"/>
            <w:tcMar>
              <w:top w:w="100" w:type="dxa"/>
              <w:start w:w="120" w:type="dxa"/>
              <w:bottom w:w="100" w:type="dxa"/>
              <w:end w:w="120" w:type="dxa"/>
            </w:tcMar>
            <w:vAlign w:val="center"/>
          </w:tcPr>
          <w:p>
            <w:pPr>
              <w:jc w:val="left"/>
            </w:pPr>
            <w:r>
              <w:rPr>
                <w:rFonts w:ascii="Aptos" w:hAnsi="Aptos"/>
                <w:sz w:val="16"/>
              </w:rPr>
              <w:t>Verify currency, inclusions, exclusions and approval date.</w:t>
            </w:r>
          </w:p>
        </w:tc>
        <w:tc>
          <w:tcPr>
            <w:tcW w:type="dxa" w:w="2736"/>
            <w:tcMar>
              <w:top w:w="100" w:type="dxa"/>
              <w:start w:w="120" w:type="dxa"/>
              <w:bottom w:w="100" w:type="dxa"/>
              <w:end w:w="120" w:type="dxa"/>
            </w:tcMar>
            <w:vAlign w:val="center"/>
          </w:tcPr>
          <w:p>
            <w:pPr>
              <w:jc w:val="left"/>
            </w:pPr>
            <w:r>
              <w:rPr>
                <w:rFonts w:ascii="Aptos" w:hAnsi="Aptos"/>
                <w:sz w:val="16"/>
              </w:rPr>
              <w:t>Current pricing approval/package sheet</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Availability response-time promise</w:t>
            </w:r>
          </w:p>
        </w:tc>
        <w:tc>
          <w:tcPr>
            <w:tcW w:type="dxa" w:w="4536"/>
            <w:tcMar>
              <w:top w:w="100" w:type="dxa"/>
              <w:start w:w="120" w:type="dxa"/>
              <w:bottom w:w="100" w:type="dxa"/>
              <w:end w:w="120" w:type="dxa"/>
            </w:tcMar>
            <w:vAlign w:val="center"/>
          </w:tcPr>
          <w:p>
            <w:pPr>
              <w:jc w:val="left"/>
            </w:pPr>
            <w:r>
              <w:rPr>
                <w:rFonts w:ascii="Aptos" w:hAnsi="Aptos"/>
                <w:sz w:val="16"/>
              </w:rPr>
              <w:t>Verify service standard and exceptions.</w:t>
            </w:r>
          </w:p>
        </w:tc>
        <w:tc>
          <w:tcPr>
            <w:tcW w:type="dxa" w:w="2736"/>
            <w:tcMar>
              <w:top w:w="100" w:type="dxa"/>
              <w:start w:w="120" w:type="dxa"/>
              <w:bottom w:w="100" w:type="dxa"/>
              <w:end w:w="120" w:type="dxa"/>
            </w:tcMar>
            <w:vAlign w:val="center"/>
          </w:tcPr>
          <w:p>
            <w:pPr>
              <w:jc w:val="left"/>
            </w:pPr>
            <w:r>
              <w:rPr>
                <w:rFonts w:ascii="Aptos" w:hAnsi="Aptos"/>
                <w:sz w:val="16"/>
              </w:rPr>
              <w:t>Approved response standard</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Food/venue coordination</w:t>
            </w:r>
          </w:p>
        </w:tc>
        <w:tc>
          <w:tcPr>
            <w:tcW w:type="dxa" w:w="4536"/>
            <w:tcMar>
              <w:top w:w="100" w:type="dxa"/>
              <w:start w:w="120" w:type="dxa"/>
              <w:bottom w:w="100" w:type="dxa"/>
              <w:end w:w="120" w:type="dxa"/>
            </w:tcMar>
            <w:vAlign w:val="center"/>
          </w:tcPr>
          <w:p>
            <w:pPr>
              <w:jc w:val="left"/>
            </w:pPr>
            <w:r>
              <w:rPr>
                <w:rFonts w:ascii="Aptos" w:hAnsi="Aptos"/>
                <w:sz w:val="16"/>
              </w:rPr>
              <w:t>Verify whether ViriVr coordinates, refers, supplies or merely suggests.</w:t>
            </w:r>
          </w:p>
        </w:tc>
        <w:tc>
          <w:tcPr>
            <w:tcW w:type="dxa" w:w="2736"/>
            <w:tcMar>
              <w:top w:w="100" w:type="dxa"/>
              <w:start w:w="120" w:type="dxa"/>
              <w:bottom w:w="100" w:type="dxa"/>
              <w:end w:w="120" w:type="dxa"/>
            </w:tcMar>
            <w:vAlign w:val="center"/>
          </w:tcPr>
          <w:p>
            <w:pPr>
              <w:jc w:val="left"/>
            </w:pPr>
            <w:r>
              <w:rPr>
                <w:rFonts w:ascii="Aptos" w:hAnsi="Aptos"/>
                <w:sz w:val="16"/>
              </w:rPr>
              <w:t>Approved service/partner process</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Testimonials / “customers say” claims</w:t>
            </w:r>
          </w:p>
        </w:tc>
        <w:tc>
          <w:tcPr>
            <w:tcW w:type="dxa" w:w="4536"/>
            <w:tcMar>
              <w:top w:w="100" w:type="dxa"/>
              <w:start w:w="120" w:type="dxa"/>
              <w:bottom w:w="100" w:type="dxa"/>
              <w:end w:w="120" w:type="dxa"/>
            </w:tcMar>
            <w:vAlign w:val="center"/>
          </w:tcPr>
          <w:p>
            <w:pPr>
              <w:jc w:val="left"/>
            </w:pPr>
            <w:r>
              <w:rPr>
                <w:rFonts w:ascii="Aptos" w:hAnsi="Aptos"/>
                <w:sz w:val="16"/>
              </w:rPr>
              <w:t>Verify quote authenticity, permission and relevance.</w:t>
            </w:r>
          </w:p>
        </w:tc>
        <w:tc>
          <w:tcPr>
            <w:tcW w:type="dxa" w:w="2736"/>
            <w:tcMar>
              <w:top w:w="100" w:type="dxa"/>
              <w:start w:w="120" w:type="dxa"/>
              <w:bottom w:w="100" w:type="dxa"/>
              <w:end w:w="120" w:type="dxa"/>
            </w:tcMar>
            <w:vAlign w:val="center"/>
          </w:tcPr>
          <w:p>
            <w:pPr>
              <w:jc w:val="left"/>
            </w:pPr>
            <w:r>
              <w:rPr>
                <w:rFonts w:ascii="Aptos" w:hAnsi="Aptos"/>
                <w:sz w:val="16"/>
              </w:rPr>
              <w:t>Customer evidence register</w:t>
            </w:r>
          </w:p>
        </w:tc>
      </w:tr>
      <w:tr>
        <w:trPr>
          <w:cantSplit/>
        </w:trPr>
        <w:tc>
          <w:tcPr>
            <w:tcW w:type="dxa" w:w="2951"/>
            <w:tcMar>
              <w:top w:w="100" w:type="dxa"/>
              <w:start w:w="120" w:type="dxa"/>
              <w:bottom w:w="100" w:type="dxa"/>
              <w:end w:w="120" w:type="dxa"/>
            </w:tcMar>
            <w:vAlign w:val="center"/>
          </w:tcPr>
          <w:p>
            <w:pPr>
              <w:jc w:val="left"/>
            </w:pPr>
            <w:r>
              <w:rPr>
                <w:rFonts w:ascii="Aptos" w:hAnsi="Aptos"/>
                <w:sz w:val="16"/>
              </w:rPr>
              <w:t>Any “national” implication</w:t>
            </w:r>
          </w:p>
        </w:tc>
        <w:tc>
          <w:tcPr>
            <w:tcW w:type="dxa" w:w="4536"/>
            <w:tcMar>
              <w:top w:w="100" w:type="dxa"/>
              <w:start w:w="120" w:type="dxa"/>
              <w:bottom w:w="100" w:type="dxa"/>
              <w:end w:w="120" w:type="dxa"/>
            </w:tcMar>
            <w:vAlign w:val="center"/>
          </w:tcPr>
          <w:p>
            <w:pPr>
              <w:jc w:val="left"/>
            </w:pPr>
            <w:r>
              <w:rPr>
                <w:rFonts w:ascii="Aptos" w:hAnsi="Aptos"/>
                <w:sz w:val="16"/>
              </w:rPr>
              <w:t>Verify service coverage; otherwise use national informational framing without national bookability claim.</w:t>
            </w:r>
          </w:p>
        </w:tc>
        <w:tc>
          <w:tcPr>
            <w:tcW w:type="dxa" w:w="2736"/>
            <w:tcMar>
              <w:top w:w="100" w:type="dxa"/>
              <w:start w:w="120" w:type="dxa"/>
              <w:bottom w:w="100" w:type="dxa"/>
              <w:end w:w="120" w:type="dxa"/>
            </w:tcMar>
            <w:vAlign w:val="center"/>
          </w:tcPr>
          <w:p>
            <w:pPr>
              <w:jc w:val="left"/>
            </w:pPr>
            <w:r>
              <w:rPr>
                <w:rFonts w:ascii="Aptos" w:hAnsi="Aptos"/>
                <w:sz w:val="16"/>
              </w:rPr>
              <w:t>Operations/service-area evidence</w:t>
            </w:r>
          </w:p>
        </w:tc>
      </w:tr>
    </w:tbl>
    <w:p>
      <w:pPr>
        <w:spacing w:after="0"/>
      </w:pPr>
    </w:p>
    <w:p>
      <w:pPr>
        <w:pStyle w:val="Heading1"/>
      </w:pPr>
      <w:r>
        <w:t>11. Competitor Content / Authority Gaps</w:t>
      </w:r>
    </w:p>
    <w:p>
      <w:r>
        <w:rPr>
          <w:b/>
        </w:rPr>
        <w:t xml:space="preserve">Approved competitor evidence is limited. </w:t>
      </w:r>
      <w:r>
        <w:t>The architecture records one inferred observation from KaptureVR’s public landing page (reviewed 2 September 2026): prominent “we come to you”, setup, supervision, safety and flexible-package messaging. This supports a content expectation for operational clarity, but it does not provide competitor ranking, backlink, citation, coverage, conversion or authority-performance evidence.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D9E3F0"/>
            <w:tcMar>
              <w:top w:w="100" w:type="dxa"/>
              <w:start w:w="120" w:type="dxa"/>
              <w:bottom w:w="100" w:type="dxa"/>
              <w:end w:w="120" w:type="dxa"/>
            </w:tcMar>
            <w:vAlign w:val="center"/>
          </w:tcPr>
          <w:p>
            <w:pPr>
              <w:jc w:val="left"/>
            </w:pPr>
            <w:r>
              <w:rPr>
                <w:rFonts w:ascii="Aptos" w:hAnsi="Aptos"/>
                <w:b/>
                <w:sz w:val="18"/>
              </w:rPr>
              <w:t>Area</w:t>
            </w:r>
          </w:p>
        </w:tc>
        <w:tc>
          <w:tcPr>
            <w:tcW w:type="dxa" w:w="5472"/>
            <w:shd w:fill="D9E3F0"/>
            <w:tcMar>
              <w:top w:w="100" w:type="dxa"/>
              <w:start w:w="120" w:type="dxa"/>
              <w:bottom w:w="100" w:type="dxa"/>
              <w:end w:w="120" w:type="dxa"/>
            </w:tcMar>
            <w:vAlign w:val="center"/>
          </w:tcPr>
          <w:p>
            <w:pPr>
              <w:jc w:val="left"/>
            </w:pPr>
            <w:r>
              <w:rPr>
                <w:rFonts w:ascii="Aptos" w:hAnsi="Aptos"/>
                <w:b/>
                <w:sz w:val="18"/>
              </w:rPr>
              <w:t>Preliminary finding</w:t>
            </w:r>
          </w:p>
        </w:tc>
        <w:tc>
          <w:tcPr>
            <w:tcW w:type="dxa" w:w="2664"/>
            <w:shd w:fill="D9E3F0"/>
            <w:tcMar>
              <w:top w:w="100" w:type="dxa"/>
              <w:start w:w="120" w:type="dxa"/>
              <w:bottom w:w="100" w:type="dxa"/>
              <w:end w:w="120" w:type="dxa"/>
            </w:tcMar>
            <w:vAlign w:val="center"/>
          </w:tcPr>
          <w:p>
            <w:pPr>
              <w:jc w:val="left"/>
            </w:pPr>
            <w:r>
              <w:rPr>
                <w:rFonts w:ascii="Aptos" w:hAnsi="Aptos"/>
                <w:b/>
                <w:sz w:val="18"/>
              </w:rPr>
              <w:t>Gap / responsible role</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Operational clarity</w:t>
            </w:r>
          </w:p>
        </w:tc>
        <w:tc>
          <w:tcPr>
            <w:tcW w:type="dxa" w:w="5472"/>
            <w:tcMar>
              <w:top w:w="100" w:type="dxa"/>
              <w:start w:w="120" w:type="dxa"/>
              <w:bottom w:w="100" w:type="dxa"/>
              <w:end w:w="120" w:type="dxa"/>
            </w:tcMar>
            <w:vAlign w:val="center"/>
          </w:tcPr>
          <w:p>
            <w:pPr>
              <w:jc w:val="left"/>
            </w:pPr>
            <w:r>
              <w:rPr>
                <w:rFonts w:ascii="Aptos" w:hAnsi="Aptos"/>
                <w:sz w:val="17"/>
              </w:rPr>
              <w:t>Competitor pattern shows clear mobile-delivery, setup, supervision and safety messaging. HP-001 plans equivalent topics, but ViriVr needs its own verified evidence rather than mirroring competitor wording.</w:t>
            </w:r>
          </w:p>
        </w:tc>
        <w:tc>
          <w:tcPr>
            <w:tcW w:type="dxa" w:w="2664"/>
            <w:tcMar>
              <w:top w:w="100" w:type="dxa"/>
              <w:start w:w="120" w:type="dxa"/>
              <w:bottom w:w="100" w:type="dxa"/>
              <w:end w:w="120" w:type="dxa"/>
            </w:tcMar>
            <w:vAlign w:val="center"/>
          </w:tcPr>
          <w:p>
            <w:pPr>
              <w:jc w:val="left"/>
            </w:pPr>
            <w:r>
              <w:rPr>
                <w:rFonts w:ascii="Aptos" w:hAnsi="Aptos"/>
                <w:sz w:val="17"/>
              </w:rPr>
              <w:t>Development team: evidence-backed operational clarity.</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Trust proof</w:t>
            </w:r>
          </w:p>
        </w:tc>
        <w:tc>
          <w:tcPr>
            <w:tcW w:type="dxa" w:w="5472"/>
            <w:tcMar>
              <w:top w:w="100" w:type="dxa"/>
              <w:start w:w="120" w:type="dxa"/>
              <w:bottom w:w="100" w:type="dxa"/>
              <w:end w:w="120" w:type="dxa"/>
            </w:tcMar>
            <w:vAlign w:val="center"/>
          </w:tcPr>
          <w:p>
            <w:pPr>
              <w:jc w:val="left"/>
            </w:pPr>
            <w:r>
              <w:rPr>
                <w:rFonts w:ascii="Aptos" w:hAnsi="Aptos"/>
                <w:sz w:val="17"/>
              </w:rPr>
              <w:t>Approved source does not provide a structured competitor proof comparison (reviews, case studies, insurance proof, photos, named experts, citations).</w:t>
            </w:r>
          </w:p>
        </w:tc>
        <w:tc>
          <w:tcPr>
            <w:tcW w:type="dxa" w:w="2664"/>
            <w:tcMar>
              <w:top w:w="100" w:type="dxa"/>
              <w:start w:w="120" w:type="dxa"/>
              <w:bottom w:w="100" w:type="dxa"/>
              <w:end w:w="120" w:type="dxa"/>
            </w:tcMar>
            <w:vAlign w:val="center"/>
          </w:tcPr>
          <w:p>
            <w:pPr>
              <w:jc w:val="left"/>
            </w:pPr>
            <w:r>
              <w:rPr>
                <w:rFonts w:ascii="Aptos" w:hAnsi="Aptos"/>
                <w:sz w:val="17"/>
              </w:rPr>
              <w:t>Brand Authority Builder: deeper trust/citation comparison if approved.</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External coverage / PR</w:t>
            </w:r>
          </w:p>
        </w:tc>
        <w:tc>
          <w:tcPr>
            <w:tcW w:type="dxa" w:w="5472"/>
            <w:tcMar>
              <w:top w:w="100" w:type="dxa"/>
              <w:start w:w="120" w:type="dxa"/>
              <w:bottom w:w="100" w:type="dxa"/>
              <w:end w:w="120" w:type="dxa"/>
            </w:tcMar>
            <w:vAlign w:val="center"/>
          </w:tcPr>
          <w:p>
            <w:pPr>
              <w:jc w:val="left"/>
            </w:pPr>
            <w:r>
              <w:rPr>
                <w:rFonts w:ascii="Aptos" w:hAnsi="Aptos"/>
                <w:sz w:val="17"/>
              </w:rPr>
              <w:t>No approved competitor coverage dataset is present.</w:t>
            </w:r>
          </w:p>
        </w:tc>
        <w:tc>
          <w:tcPr>
            <w:tcW w:type="dxa" w:w="2664"/>
            <w:tcMar>
              <w:top w:w="100" w:type="dxa"/>
              <w:start w:w="120" w:type="dxa"/>
              <w:bottom w:w="100" w:type="dxa"/>
              <w:end w:w="120" w:type="dxa"/>
            </w:tcMar>
            <w:vAlign w:val="center"/>
          </w:tcPr>
          <w:p>
            <w:pPr>
              <w:jc w:val="left"/>
            </w:pPr>
            <w:r>
              <w:rPr>
                <w:rFonts w:ascii="Aptos" w:hAnsi="Aptos"/>
                <w:sz w:val="17"/>
              </w:rPr>
              <w:t>Digital PR Specialist: competitor coverage/outreach opportunity analysis.</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Backlinks / referring domains</w:t>
            </w:r>
          </w:p>
        </w:tc>
        <w:tc>
          <w:tcPr>
            <w:tcW w:type="dxa" w:w="5472"/>
            <w:tcMar>
              <w:top w:w="100" w:type="dxa"/>
              <w:start w:w="120" w:type="dxa"/>
              <w:bottom w:w="100" w:type="dxa"/>
              <w:end w:w="120" w:type="dxa"/>
            </w:tcMar>
            <w:vAlign w:val="center"/>
          </w:tcPr>
          <w:p>
            <w:pPr>
              <w:jc w:val="left"/>
            </w:pPr>
            <w:r>
              <w:rPr>
                <w:rFonts w:ascii="Aptos" w:hAnsi="Aptos"/>
                <w:sz w:val="17"/>
              </w:rPr>
              <w:t>No approved competitor link dataset is present.</w:t>
            </w:r>
          </w:p>
        </w:tc>
        <w:tc>
          <w:tcPr>
            <w:tcW w:type="dxa" w:w="2664"/>
            <w:tcMar>
              <w:top w:w="100" w:type="dxa"/>
              <w:start w:w="120" w:type="dxa"/>
              <w:bottom w:w="100" w:type="dxa"/>
              <w:end w:w="120" w:type="dxa"/>
            </w:tcMar>
            <w:vAlign w:val="center"/>
          </w:tcPr>
          <w:p>
            <w:pPr>
              <w:jc w:val="left"/>
            </w:pPr>
            <w:r>
              <w:rPr>
                <w:rFonts w:ascii="Aptos" w:hAnsi="Aptos"/>
                <w:sz w:val="17"/>
              </w:rPr>
              <w:t>Backlink Auditor: backlink quality/referring-domain/opportunity analysis.</w:t>
            </w:r>
          </w:p>
        </w:tc>
      </w:tr>
      <w:tr>
        <w:trPr>
          <w:cantSplit/>
        </w:trPr>
        <w:tc>
          <w:tcPr>
            <w:tcW w:type="dxa" w:w="2088"/>
            <w:tcMar>
              <w:top w:w="100" w:type="dxa"/>
              <w:start w:w="120" w:type="dxa"/>
              <w:bottom w:w="100" w:type="dxa"/>
              <w:end w:w="120" w:type="dxa"/>
            </w:tcMar>
            <w:vAlign w:val="center"/>
          </w:tcPr>
          <w:p>
            <w:pPr>
              <w:jc w:val="left"/>
            </w:pPr>
            <w:r>
              <w:rPr>
                <w:rFonts w:ascii="Aptos" w:hAnsi="Aptos"/>
                <w:sz w:val="17"/>
              </w:rPr>
              <w:t>Authority scoring</w:t>
            </w:r>
          </w:p>
        </w:tc>
        <w:tc>
          <w:tcPr>
            <w:tcW w:type="dxa" w:w="5472"/>
            <w:tcMar>
              <w:top w:w="100" w:type="dxa"/>
              <w:start w:w="120" w:type="dxa"/>
              <w:bottom w:w="100" w:type="dxa"/>
              <w:end w:w="120" w:type="dxa"/>
            </w:tcMar>
            <w:vAlign w:val="center"/>
          </w:tcPr>
          <w:p>
            <w:pPr>
              <w:jc w:val="left"/>
            </w:pPr>
            <w:r>
              <w:rPr>
                <w:rFonts w:ascii="Aptos" w:hAnsi="Aptos"/>
                <w:sz w:val="17"/>
              </w:rPr>
              <w:t>No approved domain-authority or citation threshold is defined for HP-001.</w:t>
            </w:r>
          </w:p>
        </w:tc>
        <w:tc>
          <w:tcPr>
            <w:tcW w:type="dxa" w:w="2664"/>
            <w:tcMar>
              <w:top w:w="100" w:type="dxa"/>
              <w:start w:w="120" w:type="dxa"/>
              <w:bottom w:w="100" w:type="dxa"/>
              <w:end w:w="120" w:type="dxa"/>
            </w:tcMar>
            <w:vAlign w:val="center"/>
          </w:tcPr>
          <w:p>
            <w:pPr>
              <w:jc w:val="left"/>
            </w:pPr>
            <w:r>
              <w:rPr>
                <w:rFonts w:ascii="Aptos" w:hAnsi="Aptos"/>
                <w:sz w:val="17"/>
              </w:rPr>
              <w:t>Not Yet Defined / Requires Human Approval or specialist framework.</w:t>
            </w:r>
          </w:p>
        </w:tc>
      </w:tr>
    </w:tbl>
    <w:p>
      <w:pPr>
        <w:spacing w:after="0"/>
      </w:pPr>
    </w:p>
    <w:p>
      <w:pPr>
        <w:pStyle w:val="Heading1"/>
      </w:pPr>
      <w:r>
        <w:t>12. Keyword Inputs — Authority / Trust Implications Only</w:t>
      </w:r>
    </w:p>
    <w:p>
      <w:pPr>
        <w:spacing w:after="100"/>
      </w:pPr>
      <w:r>
        <w:rPr>
          <w:b/>
        </w:rPr>
        <w:t xml:space="preserve">Approved keyword inputs: </w:t>
      </w:r>
      <w:r>
        <w:t>Primary: “VR party at home”. Secondary: “house party VR”, “VR house party”, “mobile VR party”, “VR birthday party at home”, “hosted house party entertainment”.</w:t>
      </w:r>
    </w:p>
    <w:p>
      <w:pPr>
        <w:pStyle w:val="ListBullet"/>
        <w:spacing w:after="60"/>
      </w:pPr>
      <w:r>
        <w:t>These phrases imply at-home/mobile delivery. Any copy built around them must not overstate service coverage or availability.</w:t>
      </w:r>
    </w:p>
    <w:p>
      <w:pPr>
        <w:pStyle w:val="ListBullet"/>
        <w:spacing w:after="60"/>
      </w:pPr>
      <w:r>
        <w:t>The architecture records relevant GSC visibility, but zero clicks in the reviewed window and small samples mean the keywords should not be treated as proof of market scale or guaranteed performance.</w:t>
      </w:r>
    </w:p>
    <w:p>
      <w:pPr>
        <w:pStyle w:val="ListBullet"/>
        <w:spacing w:after="60"/>
      </w:pPr>
      <w:r>
        <w:t>The nominal Keyword Planner total is overlapping and Melbourne-segmented; it must not be presented as unique national demand.</w:t>
      </w:r>
    </w:p>
    <w:p>
      <w:pPr>
        <w:pStyle w:val="ListBullet"/>
        <w:spacing w:after="60"/>
      </w:pPr>
      <w:r>
        <w:t>The Authority Manager is not changing or finalising keyword strategy. Any change to target terms, ownership or canonical mapping remains with the appropriate Content/Search/Strategy owners.</w:t>
      </w:r>
    </w:p>
    <w:p>
      <w:pPr>
        <w:pStyle w:val="Heading1"/>
      </w:pPr>
      <w:r>
        <w:t>13. Assumptions</w:t>
      </w:r>
    </w:p>
    <w:p>
      <w:pPr>
        <w:spacing w:after="100"/>
      </w:pPr>
      <w:r>
        <w:rPr>
          <w:b/>
        </w:rPr>
        <w:t xml:space="preserve">A-01: </w:t>
      </w:r>
      <w:r>
        <w:t>It is possible that operational documents and proof assets listed in the architecture exist outside the approved sources reviewed here. They are not treated as verified until supplied/approved.</w:t>
      </w:r>
    </w:p>
    <w:p>
      <w:pPr>
        <w:spacing w:after="100"/>
      </w:pPr>
      <w:r>
        <w:rPr>
          <w:b/>
        </w:rPr>
        <w:t xml:space="preserve">A-02: </w:t>
      </w:r>
      <w:r>
        <w:t>The architecture’s planned page relationships and modules are treated as approved inputs for analysis, not as completed implementation or evidence that the future page will satisfy them.</w:t>
      </w:r>
    </w:p>
    <w:p>
      <w:pPr>
        <w:spacing w:after="100"/>
      </w:pPr>
      <w:r>
        <w:rPr>
          <w:b/>
        </w:rPr>
        <w:t xml:space="preserve">A-03: </w:t>
      </w:r>
      <w:r>
        <w:t>No assumption about competitor superiority, authority level or commercial performance is made from the single approved competitor content observation.</w:t>
      </w:r>
    </w:p>
    <w:p>
      <w:pPr>
        <w:pStyle w:val="Heading1"/>
      </w:pPr>
      <w:r>
        <w:t>14. Unresolved Questions / Human Clarification Required</w:t>
      </w:r>
    </w:p>
    <w:p>
      <w:pPr>
        <w:pStyle w:val="ListBullet"/>
        <w:spacing w:after="60"/>
      </w:pPr>
      <w:r>
        <w:t>What is the current approved HP-001 package sheet, and who owns its version control?</w:t>
      </w:r>
    </w:p>
    <w:p>
      <w:pPr>
        <w:pStyle w:val="ListBullet"/>
        <w:spacing w:after="60"/>
      </w:pPr>
      <w:r>
        <w:t>What are the confirmed minimum age, group-size limits and any game-specific age/suitability restrictions?</w:t>
      </w:r>
    </w:p>
    <w:p>
      <w:pPr>
        <w:pStyle w:val="ListBullet"/>
        <w:spacing w:after="60"/>
      </w:pPr>
      <w:r>
        <w:t>How many headsets/equipment units are supplied, and what rotation model is operationally approved?</w:t>
      </w:r>
    </w:p>
    <w:p>
      <w:pPr>
        <w:pStyle w:val="ListBullet"/>
        <w:spacing w:after="60"/>
      </w:pPr>
      <w:r>
        <w:t>What are the approved setup and pack-down times, and what conditions alter them?</w:t>
      </w:r>
    </w:p>
    <w:p>
      <w:pPr>
        <w:pStyle w:val="ListBullet"/>
        <w:spacing w:after="60"/>
      </w:pPr>
      <w:r>
        <w:t>What exact safety process and minimum-space rules may be stated publicly?</w:t>
      </w:r>
    </w:p>
    <w:p>
      <w:pPr>
        <w:pStyle w:val="ListBullet"/>
        <w:spacing w:after="60"/>
      </w:pPr>
      <w:r>
        <w:t>What public-liability statement, if any, is approved for publication?</w:t>
      </w:r>
    </w:p>
    <w:p>
      <w:pPr>
        <w:pStyle w:val="ListBullet"/>
        <w:spacing w:after="60"/>
      </w:pPr>
      <w:r>
        <w:t>What are the current power, Wi-Fi and offline/fallback requirements?</w:t>
      </w:r>
    </w:p>
    <w:p>
      <w:pPr>
        <w:pStyle w:val="ListBullet"/>
        <w:spacing w:after="60"/>
      </w:pPr>
      <w:r>
        <w:t>Which locations are currently bookable for house parties, and what travel-fee/service-area rules apply?</w:t>
      </w:r>
    </w:p>
    <w:p>
      <w:pPr>
        <w:pStyle w:val="ListBullet"/>
        <w:spacing w:after="60"/>
      </w:pPr>
      <w:r>
        <w:t>What pricing and inclusions are currently approved, and how will currency be maintained?</w:t>
      </w:r>
    </w:p>
    <w:p>
      <w:pPr>
        <w:pStyle w:val="ListBullet"/>
        <w:spacing w:after="60"/>
      </w:pPr>
      <w:r>
        <w:t>What weather contingency can be promised?</w:t>
      </w:r>
    </w:p>
    <w:p>
      <w:pPr>
        <w:pStyle w:val="ListBullet"/>
        <w:spacing w:after="60"/>
      </w:pPr>
      <w:r>
        <w:t>What optional food/venue coordination is genuinely offered and by whom?</w:t>
      </w:r>
    </w:p>
    <w:p>
      <w:pPr>
        <w:pStyle w:val="ListBullet"/>
        <w:spacing w:after="60"/>
      </w:pPr>
      <w:r>
        <w:t>Does an approved availability response-time service standard exist?</w:t>
      </w:r>
    </w:p>
    <w:p>
      <w:pPr>
        <w:pStyle w:val="ListBullet"/>
        <w:spacing w:after="60"/>
      </w:pPr>
      <w:r>
        <w:t>Which original house-party photos/testimonials are approved, current and permissioned for use?</w:t>
      </w:r>
    </w:p>
    <w:p>
      <w:pPr>
        <w:pStyle w:val="ListBullet"/>
        <w:spacing w:after="60"/>
      </w:pPr>
      <w:r>
        <w:t>Who will own periodic refresh of operational facts that may change after launch?</w:t>
      </w:r>
    </w:p>
    <w:p>
      <w:pPr>
        <w:pStyle w:val="ListBullet"/>
        <w:spacing w:after="60"/>
      </w:pPr>
      <w:r>
        <w:t>Do any additional Authority-specific thresholds or source-quality rules need human approval before later audit?</w:t>
      </w:r>
    </w:p>
    <w:p>
      <w:pPr>
        <w:pStyle w:val="Heading1"/>
      </w:pPr>
      <w:r>
        <w:t>15. Specialist Review Flags and Department Dependencies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936"/>
            <w:shd w:fill="D9E3F0"/>
            <w:tcMar>
              <w:top w:w="100" w:type="dxa"/>
              <w:start w:w="120" w:type="dxa"/>
              <w:bottom w:w="100" w:type="dxa"/>
              <w:end w:w="120" w:type="dxa"/>
            </w:tcMar>
            <w:vAlign w:val="center"/>
          </w:tcPr>
          <w:p>
            <w:pPr>
              <w:jc w:val="left"/>
            </w:pPr>
            <w:r>
              <w:rPr>
                <w:rFonts w:ascii="Aptos" w:hAnsi="Aptos"/>
                <w:b/>
                <w:sz w:val="18"/>
              </w:rPr>
              <w:t>ID</w:t>
            </w:r>
          </w:p>
        </w:tc>
        <w:tc>
          <w:tcPr>
            <w:tcW w:type="dxa" w:w="2376"/>
            <w:shd w:fill="D9E3F0"/>
            <w:tcMar>
              <w:top w:w="100" w:type="dxa"/>
              <w:start w:w="120" w:type="dxa"/>
              <w:bottom w:w="100" w:type="dxa"/>
              <w:end w:w="120" w:type="dxa"/>
            </w:tcMar>
            <w:vAlign w:val="center"/>
          </w:tcPr>
          <w:p>
            <w:pPr>
              <w:jc w:val="left"/>
            </w:pPr>
            <w:r>
              <w:rPr>
                <w:rFonts w:ascii="Aptos" w:hAnsi="Aptos"/>
                <w:b/>
                <w:sz w:val="18"/>
              </w:rPr>
              <w:t>Responsible role</w:t>
            </w:r>
          </w:p>
        </w:tc>
        <w:tc>
          <w:tcPr>
            <w:tcW w:type="dxa" w:w="4392"/>
            <w:shd w:fill="D9E3F0"/>
            <w:tcMar>
              <w:top w:w="100" w:type="dxa"/>
              <w:start w:w="120" w:type="dxa"/>
              <w:bottom w:w="100" w:type="dxa"/>
              <w:end w:w="120" w:type="dxa"/>
            </w:tcMar>
            <w:vAlign w:val="center"/>
          </w:tcPr>
          <w:p>
            <w:pPr>
              <w:jc w:val="left"/>
            </w:pPr>
            <w:r>
              <w:rPr>
                <w:rFonts w:ascii="Aptos" w:hAnsi="Aptos"/>
                <w:b/>
                <w:sz w:val="18"/>
              </w:rPr>
              <w:t>Dependency</w:t>
            </w:r>
          </w:p>
        </w:tc>
        <w:tc>
          <w:tcPr>
            <w:tcW w:type="dxa" w:w="2520"/>
            <w:shd w:fill="D9E3F0"/>
            <w:tcMar>
              <w:top w:w="100" w:type="dxa"/>
              <w:start w:w="120" w:type="dxa"/>
              <w:bottom w:w="100" w:type="dxa"/>
              <w:end w:w="120" w:type="dxa"/>
            </w:tcMar>
            <w:vAlign w:val="center"/>
          </w:tcPr>
          <w:p>
            <w:pPr>
              <w:jc w:val="left"/>
            </w:pPr>
            <w:r>
              <w:rPr>
                <w:rFonts w:ascii="Aptos" w:hAnsi="Aptos"/>
                <w:b/>
                <w:sz w:val="18"/>
              </w:rPr>
              <w:t>Authority Manager treatment</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SR-01</w:t>
            </w:r>
          </w:p>
        </w:tc>
        <w:tc>
          <w:tcPr>
            <w:tcW w:type="dxa" w:w="2376"/>
            <w:tcMar>
              <w:top w:w="100" w:type="dxa"/>
              <w:start w:w="120" w:type="dxa"/>
              <w:bottom w:w="100" w:type="dxa"/>
              <w:end w:w="120" w:type="dxa"/>
            </w:tcMar>
            <w:vAlign w:val="center"/>
          </w:tcPr>
          <w:p>
            <w:pPr>
              <w:jc w:val="left"/>
            </w:pPr>
            <w:r>
              <w:rPr>
                <w:rFonts w:ascii="Aptos" w:hAnsi="Aptos"/>
                <w:sz w:val="17"/>
              </w:rPr>
              <w:t>Digital PR Specialist</w:t>
            </w:r>
          </w:p>
        </w:tc>
        <w:tc>
          <w:tcPr>
            <w:tcW w:type="dxa" w:w="4392"/>
            <w:tcMar>
              <w:top w:w="100" w:type="dxa"/>
              <w:start w:w="120" w:type="dxa"/>
              <w:bottom w:w="100" w:type="dxa"/>
              <w:end w:w="120" w:type="dxa"/>
            </w:tcMar>
            <w:vAlign w:val="center"/>
          </w:tcPr>
          <w:p>
            <w:pPr>
              <w:jc w:val="left"/>
            </w:pPr>
            <w:r>
              <w:rPr>
                <w:rFonts w:ascii="Aptos" w:hAnsi="Aptos"/>
                <w:sz w:val="17"/>
              </w:rPr>
              <w:t>External coverage, PR opportunities, outreach angles and competitor/media visibility.</w:t>
            </w:r>
          </w:p>
        </w:tc>
        <w:tc>
          <w:tcPr>
            <w:tcW w:type="dxa" w:w="2520"/>
            <w:tcMar>
              <w:top w:w="100" w:type="dxa"/>
              <w:start w:w="120" w:type="dxa"/>
              <w:bottom w:w="100" w:type="dxa"/>
              <w:end w:w="120" w:type="dxa"/>
            </w:tcMar>
            <w:vAlign w:val="center"/>
          </w:tcPr>
          <w:p>
            <w:pPr>
              <w:jc w:val="left"/>
            </w:pPr>
            <w:r>
              <w:rPr>
                <w:rFonts w:ascii="Aptos" w:hAnsi="Aptos"/>
                <w:sz w:val="17"/>
              </w:rPr>
              <w:t>Flag only. No PR opportunity development completed in this report.</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SR-02</w:t>
            </w:r>
          </w:p>
        </w:tc>
        <w:tc>
          <w:tcPr>
            <w:tcW w:type="dxa" w:w="2376"/>
            <w:tcMar>
              <w:top w:w="100" w:type="dxa"/>
              <w:start w:w="120" w:type="dxa"/>
              <w:bottom w:w="100" w:type="dxa"/>
              <w:end w:w="120" w:type="dxa"/>
            </w:tcMar>
            <w:vAlign w:val="center"/>
          </w:tcPr>
          <w:p>
            <w:pPr>
              <w:jc w:val="left"/>
            </w:pPr>
            <w:r>
              <w:rPr>
                <w:rFonts w:ascii="Aptos" w:hAnsi="Aptos"/>
                <w:sz w:val="17"/>
              </w:rPr>
              <w:t>Backlink Auditor</w:t>
            </w:r>
          </w:p>
        </w:tc>
        <w:tc>
          <w:tcPr>
            <w:tcW w:type="dxa" w:w="4392"/>
            <w:tcMar>
              <w:top w:w="100" w:type="dxa"/>
              <w:start w:w="120" w:type="dxa"/>
              <w:bottom w:w="100" w:type="dxa"/>
              <w:end w:w="120" w:type="dxa"/>
            </w:tcMar>
            <w:vAlign w:val="center"/>
          </w:tcPr>
          <w:p>
            <w:pPr>
              <w:jc w:val="left"/>
            </w:pPr>
            <w:r>
              <w:rPr>
                <w:rFonts w:ascii="Aptos" w:hAnsi="Aptos"/>
                <w:sz w:val="17"/>
              </w:rPr>
              <w:t>Backlink quality, referring domains, lost-link recovery, competitor backlink gaps and link-risk analysis.</w:t>
            </w:r>
          </w:p>
        </w:tc>
        <w:tc>
          <w:tcPr>
            <w:tcW w:type="dxa" w:w="2520"/>
            <w:tcMar>
              <w:top w:w="100" w:type="dxa"/>
              <w:start w:w="120" w:type="dxa"/>
              <w:bottom w:w="100" w:type="dxa"/>
              <w:end w:w="120" w:type="dxa"/>
            </w:tcMar>
            <w:vAlign w:val="center"/>
          </w:tcPr>
          <w:p>
            <w:pPr>
              <w:jc w:val="left"/>
            </w:pPr>
            <w:r>
              <w:rPr>
                <w:rFonts w:ascii="Aptos" w:hAnsi="Aptos"/>
                <w:sz w:val="17"/>
              </w:rPr>
              <w:t>Flag only. No backlink-quality judgement completed.</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SR-03</w:t>
            </w:r>
          </w:p>
        </w:tc>
        <w:tc>
          <w:tcPr>
            <w:tcW w:type="dxa" w:w="2376"/>
            <w:tcMar>
              <w:top w:w="100" w:type="dxa"/>
              <w:start w:w="120" w:type="dxa"/>
              <w:bottom w:w="100" w:type="dxa"/>
              <w:end w:w="120" w:type="dxa"/>
            </w:tcMar>
            <w:vAlign w:val="center"/>
          </w:tcPr>
          <w:p>
            <w:pPr>
              <w:jc w:val="left"/>
            </w:pPr>
            <w:r>
              <w:rPr>
                <w:rFonts w:ascii="Aptos" w:hAnsi="Aptos"/>
                <w:sz w:val="17"/>
              </w:rPr>
              <w:t>Brand Authority Builder</w:t>
            </w:r>
          </w:p>
        </w:tc>
        <w:tc>
          <w:tcPr>
            <w:tcW w:type="dxa" w:w="4392"/>
            <w:tcMar>
              <w:top w:w="100" w:type="dxa"/>
              <w:start w:w="120" w:type="dxa"/>
              <w:bottom w:w="100" w:type="dxa"/>
              <w:end w:w="120" w:type="dxa"/>
            </w:tcMar>
            <w:vAlign w:val="center"/>
          </w:tcPr>
          <w:p>
            <w:pPr>
              <w:jc w:val="left"/>
            </w:pPr>
            <w:r>
              <w:rPr>
                <w:rFonts w:ascii="Aptos" w:hAnsi="Aptos"/>
                <w:sz w:val="17"/>
              </w:rPr>
              <w:t>Deeper citation, trust-signal, proof-asset and brand-presence opportunity analysis.</w:t>
            </w:r>
          </w:p>
        </w:tc>
        <w:tc>
          <w:tcPr>
            <w:tcW w:type="dxa" w:w="2520"/>
            <w:tcMar>
              <w:top w:w="100" w:type="dxa"/>
              <w:start w:w="120" w:type="dxa"/>
              <w:bottom w:w="100" w:type="dxa"/>
              <w:end w:w="120" w:type="dxa"/>
            </w:tcMar>
            <w:vAlign w:val="center"/>
          </w:tcPr>
          <w:p>
            <w:pPr>
              <w:jc w:val="left"/>
            </w:pPr>
            <w:r>
              <w:rPr>
                <w:rFonts w:ascii="Aptos" w:hAnsi="Aptos"/>
                <w:sz w:val="17"/>
              </w:rPr>
              <w:t>Flag only. Preliminary authority/trust gaps are documented here.</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DEP-01</w:t>
            </w:r>
          </w:p>
        </w:tc>
        <w:tc>
          <w:tcPr>
            <w:tcW w:type="dxa" w:w="2376"/>
            <w:tcMar>
              <w:top w:w="100" w:type="dxa"/>
              <w:start w:w="120" w:type="dxa"/>
              <w:bottom w:w="100" w:type="dxa"/>
              <w:end w:w="120" w:type="dxa"/>
            </w:tcMar>
            <w:vAlign w:val="center"/>
          </w:tcPr>
          <w:p>
            <w:pPr>
              <w:jc w:val="left"/>
            </w:pPr>
            <w:r>
              <w:rPr>
                <w:rFonts w:ascii="Aptos" w:hAnsi="Aptos"/>
                <w:sz w:val="17"/>
              </w:rPr>
              <w:t>Content Manager / writing team</w:t>
            </w:r>
          </w:p>
        </w:tc>
        <w:tc>
          <w:tcPr>
            <w:tcW w:type="dxa" w:w="4392"/>
            <w:tcMar>
              <w:top w:w="100" w:type="dxa"/>
              <w:start w:w="120" w:type="dxa"/>
              <w:bottom w:w="100" w:type="dxa"/>
              <w:end w:w="120" w:type="dxa"/>
            </w:tcMar>
            <w:vAlign w:val="center"/>
          </w:tcPr>
          <w:p>
            <w:pPr>
              <w:jc w:val="left"/>
            </w:pPr>
            <w:r>
              <w:rPr>
                <w:rFonts w:ascii="Aptos" w:hAnsi="Aptos"/>
                <w:sz w:val="17"/>
              </w:rPr>
              <w:t>Translate approved evidence into accurate page content and maintain page-purpose boundaries.</w:t>
            </w:r>
          </w:p>
        </w:tc>
        <w:tc>
          <w:tcPr>
            <w:tcW w:type="dxa" w:w="2520"/>
            <w:tcMar>
              <w:top w:w="100" w:type="dxa"/>
              <w:start w:w="120" w:type="dxa"/>
              <w:bottom w:w="100" w:type="dxa"/>
              <w:end w:w="120" w:type="dxa"/>
            </w:tcMar>
            <w:vAlign w:val="center"/>
          </w:tcPr>
          <w:p>
            <w:pPr>
              <w:jc w:val="left"/>
            </w:pPr>
            <w:r>
              <w:rPr>
                <w:rFonts w:ascii="Aptos" w:hAnsi="Aptos"/>
                <w:sz w:val="17"/>
              </w:rPr>
              <w:t>Do not draft unsupported facts.</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DEP-02</w:t>
            </w:r>
          </w:p>
        </w:tc>
        <w:tc>
          <w:tcPr>
            <w:tcW w:type="dxa" w:w="2376"/>
            <w:tcMar>
              <w:top w:w="100" w:type="dxa"/>
              <w:start w:w="120" w:type="dxa"/>
              <w:bottom w:w="100" w:type="dxa"/>
              <w:end w:w="120" w:type="dxa"/>
            </w:tcMar>
            <w:vAlign w:val="center"/>
          </w:tcPr>
          <w:p>
            <w:pPr>
              <w:jc w:val="left"/>
            </w:pPr>
            <w:r>
              <w:rPr>
                <w:rFonts w:ascii="Aptos" w:hAnsi="Aptos"/>
                <w:sz w:val="17"/>
              </w:rPr>
              <w:t>Technical SEO / Internal Linking / Schema</w:t>
            </w:r>
          </w:p>
        </w:tc>
        <w:tc>
          <w:tcPr>
            <w:tcW w:type="dxa" w:w="4392"/>
            <w:tcMar>
              <w:top w:w="100" w:type="dxa"/>
              <w:start w:w="120" w:type="dxa"/>
              <w:bottom w:w="100" w:type="dxa"/>
              <w:end w:w="120" w:type="dxa"/>
            </w:tcMar>
            <w:vAlign w:val="center"/>
          </w:tcPr>
          <w:p>
            <w:pPr>
              <w:jc w:val="left"/>
            </w:pPr>
            <w:r>
              <w:rPr>
                <w:rFonts w:ascii="Aptos" w:hAnsi="Aptos"/>
                <w:sz w:val="17"/>
              </w:rPr>
              <w:t>Implement link architecture, canonicals/crawl requirements and schema validation.</w:t>
            </w:r>
          </w:p>
        </w:tc>
        <w:tc>
          <w:tcPr>
            <w:tcW w:type="dxa" w:w="2520"/>
            <w:tcMar>
              <w:top w:w="100" w:type="dxa"/>
              <w:start w:w="120" w:type="dxa"/>
              <w:bottom w:w="100" w:type="dxa"/>
              <w:end w:w="120" w:type="dxa"/>
            </w:tcMar>
            <w:vAlign w:val="center"/>
          </w:tcPr>
          <w:p>
            <w:pPr>
              <w:jc w:val="left"/>
            </w:pPr>
            <w:r>
              <w:rPr>
                <w:rFonts w:ascii="Aptos" w:hAnsi="Aptos"/>
                <w:sz w:val="17"/>
              </w:rPr>
              <w:t>Authority Manager identifies dependency only.</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DEP-03</w:t>
            </w:r>
          </w:p>
        </w:tc>
        <w:tc>
          <w:tcPr>
            <w:tcW w:type="dxa" w:w="2376"/>
            <w:tcMar>
              <w:top w:w="100" w:type="dxa"/>
              <w:start w:w="120" w:type="dxa"/>
              <w:bottom w:w="100" w:type="dxa"/>
              <w:end w:w="120" w:type="dxa"/>
            </w:tcMar>
            <w:vAlign w:val="center"/>
          </w:tcPr>
          <w:p>
            <w:pPr>
              <w:jc w:val="left"/>
            </w:pPr>
            <w:r>
              <w:rPr>
                <w:rFonts w:ascii="Aptos" w:hAnsi="Aptos"/>
                <w:sz w:val="17"/>
              </w:rPr>
              <w:t>Analytics</w:t>
            </w:r>
          </w:p>
        </w:tc>
        <w:tc>
          <w:tcPr>
            <w:tcW w:type="dxa" w:w="4392"/>
            <w:tcMar>
              <w:top w:w="100" w:type="dxa"/>
              <w:start w:w="120" w:type="dxa"/>
              <w:bottom w:w="100" w:type="dxa"/>
              <w:end w:w="120" w:type="dxa"/>
            </w:tcMar>
            <w:vAlign w:val="center"/>
          </w:tcPr>
          <w:p>
            <w:pPr>
              <w:jc w:val="left"/>
            </w:pPr>
            <w:r>
              <w:rPr>
                <w:rFonts w:ascii="Aptos" w:hAnsi="Aptos"/>
                <w:sz w:val="17"/>
              </w:rPr>
              <w:t>Validate event definitions, lead/booking measurement and post-launch performance reporting.</w:t>
            </w:r>
          </w:p>
        </w:tc>
        <w:tc>
          <w:tcPr>
            <w:tcW w:type="dxa" w:w="2520"/>
            <w:tcMar>
              <w:top w:w="100" w:type="dxa"/>
              <w:start w:w="120" w:type="dxa"/>
              <w:bottom w:w="100" w:type="dxa"/>
              <w:end w:w="120" w:type="dxa"/>
            </w:tcMar>
            <w:vAlign w:val="center"/>
          </w:tcPr>
          <w:p>
            <w:pPr>
              <w:jc w:val="left"/>
            </w:pPr>
            <w:r>
              <w:rPr>
                <w:rFonts w:ascii="Aptos" w:hAnsi="Aptos"/>
                <w:sz w:val="17"/>
              </w:rPr>
              <w:t>Existing configured conversions are not proof of leads/bookings.</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DEP-04</w:t>
            </w:r>
          </w:p>
        </w:tc>
        <w:tc>
          <w:tcPr>
            <w:tcW w:type="dxa" w:w="2376"/>
            <w:tcMar>
              <w:top w:w="100" w:type="dxa"/>
              <w:start w:w="120" w:type="dxa"/>
              <w:bottom w:w="100" w:type="dxa"/>
              <w:end w:w="120" w:type="dxa"/>
            </w:tcMar>
            <w:vAlign w:val="center"/>
          </w:tcPr>
          <w:p>
            <w:pPr>
              <w:jc w:val="left"/>
            </w:pPr>
            <w:r>
              <w:rPr>
                <w:rFonts w:ascii="Aptos" w:hAnsi="Aptos"/>
                <w:sz w:val="17"/>
              </w:rPr>
              <w:t>Content/Search/Strategy owners</w:t>
            </w:r>
          </w:p>
        </w:tc>
        <w:tc>
          <w:tcPr>
            <w:tcW w:type="dxa" w:w="4392"/>
            <w:tcMar>
              <w:top w:w="100" w:type="dxa"/>
              <w:start w:w="120" w:type="dxa"/>
              <w:bottom w:w="100" w:type="dxa"/>
              <w:end w:w="120" w:type="dxa"/>
            </w:tcMar>
            <w:vAlign w:val="center"/>
          </w:tcPr>
          <w:p>
            <w:pPr>
              <w:jc w:val="left"/>
            </w:pPr>
            <w:r>
              <w:rPr>
                <w:rFonts w:ascii="Aptos" w:hAnsi="Aptos"/>
                <w:sz w:val="17"/>
              </w:rPr>
              <w:t>Retain ownership of keyword strategy, page ownership changes and strategic search decisions.</w:t>
            </w:r>
          </w:p>
        </w:tc>
        <w:tc>
          <w:tcPr>
            <w:tcW w:type="dxa" w:w="2520"/>
            <w:tcMar>
              <w:top w:w="100" w:type="dxa"/>
              <w:start w:w="120" w:type="dxa"/>
              <w:bottom w:w="100" w:type="dxa"/>
              <w:end w:w="120" w:type="dxa"/>
            </w:tcMar>
            <w:vAlign w:val="center"/>
          </w:tcPr>
          <w:p>
            <w:pPr>
              <w:jc w:val="left"/>
            </w:pPr>
            <w:r>
              <w:rPr>
                <w:rFonts w:ascii="Aptos" w:hAnsi="Aptos"/>
                <w:sz w:val="17"/>
              </w:rPr>
              <w:t>Keyword inputs remain unchanged by this report.</w:t>
            </w:r>
          </w:p>
        </w:tc>
      </w:tr>
      <w:tr>
        <w:trPr>
          <w:cantSplit/>
        </w:trPr>
        <w:tc>
          <w:tcPr>
            <w:tcW w:type="dxa" w:w="936"/>
            <w:tcMar>
              <w:top w:w="100" w:type="dxa"/>
              <w:start w:w="120" w:type="dxa"/>
              <w:bottom w:w="100" w:type="dxa"/>
              <w:end w:w="120" w:type="dxa"/>
            </w:tcMar>
            <w:vAlign w:val="center"/>
          </w:tcPr>
          <w:p>
            <w:pPr>
              <w:jc w:val="left"/>
            </w:pPr>
            <w:r>
              <w:rPr>
                <w:rFonts w:ascii="Aptos" w:hAnsi="Aptos"/>
                <w:sz w:val="17"/>
              </w:rPr>
              <w:t>DEP-05</w:t>
            </w:r>
          </w:p>
        </w:tc>
        <w:tc>
          <w:tcPr>
            <w:tcW w:type="dxa" w:w="2376"/>
            <w:tcMar>
              <w:top w:w="100" w:type="dxa"/>
              <w:start w:w="120" w:type="dxa"/>
              <w:bottom w:w="100" w:type="dxa"/>
              <w:end w:w="120" w:type="dxa"/>
            </w:tcMar>
            <w:vAlign w:val="center"/>
          </w:tcPr>
          <w:p>
            <w:pPr>
              <w:jc w:val="left"/>
            </w:pPr>
            <w:r>
              <w:rPr>
                <w:rFonts w:ascii="Aptos" w:hAnsi="Aptos"/>
                <w:sz w:val="17"/>
              </w:rPr>
              <w:t>Human business/operations owner</w:t>
            </w:r>
          </w:p>
        </w:tc>
        <w:tc>
          <w:tcPr>
            <w:tcW w:type="dxa" w:w="4392"/>
            <w:tcMar>
              <w:top w:w="100" w:type="dxa"/>
              <w:start w:w="120" w:type="dxa"/>
              <w:bottom w:w="100" w:type="dxa"/>
              <w:end w:w="120" w:type="dxa"/>
            </w:tcMar>
            <w:vAlign w:val="center"/>
          </w:tcPr>
          <w:p>
            <w:pPr>
              <w:jc w:val="left"/>
            </w:pPr>
            <w:r>
              <w:rPr>
                <w:rFonts w:ascii="Aptos" w:hAnsi="Aptos"/>
                <w:sz w:val="17"/>
              </w:rPr>
              <w:t>Approve service facts, pricing, safety/public-liability wording, availability, travel rules and operational promises.</w:t>
            </w:r>
          </w:p>
        </w:tc>
        <w:tc>
          <w:tcPr>
            <w:tcW w:type="dxa" w:w="2520"/>
            <w:tcMar>
              <w:top w:w="100" w:type="dxa"/>
              <w:start w:w="120" w:type="dxa"/>
              <w:bottom w:w="100" w:type="dxa"/>
              <w:end w:w="120" w:type="dxa"/>
            </w:tcMar>
            <w:vAlign w:val="center"/>
          </w:tcPr>
          <w:p>
            <w:pPr>
              <w:jc w:val="left"/>
            </w:pPr>
            <w:r>
              <w:rPr>
                <w:rFonts w:ascii="Aptos" w:hAnsi="Aptos"/>
                <w:sz w:val="17"/>
              </w:rPr>
              <w:t>Required before claims become verified.</w:t>
            </w:r>
          </w:p>
        </w:tc>
      </w:tr>
    </w:tbl>
    <w:p>
      <w:pPr>
        <w:spacing w:after="0"/>
      </w:pPr>
    </w:p>
    <w:p>
      <w:pPr>
        <w:pStyle w:val="Heading1"/>
      </w:pPr>
      <w:r>
        <w:t>16. Actionable Recommendations for HP-001 Development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792"/>
            <w:shd w:fill="D9E3F0"/>
            <w:tcMar>
              <w:top w:w="100" w:type="dxa"/>
              <w:start w:w="120" w:type="dxa"/>
              <w:bottom w:w="100" w:type="dxa"/>
              <w:end w:w="120" w:type="dxa"/>
            </w:tcMar>
            <w:vAlign w:val="center"/>
          </w:tcPr>
          <w:p>
            <w:pPr>
              <w:jc w:val="left"/>
            </w:pPr>
            <w:r>
              <w:rPr>
                <w:rFonts w:ascii="Aptos" w:hAnsi="Aptos"/>
                <w:b/>
                <w:sz w:val="18"/>
              </w:rPr>
              <w:t>ID</w:t>
            </w:r>
          </w:p>
        </w:tc>
        <w:tc>
          <w:tcPr>
            <w:tcW w:type="dxa" w:w="2232"/>
            <w:shd w:fill="D9E3F0"/>
            <w:tcMar>
              <w:top w:w="100" w:type="dxa"/>
              <w:start w:w="120" w:type="dxa"/>
              <w:bottom w:w="100" w:type="dxa"/>
              <w:end w:w="120" w:type="dxa"/>
            </w:tcMar>
            <w:vAlign w:val="center"/>
          </w:tcPr>
          <w:p>
            <w:pPr>
              <w:jc w:val="left"/>
            </w:pPr>
            <w:r>
              <w:rPr>
                <w:rFonts w:ascii="Aptos" w:hAnsi="Aptos"/>
                <w:b/>
                <w:sz w:val="18"/>
              </w:rPr>
              <w:t>Recommendation</w:t>
            </w:r>
          </w:p>
        </w:tc>
        <w:tc>
          <w:tcPr>
            <w:tcW w:type="dxa" w:w="4031"/>
            <w:shd w:fill="D9E3F0"/>
            <w:tcMar>
              <w:top w:w="100" w:type="dxa"/>
              <w:start w:w="120" w:type="dxa"/>
              <w:bottom w:w="100" w:type="dxa"/>
              <w:end w:w="120" w:type="dxa"/>
            </w:tcMar>
            <w:vAlign w:val="center"/>
          </w:tcPr>
          <w:p>
            <w:pPr>
              <w:jc w:val="left"/>
            </w:pPr>
            <w:r>
              <w:rPr>
                <w:rFonts w:ascii="Aptos" w:hAnsi="Aptos"/>
                <w:b/>
                <w:sz w:val="18"/>
              </w:rPr>
              <w:t>Action</w:t>
            </w:r>
          </w:p>
        </w:tc>
        <w:tc>
          <w:tcPr>
            <w:tcW w:type="dxa" w:w="2232"/>
            <w:shd w:fill="D9E3F0"/>
            <w:tcMar>
              <w:top w:w="100" w:type="dxa"/>
              <w:start w:w="120" w:type="dxa"/>
              <w:bottom w:w="100" w:type="dxa"/>
              <w:end w:w="120" w:type="dxa"/>
            </w:tcMar>
            <w:vAlign w:val="center"/>
          </w:tcPr>
          <w:p>
            <w:pPr>
              <w:jc w:val="left"/>
            </w:pPr>
            <w:r>
              <w:rPr>
                <w:rFonts w:ascii="Aptos" w:hAnsi="Aptos"/>
                <w:b/>
                <w:sz w:val="18"/>
              </w:rPr>
              <w:t>Recommended owner</w:t>
            </w:r>
          </w:p>
        </w:tc>
        <w:tc>
          <w:tcPr>
            <w:tcW w:type="dxa" w:w="1152"/>
            <w:shd w:fill="D9E3F0"/>
            <w:tcMar>
              <w:top w:w="100" w:type="dxa"/>
              <w:start w:w="120" w:type="dxa"/>
              <w:bottom w:w="100" w:type="dxa"/>
              <w:end w:w="120" w:type="dxa"/>
            </w:tcMar>
            <w:vAlign w:val="center"/>
          </w:tcPr>
          <w:p>
            <w:pPr>
              <w:jc w:val="left"/>
            </w:pPr>
            <w:r>
              <w:rPr>
                <w:rFonts w:ascii="Aptos" w:hAnsi="Aptos"/>
                <w:b/>
                <w:sz w:val="18"/>
              </w:rPr>
              <w:t>Timing</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R-01</w:t>
            </w:r>
          </w:p>
        </w:tc>
        <w:tc>
          <w:tcPr>
            <w:tcW w:type="dxa" w:w="2232"/>
            <w:tcMar>
              <w:top w:w="100" w:type="dxa"/>
              <w:start w:w="120" w:type="dxa"/>
              <w:bottom w:w="100" w:type="dxa"/>
              <w:end w:w="120" w:type="dxa"/>
            </w:tcMar>
            <w:vAlign w:val="center"/>
          </w:tcPr>
          <w:p>
            <w:pPr>
              <w:jc w:val="left"/>
            </w:pPr>
            <w:r>
              <w:rPr>
                <w:rFonts w:ascii="Aptos" w:hAnsi="Aptos"/>
                <w:sz w:val="16"/>
              </w:rPr>
              <w:t>Build an HP-001 evidence pack before factual copy lock</w:t>
            </w:r>
          </w:p>
        </w:tc>
        <w:tc>
          <w:tcPr>
            <w:tcW w:type="dxa" w:w="4031"/>
            <w:tcMar>
              <w:top w:w="100" w:type="dxa"/>
              <w:start w:w="120" w:type="dxa"/>
              <w:bottom w:w="100" w:type="dxa"/>
              <w:end w:w="120" w:type="dxa"/>
            </w:tcMar>
            <w:vAlign w:val="center"/>
          </w:tcPr>
          <w:p>
            <w:pPr>
              <w:jc w:val="left"/>
            </w:pPr>
            <w:r>
              <w:rPr>
                <w:rFonts w:ascii="Aptos" w:hAnsi="Aptos"/>
                <w:sz w:val="16"/>
              </w:rPr>
              <w:t>Collect the evidence items ER-01 to ER-15, with source owner, version/date and approval status.</w:t>
            </w:r>
          </w:p>
        </w:tc>
        <w:tc>
          <w:tcPr>
            <w:tcW w:type="dxa" w:w="2232"/>
            <w:tcMar>
              <w:top w:w="100" w:type="dxa"/>
              <w:start w:w="120" w:type="dxa"/>
              <w:bottom w:w="100" w:type="dxa"/>
              <w:end w:w="120" w:type="dxa"/>
            </w:tcMar>
            <w:vAlign w:val="center"/>
          </w:tcPr>
          <w:p>
            <w:pPr>
              <w:jc w:val="left"/>
            </w:pPr>
            <w:r>
              <w:rPr>
                <w:rFonts w:ascii="Aptos" w:hAnsi="Aptos"/>
                <w:sz w:val="16"/>
              </w:rPr>
              <w:t>Human business/operations owner + Content Manager</w:t>
            </w:r>
          </w:p>
        </w:tc>
        <w:tc>
          <w:tcPr>
            <w:tcW w:type="dxa" w:w="1152"/>
            <w:tcMar>
              <w:top w:w="100" w:type="dxa"/>
              <w:start w:w="120" w:type="dxa"/>
              <w:bottom w:w="100" w:type="dxa"/>
              <w:end w:w="120" w:type="dxa"/>
            </w:tcMar>
            <w:vAlign w:val="center"/>
          </w:tcPr>
          <w:p>
            <w:pPr>
              <w:jc w:val="left"/>
            </w:pPr>
            <w:r>
              <w:rPr>
                <w:rFonts w:ascii="Aptos" w:hAnsi="Aptos"/>
                <w:sz w:val="16"/>
              </w:rPr>
              <w:t>Before final factual copy</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R-02</w:t>
            </w:r>
          </w:p>
        </w:tc>
        <w:tc>
          <w:tcPr>
            <w:tcW w:type="dxa" w:w="2232"/>
            <w:tcMar>
              <w:top w:w="100" w:type="dxa"/>
              <w:start w:w="120" w:type="dxa"/>
              <w:bottom w:w="100" w:type="dxa"/>
              <w:end w:w="120" w:type="dxa"/>
            </w:tcMar>
            <w:vAlign w:val="center"/>
          </w:tcPr>
          <w:p>
            <w:pPr>
              <w:jc w:val="left"/>
            </w:pPr>
            <w:r>
              <w:rPr>
                <w:rFonts w:ascii="Aptos" w:hAnsi="Aptos"/>
                <w:sz w:val="16"/>
              </w:rPr>
              <w:t>Create a claim-to-evidence map</w:t>
            </w:r>
          </w:p>
        </w:tc>
        <w:tc>
          <w:tcPr>
            <w:tcW w:type="dxa" w:w="4031"/>
            <w:tcMar>
              <w:top w:w="100" w:type="dxa"/>
              <w:start w:w="120" w:type="dxa"/>
              <w:bottom w:w="100" w:type="dxa"/>
              <w:end w:w="120" w:type="dxa"/>
            </w:tcMar>
            <w:vAlign w:val="center"/>
          </w:tcPr>
          <w:p>
            <w:pPr>
              <w:jc w:val="left"/>
            </w:pPr>
            <w:r>
              <w:rPr>
                <w:rFonts w:ascii="Aptos" w:hAnsi="Aptos"/>
                <w:sz w:val="16"/>
              </w:rPr>
              <w:t>For each planned factual statement, record the exact approved source that supports it. Unverified items stay as placeholders/questions, not facts.</w:t>
            </w:r>
          </w:p>
        </w:tc>
        <w:tc>
          <w:tcPr>
            <w:tcW w:type="dxa" w:w="2232"/>
            <w:tcMar>
              <w:top w:w="100" w:type="dxa"/>
              <w:start w:w="120" w:type="dxa"/>
              <w:bottom w:w="100" w:type="dxa"/>
              <w:end w:w="120" w:type="dxa"/>
            </w:tcMar>
            <w:vAlign w:val="center"/>
          </w:tcPr>
          <w:p>
            <w:pPr>
              <w:jc w:val="left"/>
            </w:pPr>
            <w:r>
              <w:rPr>
                <w:rFonts w:ascii="Aptos" w:hAnsi="Aptos"/>
                <w:sz w:val="16"/>
              </w:rPr>
              <w:t>Content team, overseen by Authority Manager</w:t>
            </w:r>
          </w:p>
        </w:tc>
        <w:tc>
          <w:tcPr>
            <w:tcW w:type="dxa" w:w="1152"/>
            <w:tcMar>
              <w:top w:w="100" w:type="dxa"/>
              <w:start w:w="120" w:type="dxa"/>
              <w:bottom w:w="100" w:type="dxa"/>
              <w:end w:w="120" w:type="dxa"/>
            </w:tcMar>
            <w:vAlign w:val="center"/>
          </w:tcPr>
          <w:p>
            <w:pPr>
              <w:jc w:val="left"/>
            </w:pPr>
            <w:r>
              <w:rPr>
                <w:rFonts w:ascii="Aptos" w:hAnsi="Aptos"/>
                <w:sz w:val="16"/>
              </w:rPr>
              <w:t>During content development</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R-03</w:t>
            </w:r>
          </w:p>
        </w:tc>
        <w:tc>
          <w:tcPr>
            <w:tcW w:type="dxa" w:w="2232"/>
            <w:tcMar>
              <w:top w:w="100" w:type="dxa"/>
              <w:start w:w="120" w:type="dxa"/>
              <w:bottom w:w="100" w:type="dxa"/>
              <w:end w:w="120" w:type="dxa"/>
            </w:tcMar>
            <w:vAlign w:val="center"/>
          </w:tcPr>
          <w:p>
            <w:pPr>
              <w:jc w:val="left"/>
            </w:pPr>
            <w:r>
              <w:rPr>
                <w:rFonts w:ascii="Aptos" w:hAnsi="Aptos"/>
                <w:sz w:val="16"/>
              </w:rPr>
              <w:t>Protect the national/local boundary</w:t>
            </w:r>
          </w:p>
        </w:tc>
        <w:tc>
          <w:tcPr>
            <w:tcW w:type="dxa" w:w="4031"/>
            <w:tcMar>
              <w:top w:w="100" w:type="dxa"/>
              <w:start w:w="120" w:type="dxa"/>
              <w:bottom w:w="100" w:type="dxa"/>
              <w:end w:w="120" w:type="dxa"/>
            </w:tcMar>
            <w:vAlign w:val="center"/>
          </w:tcPr>
          <w:p>
            <w:pPr>
              <w:jc w:val="left"/>
            </w:pPr>
            <w:r>
              <w:rPr>
                <w:rFonts w:ascii="Aptos" w:hAnsi="Aptos"/>
                <w:sz w:val="16"/>
              </w:rPr>
              <w:t>Write HP-001 as the repeatable national service-model owner while making current bookability conditional on verified postcode/date/local pages.</w:t>
            </w:r>
          </w:p>
        </w:tc>
        <w:tc>
          <w:tcPr>
            <w:tcW w:type="dxa" w:w="2232"/>
            <w:tcMar>
              <w:top w:w="100" w:type="dxa"/>
              <w:start w:w="120" w:type="dxa"/>
              <w:bottom w:w="100" w:type="dxa"/>
              <w:end w:w="120" w:type="dxa"/>
            </w:tcMar>
            <w:vAlign w:val="center"/>
          </w:tcPr>
          <w:p>
            <w:pPr>
              <w:jc w:val="left"/>
            </w:pPr>
            <w:r>
              <w:rPr>
                <w:rFonts w:ascii="Aptos" w:hAnsi="Aptos"/>
                <w:sz w:val="16"/>
              </w:rPr>
              <w:t>Content team + operations evidence owner</w:t>
            </w:r>
          </w:p>
        </w:tc>
        <w:tc>
          <w:tcPr>
            <w:tcW w:type="dxa" w:w="1152"/>
            <w:tcMar>
              <w:top w:w="100" w:type="dxa"/>
              <w:start w:w="120" w:type="dxa"/>
              <w:bottom w:w="100" w:type="dxa"/>
              <w:end w:w="120" w:type="dxa"/>
            </w:tcMar>
            <w:vAlign w:val="center"/>
          </w:tcPr>
          <w:p>
            <w:pPr>
              <w:jc w:val="left"/>
            </w:pPr>
            <w:r>
              <w:rPr>
                <w:rFonts w:ascii="Aptos" w:hAnsi="Aptos"/>
                <w:sz w:val="16"/>
              </w:rPr>
              <w:t>Before draft approval</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R-04</w:t>
            </w:r>
          </w:p>
        </w:tc>
        <w:tc>
          <w:tcPr>
            <w:tcW w:type="dxa" w:w="2232"/>
            <w:tcMar>
              <w:top w:w="100" w:type="dxa"/>
              <w:start w:w="120" w:type="dxa"/>
              <w:bottom w:w="100" w:type="dxa"/>
              <w:end w:w="120" w:type="dxa"/>
            </w:tcMar>
            <w:vAlign w:val="center"/>
          </w:tcPr>
          <w:p>
            <w:pPr>
              <w:jc w:val="left"/>
            </w:pPr>
            <w:r>
              <w:rPr>
                <w:rFonts w:ascii="Aptos" w:hAnsi="Aptos"/>
                <w:sz w:val="16"/>
              </w:rPr>
              <w:t>Treat pricing, service area and safety as high-verification content</w:t>
            </w:r>
          </w:p>
        </w:tc>
        <w:tc>
          <w:tcPr>
            <w:tcW w:type="dxa" w:w="4031"/>
            <w:tcMar>
              <w:top w:w="100" w:type="dxa"/>
              <w:start w:w="120" w:type="dxa"/>
              <w:bottom w:w="100" w:type="dxa"/>
              <w:end w:w="120" w:type="dxa"/>
            </w:tcMar>
            <w:vAlign w:val="center"/>
          </w:tcPr>
          <w:p>
            <w:pPr>
              <w:jc w:val="left"/>
            </w:pPr>
            <w:r>
              <w:rPr>
                <w:rFonts w:ascii="Aptos" w:hAnsi="Aptos"/>
                <w:sz w:val="16"/>
              </w:rPr>
              <w:t>Require explicit current approval before these claims appear; do not rely on legacy pages.</w:t>
            </w:r>
          </w:p>
        </w:tc>
        <w:tc>
          <w:tcPr>
            <w:tcW w:type="dxa" w:w="2232"/>
            <w:tcMar>
              <w:top w:w="100" w:type="dxa"/>
              <w:start w:w="120" w:type="dxa"/>
              <w:bottom w:w="100" w:type="dxa"/>
              <w:end w:w="120" w:type="dxa"/>
            </w:tcMar>
            <w:vAlign w:val="center"/>
          </w:tcPr>
          <w:p>
            <w:pPr>
              <w:jc w:val="left"/>
            </w:pPr>
            <w:r>
              <w:rPr>
                <w:rFonts w:ascii="Aptos" w:hAnsi="Aptos"/>
                <w:sz w:val="16"/>
              </w:rPr>
              <w:t>Human approver + Content team</w:t>
            </w:r>
          </w:p>
        </w:tc>
        <w:tc>
          <w:tcPr>
            <w:tcW w:type="dxa" w:w="1152"/>
            <w:tcMar>
              <w:top w:w="100" w:type="dxa"/>
              <w:start w:w="120" w:type="dxa"/>
              <w:bottom w:w="100" w:type="dxa"/>
              <w:end w:w="120" w:type="dxa"/>
            </w:tcMar>
            <w:vAlign w:val="center"/>
          </w:tcPr>
          <w:p>
            <w:pPr>
              <w:jc w:val="left"/>
            </w:pPr>
            <w:r>
              <w:rPr>
                <w:rFonts w:ascii="Aptos" w:hAnsi="Aptos"/>
                <w:sz w:val="16"/>
              </w:rPr>
              <w:t>Before publication</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R-05</w:t>
            </w:r>
          </w:p>
        </w:tc>
        <w:tc>
          <w:tcPr>
            <w:tcW w:type="dxa" w:w="2232"/>
            <w:tcMar>
              <w:top w:w="100" w:type="dxa"/>
              <w:start w:w="120" w:type="dxa"/>
              <w:bottom w:w="100" w:type="dxa"/>
              <w:end w:w="120" w:type="dxa"/>
            </w:tcMar>
            <w:vAlign w:val="center"/>
          </w:tcPr>
          <w:p>
            <w:pPr>
              <w:jc w:val="left"/>
            </w:pPr>
            <w:r>
              <w:rPr>
                <w:rFonts w:ascii="Aptos" w:hAnsi="Aptos"/>
                <w:sz w:val="16"/>
              </w:rPr>
              <w:t>Use authentic house-party proof</w:t>
            </w:r>
          </w:p>
        </w:tc>
        <w:tc>
          <w:tcPr>
            <w:tcW w:type="dxa" w:w="4031"/>
            <w:tcMar>
              <w:top w:w="100" w:type="dxa"/>
              <w:start w:w="120" w:type="dxa"/>
              <w:bottom w:w="100" w:type="dxa"/>
              <w:end w:w="120" w:type="dxa"/>
            </w:tcMar>
            <w:vAlign w:val="center"/>
          </w:tcPr>
          <w:p>
            <w:pPr>
              <w:jc w:val="left"/>
            </w:pPr>
            <w:r>
              <w:rPr>
                <w:rFonts w:ascii="Aptos" w:hAnsi="Aptos"/>
                <w:sz w:val="16"/>
              </w:rPr>
              <w:t>Only use original, relevant and permissioned photos/testimonials; keep provenance and consent records.</w:t>
            </w:r>
          </w:p>
        </w:tc>
        <w:tc>
          <w:tcPr>
            <w:tcW w:type="dxa" w:w="2232"/>
            <w:tcMar>
              <w:top w:w="100" w:type="dxa"/>
              <w:start w:w="120" w:type="dxa"/>
              <w:bottom w:w="100" w:type="dxa"/>
              <w:end w:w="120" w:type="dxa"/>
            </w:tcMar>
            <w:vAlign w:val="center"/>
          </w:tcPr>
          <w:p>
            <w:pPr>
              <w:jc w:val="left"/>
            </w:pPr>
            <w:r>
              <w:rPr>
                <w:rFonts w:ascii="Aptos" w:hAnsi="Aptos"/>
                <w:sz w:val="16"/>
              </w:rPr>
              <w:t>Content/brand asset owner</w:t>
            </w:r>
          </w:p>
        </w:tc>
        <w:tc>
          <w:tcPr>
            <w:tcW w:type="dxa" w:w="1152"/>
            <w:tcMar>
              <w:top w:w="100" w:type="dxa"/>
              <w:start w:w="120" w:type="dxa"/>
              <w:bottom w:w="100" w:type="dxa"/>
              <w:end w:w="120" w:type="dxa"/>
            </w:tcMar>
            <w:vAlign w:val="center"/>
          </w:tcPr>
          <w:p>
            <w:pPr>
              <w:jc w:val="left"/>
            </w:pPr>
            <w:r>
              <w:rPr>
                <w:rFonts w:ascii="Aptos" w:hAnsi="Aptos"/>
                <w:sz w:val="16"/>
              </w:rPr>
              <w:t>Before proof modules are built</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R-06</w:t>
            </w:r>
          </w:p>
        </w:tc>
        <w:tc>
          <w:tcPr>
            <w:tcW w:type="dxa" w:w="2232"/>
            <w:tcMar>
              <w:top w:w="100" w:type="dxa"/>
              <w:start w:w="120" w:type="dxa"/>
              <w:bottom w:w="100" w:type="dxa"/>
              <w:end w:w="120" w:type="dxa"/>
            </w:tcMar>
            <w:vAlign w:val="center"/>
          </w:tcPr>
          <w:p>
            <w:pPr>
              <w:jc w:val="left"/>
            </w:pPr>
            <w:r>
              <w:rPr>
                <w:rFonts w:ascii="Aptos" w:hAnsi="Aptos"/>
                <w:sz w:val="16"/>
              </w:rPr>
              <w:t>Verify the response-time promise</w:t>
            </w:r>
          </w:p>
        </w:tc>
        <w:tc>
          <w:tcPr>
            <w:tcW w:type="dxa" w:w="4031"/>
            <w:tcMar>
              <w:top w:w="100" w:type="dxa"/>
              <w:start w:w="120" w:type="dxa"/>
              <w:bottom w:w="100" w:type="dxa"/>
              <w:end w:w="120" w:type="dxa"/>
            </w:tcMar>
            <w:vAlign w:val="center"/>
          </w:tcPr>
          <w:p>
            <w:pPr>
              <w:jc w:val="left"/>
            </w:pPr>
            <w:r>
              <w:rPr>
                <w:rFonts w:ascii="Aptos" w:hAnsi="Aptos"/>
                <w:sz w:val="16"/>
              </w:rPr>
              <w:t>Provide an approved service standard or remove/qualify the planned promise.</w:t>
            </w:r>
          </w:p>
        </w:tc>
        <w:tc>
          <w:tcPr>
            <w:tcW w:type="dxa" w:w="2232"/>
            <w:tcMar>
              <w:top w:w="100" w:type="dxa"/>
              <w:start w:w="120" w:type="dxa"/>
              <w:bottom w:w="100" w:type="dxa"/>
              <w:end w:w="120" w:type="dxa"/>
            </w:tcMar>
            <w:vAlign w:val="center"/>
          </w:tcPr>
          <w:p>
            <w:pPr>
              <w:jc w:val="left"/>
            </w:pPr>
            <w:r>
              <w:rPr>
                <w:rFonts w:ascii="Aptos" w:hAnsi="Aptos"/>
                <w:sz w:val="16"/>
              </w:rPr>
              <w:t>Operations/customer-service owner</w:t>
            </w:r>
          </w:p>
        </w:tc>
        <w:tc>
          <w:tcPr>
            <w:tcW w:type="dxa" w:w="1152"/>
            <w:tcMar>
              <w:top w:w="100" w:type="dxa"/>
              <w:start w:w="120" w:type="dxa"/>
              <w:bottom w:w="100" w:type="dxa"/>
              <w:end w:w="120" w:type="dxa"/>
            </w:tcMar>
            <w:vAlign w:val="center"/>
          </w:tcPr>
          <w:p>
            <w:pPr>
              <w:jc w:val="left"/>
            </w:pPr>
            <w:r>
              <w:rPr>
                <w:rFonts w:ascii="Aptos" w:hAnsi="Aptos"/>
                <w:sz w:val="16"/>
              </w:rPr>
              <w:t>Before CRO module finalisation</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R-07</w:t>
            </w:r>
          </w:p>
        </w:tc>
        <w:tc>
          <w:tcPr>
            <w:tcW w:type="dxa" w:w="2232"/>
            <w:tcMar>
              <w:top w:w="100" w:type="dxa"/>
              <w:start w:w="120" w:type="dxa"/>
              <w:bottom w:w="100" w:type="dxa"/>
              <w:end w:w="120" w:type="dxa"/>
            </w:tcMar>
            <w:vAlign w:val="center"/>
          </w:tcPr>
          <w:p>
            <w:pPr>
              <w:jc w:val="left"/>
            </w:pPr>
            <w:r>
              <w:rPr>
                <w:rFonts w:ascii="Aptos" w:hAnsi="Aptos"/>
                <w:sz w:val="16"/>
              </w:rPr>
              <w:t>Prevent legacy brand contamination</w:t>
            </w:r>
          </w:p>
        </w:tc>
        <w:tc>
          <w:tcPr>
            <w:tcW w:type="dxa" w:w="4031"/>
            <w:tcMar>
              <w:top w:w="100" w:type="dxa"/>
              <w:start w:w="120" w:type="dxa"/>
              <w:bottom w:w="100" w:type="dxa"/>
              <w:end w:w="120" w:type="dxa"/>
            </w:tcMar>
            <w:vAlign w:val="center"/>
          </w:tcPr>
          <w:p>
            <w:pPr>
              <w:jc w:val="left"/>
            </w:pPr>
            <w:r>
              <w:rPr>
                <w:rFonts w:ascii="Aptos" w:hAnsi="Aptos"/>
                <w:sz w:val="16"/>
              </w:rPr>
              <w:t>Do not reuse obsolete fixed-venue, King Street, TopYard, Forest Hill, corporate or school statements unless specifically re-approved.</w:t>
            </w:r>
          </w:p>
        </w:tc>
        <w:tc>
          <w:tcPr>
            <w:tcW w:type="dxa" w:w="2232"/>
            <w:tcMar>
              <w:top w:w="100" w:type="dxa"/>
              <w:start w:w="120" w:type="dxa"/>
              <w:bottom w:w="100" w:type="dxa"/>
              <w:end w:w="120" w:type="dxa"/>
            </w:tcMar>
            <w:vAlign w:val="center"/>
          </w:tcPr>
          <w:p>
            <w:pPr>
              <w:jc w:val="left"/>
            </w:pPr>
            <w:r>
              <w:rPr>
                <w:rFonts w:ascii="Aptos" w:hAnsi="Aptos"/>
                <w:sz w:val="16"/>
              </w:rPr>
              <w:t>Content Manager + relevant page owners</w:t>
            </w:r>
          </w:p>
        </w:tc>
        <w:tc>
          <w:tcPr>
            <w:tcW w:type="dxa" w:w="1152"/>
            <w:tcMar>
              <w:top w:w="100" w:type="dxa"/>
              <w:start w:w="120" w:type="dxa"/>
              <w:bottom w:w="100" w:type="dxa"/>
              <w:end w:w="120" w:type="dxa"/>
            </w:tcMar>
            <w:vAlign w:val="center"/>
          </w:tcPr>
          <w:p>
            <w:pPr>
              <w:jc w:val="left"/>
            </w:pPr>
            <w:r>
              <w:rPr>
                <w:rFonts w:ascii="Aptos" w:hAnsi="Aptos"/>
                <w:sz w:val="16"/>
              </w:rPr>
              <w:t>During migration/consolidation</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R-08</w:t>
            </w:r>
          </w:p>
        </w:tc>
        <w:tc>
          <w:tcPr>
            <w:tcW w:type="dxa" w:w="2232"/>
            <w:tcMar>
              <w:top w:w="100" w:type="dxa"/>
              <w:start w:w="120" w:type="dxa"/>
              <w:bottom w:w="100" w:type="dxa"/>
              <w:end w:w="120" w:type="dxa"/>
            </w:tcMar>
            <w:vAlign w:val="center"/>
          </w:tcPr>
          <w:p>
            <w:pPr>
              <w:jc w:val="left"/>
            </w:pPr>
            <w:r>
              <w:rPr>
                <w:rFonts w:ascii="Aptos" w:hAnsi="Aptos"/>
                <w:sz w:val="16"/>
              </w:rPr>
              <w:t>Keep service models distinct</w:t>
            </w:r>
          </w:p>
        </w:tc>
        <w:tc>
          <w:tcPr>
            <w:tcW w:type="dxa" w:w="4031"/>
            <w:tcMar>
              <w:top w:w="100" w:type="dxa"/>
              <w:start w:w="120" w:type="dxa"/>
              <w:bottom w:w="100" w:type="dxa"/>
              <w:end w:w="120" w:type="dxa"/>
            </w:tcMar>
            <w:vAlign w:val="center"/>
          </w:tcPr>
          <w:p>
            <w:pPr>
              <w:jc w:val="left"/>
            </w:pPr>
            <w:r>
              <w:rPr>
                <w:rFonts w:ascii="Aptos" w:hAnsi="Aptos"/>
                <w:sz w:val="16"/>
              </w:rPr>
              <w:t>Define house party, customer-selected venue, partner venue and private venue hire using current operational facts; route to the appropriate page owners.</w:t>
            </w:r>
          </w:p>
        </w:tc>
        <w:tc>
          <w:tcPr>
            <w:tcW w:type="dxa" w:w="2232"/>
            <w:tcMar>
              <w:top w:w="100" w:type="dxa"/>
              <w:start w:w="120" w:type="dxa"/>
              <w:bottom w:w="100" w:type="dxa"/>
              <w:end w:w="120" w:type="dxa"/>
            </w:tcMar>
            <w:vAlign w:val="center"/>
          </w:tcPr>
          <w:p>
            <w:pPr>
              <w:jc w:val="left"/>
            </w:pPr>
            <w:r>
              <w:rPr>
                <w:rFonts w:ascii="Aptos" w:hAnsi="Aptos"/>
                <w:sz w:val="16"/>
              </w:rPr>
              <w:t>Content team + operations</w:t>
            </w:r>
          </w:p>
        </w:tc>
        <w:tc>
          <w:tcPr>
            <w:tcW w:type="dxa" w:w="1152"/>
            <w:tcMar>
              <w:top w:w="100" w:type="dxa"/>
              <w:start w:w="120" w:type="dxa"/>
              <w:bottom w:w="100" w:type="dxa"/>
              <w:end w:w="120" w:type="dxa"/>
            </w:tcMar>
            <w:vAlign w:val="center"/>
          </w:tcPr>
          <w:p>
            <w:pPr>
              <w:jc w:val="left"/>
            </w:pPr>
            <w:r>
              <w:rPr>
                <w:rFonts w:ascii="Aptos" w:hAnsi="Aptos"/>
                <w:sz w:val="16"/>
              </w:rPr>
              <w:t>During information architecture/copy</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R-09</w:t>
            </w:r>
          </w:p>
        </w:tc>
        <w:tc>
          <w:tcPr>
            <w:tcW w:type="dxa" w:w="2232"/>
            <w:tcMar>
              <w:top w:w="100" w:type="dxa"/>
              <w:start w:w="120" w:type="dxa"/>
              <w:bottom w:w="100" w:type="dxa"/>
              <w:end w:w="120" w:type="dxa"/>
            </w:tcMar>
            <w:vAlign w:val="center"/>
          </w:tcPr>
          <w:p>
            <w:pPr>
              <w:jc w:val="left"/>
            </w:pPr>
            <w:r>
              <w:rPr>
                <w:rFonts w:ascii="Aptos" w:hAnsi="Aptos"/>
                <w:sz w:val="16"/>
              </w:rPr>
              <w:t>Coordinate authority-supporting links without taking over Technical SEO</w:t>
            </w:r>
          </w:p>
        </w:tc>
        <w:tc>
          <w:tcPr>
            <w:tcW w:type="dxa" w:w="4031"/>
            <w:tcMar>
              <w:top w:w="100" w:type="dxa"/>
              <w:start w:w="120" w:type="dxa"/>
              <w:bottom w:w="100" w:type="dxa"/>
              <w:end w:w="120" w:type="dxa"/>
            </w:tcMar>
            <w:vAlign w:val="center"/>
          </w:tcPr>
          <w:p>
            <w:pPr>
              <w:jc w:val="left"/>
            </w:pPr>
            <w:r>
              <w:rPr>
                <w:rFonts w:ascii="Aptos" w:hAnsi="Aptos"/>
                <w:sz w:val="16"/>
              </w:rPr>
              <w:t>Preserve the approved relationship map and flag implementation/validation to Technical SEO/Internal Linking specialist.</w:t>
            </w:r>
          </w:p>
        </w:tc>
        <w:tc>
          <w:tcPr>
            <w:tcW w:type="dxa" w:w="2232"/>
            <w:tcMar>
              <w:top w:w="100" w:type="dxa"/>
              <w:start w:w="120" w:type="dxa"/>
              <w:bottom w:w="100" w:type="dxa"/>
              <w:end w:w="120" w:type="dxa"/>
            </w:tcMar>
            <w:vAlign w:val="center"/>
          </w:tcPr>
          <w:p>
            <w:pPr>
              <w:jc w:val="left"/>
            </w:pPr>
            <w:r>
              <w:rPr>
                <w:rFonts w:ascii="Aptos" w:hAnsi="Aptos"/>
                <w:sz w:val="16"/>
              </w:rPr>
              <w:t>Technical SEO / Internal Linking</w:t>
            </w:r>
          </w:p>
        </w:tc>
        <w:tc>
          <w:tcPr>
            <w:tcW w:type="dxa" w:w="1152"/>
            <w:tcMar>
              <w:top w:w="100" w:type="dxa"/>
              <w:start w:w="120" w:type="dxa"/>
              <w:bottom w:w="100" w:type="dxa"/>
              <w:end w:w="120" w:type="dxa"/>
            </w:tcMar>
            <w:vAlign w:val="center"/>
          </w:tcPr>
          <w:p>
            <w:pPr>
              <w:jc w:val="left"/>
            </w:pPr>
            <w:r>
              <w:rPr>
                <w:rFonts w:ascii="Aptos" w:hAnsi="Aptos"/>
                <w:sz w:val="16"/>
              </w:rPr>
              <w:t>Implementation dependency</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R-10</w:t>
            </w:r>
          </w:p>
        </w:tc>
        <w:tc>
          <w:tcPr>
            <w:tcW w:type="dxa" w:w="2232"/>
            <w:tcMar>
              <w:top w:w="100" w:type="dxa"/>
              <w:start w:w="120" w:type="dxa"/>
              <w:bottom w:w="100" w:type="dxa"/>
              <w:end w:w="120" w:type="dxa"/>
            </w:tcMar>
            <w:vAlign w:val="center"/>
          </w:tcPr>
          <w:p>
            <w:pPr>
              <w:jc w:val="left"/>
            </w:pPr>
            <w:r>
              <w:rPr>
                <w:rFonts w:ascii="Aptos" w:hAnsi="Aptos"/>
                <w:sz w:val="16"/>
              </w:rPr>
              <w:t>Route detailed authority work</w:t>
            </w:r>
          </w:p>
        </w:tc>
        <w:tc>
          <w:tcPr>
            <w:tcW w:type="dxa" w:w="4031"/>
            <w:tcMar>
              <w:top w:w="100" w:type="dxa"/>
              <w:start w:w="120" w:type="dxa"/>
              <w:bottom w:w="100" w:type="dxa"/>
              <w:end w:w="120" w:type="dxa"/>
            </w:tcMar>
            <w:vAlign w:val="center"/>
          </w:tcPr>
          <w:p>
            <w:pPr>
              <w:jc w:val="left"/>
            </w:pPr>
            <w:r>
              <w:rPr>
                <w:rFonts w:ascii="Aptos" w:hAnsi="Aptos"/>
                <w:sz w:val="16"/>
              </w:rPr>
              <w:t>Send PR opportunity work to Digital PR Specialist; backlink/referring-domain analysis to Backlink Auditor; deeper citation/trust-signal analysis to Brand Authority Builder.</w:t>
            </w:r>
          </w:p>
        </w:tc>
        <w:tc>
          <w:tcPr>
            <w:tcW w:type="dxa" w:w="2232"/>
            <w:tcMar>
              <w:top w:w="100" w:type="dxa"/>
              <w:start w:w="120" w:type="dxa"/>
              <w:bottom w:w="100" w:type="dxa"/>
              <w:end w:w="120" w:type="dxa"/>
            </w:tcMar>
            <w:vAlign w:val="center"/>
          </w:tcPr>
          <w:p>
            <w:pPr>
              <w:jc w:val="left"/>
            </w:pPr>
            <w:r>
              <w:rPr>
                <w:rFonts w:ascii="Aptos" w:hAnsi="Aptos"/>
                <w:sz w:val="16"/>
              </w:rPr>
              <w:t>Authority Manager routing</w:t>
            </w:r>
          </w:p>
        </w:tc>
        <w:tc>
          <w:tcPr>
            <w:tcW w:type="dxa" w:w="1152"/>
            <w:tcMar>
              <w:top w:w="100" w:type="dxa"/>
              <w:start w:w="120" w:type="dxa"/>
              <w:bottom w:w="100" w:type="dxa"/>
              <w:end w:w="120" w:type="dxa"/>
            </w:tcMar>
            <w:vAlign w:val="center"/>
          </w:tcPr>
          <w:p>
            <w:pPr>
              <w:jc w:val="left"/>
            </w:pPr>
            <w:r>
              <w:rPr>
                <w:rFonts w:ascii="Aptos" w:hAnsi="Aptos"/>
                <w:sz w:val="16"/>
              </w:rPr>
              <w:t>When specialist analysis begins</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R-11</w:t>
            </w:r>
          </w:p>
        </w:tc>
        <w:tc>
          <w:tcPr>
            <w:tcW w:type="dxa" w:w="2232"/>
            <w:tcMar>
              <w:top w:w="100" w:type="dxa"/>
              <w:start w:w="120" w:type="dxa"/>
              <w:bottom w:w="100" w:type="dxa"/>
              <w:end w:w="120" w:type="dxa"/>
            </w:tcMar>
            <w:vAlign w:val="center"/>
          </w:tcPr>
          <w:p>
            <w:pPr>
              <w:jc w:val="left"/>
            </w:pPr>
            <w:r>
              <w:rPr>
                <w:rFonts w:ascii="Aptos" w:hAnsi="Aptos"/>
                <w:sz w:val="16"/>
              </w:rPr>
              <w:t>Do not use unverified analytics as sales proof</w:t>
            </w:r>
          </w:p>
        </w:tc>
        <w:tc>
          <w:tcPr>
            <w:tcW w:type="dxa" w:w="4031"/>
            <w:tcMar>
              <w:top w:w="100" w:type="dxa"/>
              <w:start w:w="120" w:type="dxa"/>
              <w:bottom w:w="100" w:type="dxa"/>
              <w:end w:w="120" w:type="dxa"/>
            </w:tcMar>
            <w:vAlign w:val="center"/>
          </w:tcPr>
          <w:p>
            <w:pPr>
              <w:jc w:val="left"/>
            </w:pPr>
            <w:r>
              <w:rPr>
                <w:rFonts w:ascii="Aptos" w:hAnsi="Aptos"/>
                <w:sz w:val="16"/>
              </w:rPr>
              <w:t>Existing “configured conversions” may inform internal planning only until Analytics validates event definitions.</w:t>
            </w:r>
          </w:p>
        </w:tc>
        <w:tc>
          <w:tcPr>
            <w:tcW w:type="dxa" w:w="2232"/>
            <w:tcMar>
              <w:top w:w="100" w:type="dxa"/>
              <w:start w:w="120" w:type="dxa"/>
              <w:bottom w:w="100" w:type="dxa"/>
              <w:end w:w="120" w:type="dxa"/>
            </w:tcMar>
            <w:vAlign w:val="center"/>
          </w:tcPr>
          <w:p>
            <w:pPr>
              <w:jc w:val="left"/>
            </w:pPr>
            <w:r>
              <w:rPr>
                <w:rFonts w:ascii="Aptos" w:hAnsi="Aptos"/>
                <w:sz w:val="16"/>
              </w:rPr>
              <w:t>Analytics</w:t>
            </w:r>
          </w:p>
        </w:tc>
        <w:tc>
          <w:tcPr>
            <w:tcW w:type="dxa" w:w="1152"/>
            <w:tcMar>
              <w:top w:w="100" w:type="dxa"/>
              <w:start w:w="120" w:type="dxa"/>
              <w:bottom w:w="100" w:type="dxa"/>
              <w:end w:w="120" w:type="dxa"/>
            </w:tcMar>
            <w:vAlign w:val="center"/>
          </w:tcPr>
          <w:p>
            <w:pPr>
              <w:jc w:val="left"/>
            </w:pPr>
            <w:r>
              <w:rPr>
                <w:rFonts w:ascii="Aptos" w:hAnsi="Aptos"/>
                <w:sz w:val="16"/>
              </w:rPr>
              <w:t>Before performance claims</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R-12</w:t>
            </w:r>
          </w:p>
        </w:tc>
        <w:tc>
          <w:tcPr>
            <w:tcW w:type="dxa" w:w="2232"/>
            <w:tcMar>
              <w:top w:w="100" w:type="dxa"/>
              <w:start w:w="120" w:type="dxa"/>
              <w:bottom w:w="100" w:type="dxa"/>
              <w:end w:w="120" w:type="dxa"/>
            </w:tcMar>
            <w:vAlign w:val="center"/>
          </w:tcPr>
          <w:p>
            <w:pPr>
              <w:jc w:val="left"/>
            </w:pPr>
            <w:r>
              <w:rPr>
                <w:rFonts w:ascii="Aptos" w:hAnsi="Aptos"/>
                <w:sz w:val="16"/>
              </w:rPr>
              <w:t>Retain keyword inputs without re-strategising</w:t>
            </w:r>
          </w:p>
        </w:tc>
        <w:tc>
          <w:tcPr>
            <w:tcW w:type="dxa" w:w="4031"/>
            <w:tcMar>
              <w:top w:w="100" w:type="dxa"/>
              <w:start w:w="120" w:type="dxa"/>
              <w:bottom w:w="100" w:type="dxa"/>
              <w:end w:w="120" w:type="dxa"/>
            </w:tcMar>
            <w:vAlign w:val="center"/>
          </w:tcPr>
          <w:p>
            <w:pPr>
              <w:jc w:val="left"/>
            </w:pPr>
            <w:r>
              <w:rPr>
                <w:rFonts w:ascii="Aptos" w:hAnsi="Aptos"/>
                <w:sz w:val="16"/>
              </w:rPr>
              <w:t>Use the supplied HP-001 terms as inputs; authority review should focus on whether their implied service claims are evidence-supported, not change keyword ownership.</w:t>
            </w:r>
          </w:p>
        </w:tc>
        <w:tc>
          <w:tcPr>
            <w:tcW w:type="dxa" w:w="2232"/>
            <w:tcMar>
              <w:top w:w="100" w:type="dxa"/>
              <w:start w:w="120" w:type="dxa"/>
              <w:bottom w:w="100" w:type="dxa"/>
              <w:end w:w="120" w:type="dxa"/>
            </w:tcMar>
            <w:vAlign w:val="center"/>
          </w:tcPr>
          <w:p>
            <w:pPr>
              <w:jc w:val="left"/>
            </w:pPr>
            <w:r>
              <w:rPr>
                <w:rFonts w:ascii="Aptos" w:hAnsi="Aptos"/>
                <w:sz w:val="16"/>
              </w:rPr>
              <w:t>Content/Search/Strategy owners</w:t>
            </w:r>
          </w:p>
        </w:tc>
        <w:tc>
          <w:tcPr>
            <w:tcW w:type="dxa" w:w="1152"/>
            <w:tcMar>
              <w:top w:w="100" w:type="dxa"/>
              <w:start w:w="120" w:type="dxa"/>
              <w:bottom w:w="100" w:type="dxa"/>
              <w:end w:w="120" w:type="dxa"/>
            </w:tcMar>
            <w:vAlign w:val="center"/>
          </w:tcPr>
          <w:p>
            <w:pPr>
              <w:jc w:val="left"/>
            </w:pPr>
            <w:r>
              <w:rPr>
                <w:rFonts w:ascii="Aptos" w:hAnsi="Aptos"/>
                <w:sz w:val="16"/>
              </w:rPr>
              <w:t>Ongoing</w:t>
            </w:r>
          </w:p>
        </w:tc>
      </w:tr>
    </w:tbl>
    <w:p>
      <w:pPr>
        <w:spacing w:after="0"/>
      </w:pPr>
    </w:p>
    <w:p>
      <w:pPr>
        <w:pStyle w:val="Heading1"/>
      </w:pPr>
      <w:r>
        <w:t>17. Pre-Development Conclusion</w:t>
      </w:r>
    </w:p>
    <w:p>
      <w:r>
        <w:rPr>
          <w:b/>
        </w:rPr>
        <w:t xml:space="preserve">Finding. </w:t>
      </w:r>
      <w:r>
        <w:t>The approved architecture gives HP-001 a defined commercial job, a clear authority/trust intent, a documented internal relationship model and measurable evidence that existing at-home party visibility is fragmented. This is sufficient to justify continued pre-development planning from an Authority Manager perspective. It is not sufficient to treat the planned operational statements as verified facts.</w:t>
      </w:r>
    </w:p>
    <w:p>
      <w:r>
        <w:rPr>
          <w:b/>
        </w:rPr>
        <w:t xml:space="preserve">Evidence readiness. </w:t>
      </w:r>
      <w:r>
        <w:t>The most important next step is to assemble and approve the operational evidence pack. Until then, pricing, service area, age/capacity, equipment, setup, safety/public-liability, connectivity, weather, response-time, optional coordination and customer-proof claims remain “Evidence Required”.</w:t>
      </w:r>
    </w:p>
    <w:p>
      <w:r>
        <w:rPr>
          <w:b/>
        </w:rPr>
        <w:t xml:space="preserve">Governance. </w:t>
      </w:r>
      <w:r>
        <w:t>Formal development readiness under a Definition of Ready is not determined here because the project’s final DoR and certain escalation thresholds remain unresolved. Any material conflict, new strategic choice or reputational/safety uncertainty should be escalated rather than resolved by assumption.</w:t>
      </w:r>
    </w:p>
    <w:p>
      <w:r>
        <w:rPr>
          <w:b/>
        </w:rPr>
        <w:t xml:space="preserve">No audit outcome. </w:t>
      </w:r>
      <w:r>
        <w:t>HP-001 has not been developed. This report is a pre-development analysis and recommendation package only; it does not constitute an Authority Manager audit, approval, rejection or publication decision.</w:t>
      </w:r>
    </w:p>
    <w:p>
      <w:pPr>
        <w:pStyle w:val="Heading1"/>
      </w:pPr>
      <w:r>
        <w:t>18. Supporting Evidence and Source Register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D9E3F0"/>
            <w:tcMar>
              <w:top w:w="100" w:type="dxa"/>
              <w:start w:w="120" w:type="dxa"/>
              <w:bottom w:w="100" w:type="dxa"/>
              <w:end w:w="120" w:type="dxa"/>
            </w:tcMar>
            <w:vAlign w:val="center"/>
          </w:tcPr>
          <w:p>
            <w:pPr>
              <w:jc w:val="left"/>
            </w:pPr>
            <w:r>
              <w:rPr>
                <w:rFonts w:ascii="Aptos" w:hAnsi="Aptos"/>
                <w:b/>
                <w:sz w:val="18"/>
              </w:rPr>
              <w:t>ID</w:t>
            </w:r>
          </w:p>
        </w:tc>
        <w:tc>
          <w:tcPr>
            <w:tcW w:type="dxa" w:w="4392"/>
            <w:shd w:fill="D9E3F0"/>
            <w:tcMar>
              <w:top w:w="100" w:type="dxa"/>
              <w:start w:w="120" w:type="dxa"/>
              <w:bottom w:w="100" w:type="dxa"/>
              <w:end w:w="120" w:type="dxa"/>
            </w:tcMar>
            <w:vAlign w:val="center"/>
          </w:tcPr>
          <w:p>
            <w:pPr>
              <w:jc w:val="left"/>
            </w:pPr>
            <w:r>
              <w:rPr>
                <w:rFonts w:ascii="Aptos" w:hAnsi="Aptos"/>
                <w:b/>
                <w:sz w:val="18"/>
              </w:rPr>
              <w:t>Source</w:t>
            </w:r>
          </w:p>
        </w:tc>
        <w:tc>
          <w:tcPr>
            <w:tcW w:type="dxa" w:w="3816"/>
            <w:shd w:fill="D9E3F0"/>
            <w:tcMar>
              <w:top w:w="100" w:type="dxa"/>
              <w:start w:w="120" w:type="dxa"/>
              <w:bottom w:w="100" w:type="dxa"/>
              <w:end w:w="120" w:type="dxa"/>
            </w:tcMar>
            <w:vAlign w:val="center"/>
          </w:tcPr>
          <w:p>
            <w:pPr>
              <w:jc w:val="left"/>
            </w:pPr>
            <w:r>
              <w:rPr>
                <w:rFonts w:ascii="Aptos" w:hAnsi="Aptos"/>
                <w:b/>
                <w:sz w:val="18"/>
              </w:rPr>
              <w:t>Use in this report</w:t>
            </w:r>
          </w:p>
        </w:tc>
        <w:tc>
          <w:tcPr>
            <w:tcW w:type="dxa" w:w="1224"/>
            <w:shd w:fill="D9E3F0"/>
            <w:tcMar>
              <w:top w:w="100" w:type="dxa"/>
              <w:start w:w="120" w:type="dxa"/>
              <w:bottom w:w="100" w:type="dxa"/>
              <w:end w:w="120" w:type="dxa"/>
            </w:tcMar>
            <w:vAlign w:val="center"/>
          </w:tcPr>
          <w:p>
            <w:pPr>
              <w:jc w:val="left"/>
            </w:pPr>
            <w:r>
              <w:rPr>
                <w:rFonts w:ascii="Aptos" w:hAnsi="Aptos"/>
                <w:b/>
                <w:sz w:val="18"/>
              </w:rPr>
              <w:t>Priority/status</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S-01</w:t>
            </w:r>
          </w:p>
        </w:tc>
        <w:tc>
          <w:tcPr>
            <w:tcW w:type="dxa" w:w="4392"/>
            <w:tcMar>
              <w:top w:w="100" w:type="dxa"/>
              <w:start w:w="120" w:type="dxa"/>
              <w:bottom w:w="100" w:type="dxa"/>
              <w:end w:w="120" w:type="dxa"/>
            </w:tcMar>
            <w:vAlign w:val="center"/>
          </w:tcPr>
          <w:p>
            <w:pPr>
              <w:jc w:val="left"/>
            </w:pPr>
            <w:r>
              <w:rPr>
                <w:rFonts w:ascii="Aptos" w:hAnsi="Aptos"/>
                <w:sz w:val="16"/>
              </w:rPr>
              <w:t>Digital Marketing Centre of Excellence Graduate Handbook — Part III / Part VI</w:t>
            </w:r>
          </w:p>
        </w:tc>
        <w:tc>
          <w:tcPr>
            <w:tcW w:type="dxa" w:w="3816"/>
            <w:tcMar>
              <w:top w:w="100" w:type="dxa"/>
              <w:start w:w="120" w:type="dxa"/>
              <w:bottom w:w="100" w:type="dxa"/>
              <w:end w:w="120" w:type="dxa"/>
            </w:tcMar>
            <w:vAlign w:val="center"/>
          </w:tcPr>
          <w:p>
            <w:pPr>
              <w:jc w:val="left"/>
            </w:pPr>
            <w:r>
              <w:rPr>
                <w:rFonts w:ascii="Aptos" w:hAnsi="Aptos"/>
                <w:sz w:val="16"/>
              </w:rPr>
              <w:t>Authority review purpose; bounded specialist responsibilities; quality checks; escalation principles.</w:t>
            </w:r>
          </w:p>
        </w:tc>
        <w:tc>
          <w:tcPr>
            <w:tcW w:type="dxa" w:w="1224"/>
            <w:tcMar>
              <w:top w:w="100" w:type="dxa"/>
              <w:start w:w="120" w:type="dxa"/>
              <w:bottom w:w="100" w:type="dxa"/>
              <w:end w:w="120" w:type="dxa"/>
            </w:tcMar>
            <w:vAlign w:val="center"/>
          </w:tcPr>
          <w:p>
            <w:pPr>
              <w:jc w:val="left"/>
            </w:pPr>
            <w:r>
              <w:rPr>
                <w:rFonts w:ascii="Aptos" w:hAnsi="Aptos"/>
                <w:sz w:val="16"/>
              </w:rPr>
              <w:t>Highest priority</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S-02</w:t>
            </w:r>
          </w:p>
        </w:tc>
        <w:tc>
          <w:tcPr>
            <w:tcW w:type="dxa" w:w="4392"/>
            <w:tcMar>
              <w:top w:w="100" w:type="dxa"/>
              <w:start w:w="120" w:type="dxa"/>
              <w:bottom w:w="100" w:type="dxa"/>
              <w:end w:w="120" w:type="dxa"/>
            </w:tcMar>
            <w:vAlign w:val="center"/>
          </w:tcPr>
          <w:p>
            <w:pPr>
              <w:jc w:val="left"/>
            </w:pPr>
            <w:r>
              <w:rPr>
                <w:rFonts w:ascii="Aptos" w:hAnsi="Aptos"/>
                <w:sz w:val="16"/>
              </w:rPr>
              <w:t>Authority Manager Agent Specification — current approved version</w:t>
            </w:r>
          </w:p>
        </w:tc>
        <w:tc>
          <w:tcPr>
            <w:tcW w:type="dxa" w:w="3816"/>
            <w:tcMar>
              <w:top w:w="100" w:type="dxa"/>
              <w:start w:w="120" w:type="dxa"/>
              <w:bottom w:w="100" w:type="dxa"/>
              <w:end w:w="120" w:type="dxa"/>
            </w:tcMar>
            <w:vAlign w:val="center"/>
          </w:tcPr>
          <w:p>
            <w:pPr>
              <w:jc w:val="left"/>
            </w:pPr>
            <w:r>
              <w:rPr>
                <w:rFonts w:ascii="Aptos" w:hAnsi="Aptos"/>
                <w:sz w:val="16"/>
              </w:rPr>
              <w:t>Authority Manager role, skills, preliminary content/authority analysis, evidence/brand review, specialist routing, governance and escalation.</w:t>
            </w:r>
          </w:p>
        </w:tc>
        <w:tc>
          <w:tcPr>
            <w:tcW w:type="dxa" w:w="1224"/>
            <w:tcMar>
              <w:top w:w="100" w:type="dxa"/>
              <w:start w:w="120" w:type="dxa"/>
              <w:bottom w:w="100" w:type="dxa"/>
              <w:end w:w="120" w:type="dxa"/>
            </w:tcMar>
            <w:vAlign w:val="center"/>
          </w:tcPr>
          <w:p>
            <w:pPr>
              <w:jc w:val="left"/>
            </w:pPr>
            <w:r>
              <w:rPr>
                <w:rFonts w:ascii="Aptos" w:hAnsi="Aptos"/>
                <w:sz w:val="16"/>
              </w:rPr>
              <w:t>Second priority</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S-03</w:t>
            </w:r>
          </w:p>
        </w:tc>
        <w:tc>
          <w:tcPr>
            <w:tcW w:type="dxa" w:w="4392"/>
            <w:tcMar>
              <w:top w:w="100" w:type="dxa"/>
              <w:start w:w="120" w:type="dxa"/>
              <w:bottom w:w="100" w:type="dxa"/>
              <w:end w:w="120" w:type="dxa"/>
            </w:tcMar>
            <w:vAlign w:val="center"/>
          </w:tcPr>
          <w:p>
            <w:pPr>
              <w:jc w:val="left"/>
            </w:pPr>
            <w:r>
              <w:rPr>
                <w:rFonts w:ascii="Aptos" w:hAnsi="Aptos"/>
                <w:sz w:val="16"/>
              </w:rPr>
              <w:t>Authority Manager AI Agent — Reusable Audit Criteria Framework v1</w:t>
            </w:r>
          </w:p>
        </w:tc>
        <w:tc>
          <w:tcPr>
            <w:tcW w:type="dxa" w:w="3816"/>
            <w:tcMar>
              <w:top w:w="100" w:type="dxa"/>
              <w:start w:w="120" w:type="dxa"/>
              <w:bottom w:w="100" w:type="dxa"/>
              <w:end w:w="120" w:type="dxa"/>
            </w:tcMar>
            <w:vAlign w:val="center"/>
          </w:tcPr>
          <w:p>
            <w:pPr>
              <w:jc w:val="left"/>
            </w:pPr>
            <w:r>
              <w:rPr>
                <w:rFonts w:ascii="Aptos" w:hAnsi="Aptos"/>
                <w:sz w:val="16"/>
              </w:rPr>
              <w:t>Working authority/trust/evidence/brand/risk criteria and specialist boundaries.</w:t>
            </w:r>
          </w:p>
        </w:tc>
        <w:tc>
          <w:tcPr>
            <w:tcW w:type="dxa" w:w="1224"/>
            <w:tcMar>
              <w:top w:w="100" w:type="dxa"/>
              <w:start w:w="120" w:type="dxa"/>
              <w:bottom w:w="100" w:type="dxa"/>
              <w:end w:w="120" w:type="dxa"/>
            </w:tcMar>
            <w:vAlign w:val="center"/>
          </w:tcPr>
          <w:p>
            <w:pPr>
              <w:jc w:val="left"/>
            </w:pPr>
            <w:r>
              <w:rPr>
                <w:rFonts w:ascii="Aptos" w:hAnsi="Aptos"/>
                <w:sz w:val="16"/>
              </w:rPr>
              <w:t>Approved working framework</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S-04</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Summary tab</w:t>
            </w:r>
          </w:p>
        </w:tc>
        <w:tc>
          <w:tcPr>
            <w:tcW w:type="dxa" w:w="3816"/>
            <w:tcMar>
              <w:top w:w="100" w:type="dxa"/>
              <w:start w:w="120" w:type="dxa"/>
              <w:bottom w:w="100" w:type="dxa"/>
              <w:end w:w="120" w:type="dxa"/>
            </w:tcMar>
            <w:vAlign w:val="center"/>
          </w:tcPr>
          <w:p>
            <w:pPr>
              <w:jc w:val="left"/>
            </w:pPr>
            <w:r>
              <w:rPr>
                <w:rFonts w:ascii="Aptos" w:hAnsi="Aptos"/>
                <w:sz w:val="16"/>
              </w:rPr>
              <w:t>Architecture evidence snapshot, executive recommendation and limitations.</w:t>
            </w:r>
          </w:p>
        </w:tc>
        <w:tc>
          <w:tcPr>
            <w:tcW w:type="dxa" w:w="1224"/>
            <w:tcMar>
              <w:top w:w="100" w:type="dxa"/>
              <w:start w:w="120" w:type="dxa"/>
              <w:bottom w:w="100" w:type="dxa"/>
              <w:end w:w="120" w:type="dxa"/>
            </w:tcMar>
            <w:vAlign w:val="center"/>
          </w:tcPr>
          <w:p>
            <w:pPr>
              <w:jc w:val="left"/>
            </w:pPr>
            <w:r>
              <w:rPr>
                <w:rFonts w:ascii="Aptos" w:hAnsi="Aptos"/>
                <w:sz w:val="16"/>
              </w:rPr>
              <w:t>Project source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S-05</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Architecture tab</w:t>
            </w:r>
          </w:p>
        </w:tc>
        <w:tc>
          <w:tcPr>
            <w:tcW w:type="dxa" w:w="3816"/>
            <w:tcMar>
              <w:top w:w="100" w:type="dxa"/>
              <w:start w:w="120" w:type="dxa"/>
              <w:bottom w:w="100" w:type="dxa"/>
              <w:end w:w="120" w:type="dxa"/>
            </w:tcMar>
            <w:vAlign w:val="center"/>
          </w:tcPr>
          <w:p>
            <w:pPr>
              <w:jc w:val="left"/>
            </w:pPr>
            <w:r>
              <w:rPr>
                <w:rFonts w:ascii="Aptos" w:hAnsi="Aptos"/>
                <w:sz w:val="16"/>
              </w:rPr>
              <w:t>HP-001 page role, keywords, planned content, CTA/modules, rationale and status.</w:t>
            </w:r>
          </w:p>
        </w:tc>
        <w:tc>
          <w:tcPr>
            <w:tcW w:type="dxa" w:w="1224"/>
            <w:tcMar>
              <w:top w:w="100" w:type="dxa"/>
              <w:start w:w="120" w:type="dxa"/>
              <w:bottom w:w="100" w:type="dxa"/>
              <w:end w:w="120" w:type="dxa"/>
            </w:tcMar>
            <w:vAlign w:val="center"/>
          </w:tcPr>
          <w:p>
            <w:pPr>
              <w:jc w:val="left"/>
            </w:pPr>
            <w:r>
              <w:rPr>
                <w:rFonts w:ascii="Aptos" w:hAnsi="Aptos"/>
                <w:sz w:val="16"/>
              </w:rPr>
              <w:t>Project source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S-06</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Content Briefs tab</w:t>
            </w:r>
          </w:p>
        </w:tc>
        <w:tc>
          <w:tcPr>
            <w:tcW w:type="dxa" w:w="3816"/>
            <w:tcMar>
              <w:top w:w="100" w:type="dxa"/>
              <w:start w:w="120" w:type="dxa"/>
              <w:bottom w:w="100" w:type="dxa"/>
              <w:end w:w="120" w:type="dxa"/>
            </w:tcMar>
            <w:vAlign w:val="center"/>
          </w:tcPr>
          <w:p>
            <w:pPr>
              <w:jc w:val="left"/>
            </w:pPr>
            <w:r>
              <w:rPr>
                <w:rFonts w:ascii="Aptos" w:hAnsi="Aptos"/>
                <w:sz w:val="16"/>
              </w:rPr>
              <w:t>HP-001 detailed content focus, AEO questions, semantic relationships and primary evidence required.</w:t>
            </w:r>
          </w:p>
        </w:tc>
        <w:tc>
          <w:tcPr>
            <w:tcW w:type="dxa" w:w="1224"/>
            <w:tcMar>
              <w:top w:w="100" w:type="dxa"/>
              <w:start w:w="120" w:type="dxa"/>
              <w:bottom w:w="100" w:type="dxa"/>
              <w:end w:w="120" w:type="dxa"/>
            </w:tcMar>
            <w:vAlign w:val="center"/>
          </w:tcPr>
          <w:p>
            <w:pPr>
              <w:jc w:val="left"/>
            </w:pPr>
            <w:r>
              <w:rPr>
                <w:rFonts w:ascii="Aptos" w:hAnsi="Aptos"/>
                <w:sz w:val="16"/>
              </w:rPr>
              <w:t>Project source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S-07</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Internal Links tab</w:t>
            </w:r>
          </w:p>
        </w:tc>
        <w:tc>
          <w:tcPr>
            <w:tcW w:type="dxa" w:w="3816"/>
            <w:tcMar>
              <w:top w:w="100" w:type="dxa"/>
              <w:start w:w="120" w:type="dxa"/>
              <w:bottom w:w="100" w:type="dxa"/>
              <w:end w:w="120" w:type="dxa"/>
            </w:tcMar>
            <w:vAlign w:val="center"/>
          </w:tcPr>
          <w:p>
            <w:pPr>
              <w:jc w:val="left"/>
            </w:pPr>
            <w:r>
              <w:rPr>
                <w:rFonts w:ascii="Aptos" w:hAnsi="Aptos"/>
                <w:sz w:val="16"/>
              </w:rPr>
              <w:t>Planned HP-001 source/target relationships and link roles.</w:t>
            </w:r>
          </w:p>
        </w:tc>
        <w:tc>
          <w:tcPr>
            <w:tcW w:type="dxa" w:w="1224"/>
            <w:tcMar>
              <w:top w:w="100" w:type="dxa"/>
              <w:start w:w="120" w:type="dxa"/>
              <w:bottom w:w="100" w:type="dxa"/>
              <w:end w:w="120" w:type="dxa"/>
            </w:tcMar>
            <w:vAlign w:val="center"/>
          </w:tcPr>
          <w:p>
            <w:pPr>
              <w:jc w:val="left"/>
            </w:pPr>
            <w:r>
              <w:rPr>
                <w:rFonts w:ascii="Aptos" w:hAnsi="Aptos"/>
                <w:sz w:val="16"/>
              </w:rPr>
              <w:t>Project source / implementation dependency</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S-08</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Consolidation tab</w:t>
            </w:r>
          </w:p>
        </w:tc>
        <w:tc>
          <w:tcPr>
            <w:tcW w:type="dxa" w:w="3816"/>
            <w:tcMar>
              <w:top w:w="100" w:type="dxa"/>
              <w:start w:w="120" w:type="dxa"/>
              <w:bottom w:w="100" w:type="dxa"/>
              <w:end w:w="120" w:type="dxa"/>
            </w:tcMar>
            <w:vAlign w:val="center"/>
          </w:tcPr>
          <w:p>
            <w:pPr>
              <w:jc w:val="left"/>
            </w:pPr>
            <w:r>
              <w:rPr>
                <w:rFonts w:ascii="Aptos" w:hAnsi="Aptos"/>
                <w:sz w:val="16"/>
              </w:rPr>
              <w:t>Legacy-page ownership, outdated content risks and consolidation actions.</w:t>
            </w:r>
          </w:p>
        </w:tc>
        <w:tc>
          <w:tcPr>
            <w:tcW w:type="dxa" w:w="1224"/>
            <w:tcMar>
              <w:top w:w="100" w:type="dxa"/>
              <w:start w:w="120" w:type="dxa"/>
              <w:bottom w:w="100" w:type="dxa"/>
              <w:end w:w="120" w:type="dxa"/>
            </w:tcMar>
            <w:vAlign w:val="center"/>
          </w:tcPr>
          <w:p>
            <w:pPr>
              <w:jc w:val="left"/>
            </w:pPr>
            <w:r>
              <w:rPr>
                <w:rFonts w:ascii="Aptos" w:hAnsi="Aptos"/>
                <w:sz w:val="16"/>
              </w:rPr>
              <w:t>Project source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S-09</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Evidence tab</w:t>
            </w:r>
          </w:p>
        </w:tc>
        <w:tc>
          <w:tcPr>
            <w:tcW w:type="dxa" w:w="3816"/>
            <w:tcMar>
              <w:top w:w="100" w:type="dxa"/>
              <w:start w:w="120" w:type="dxa"/>
              <w:bottom w:w="100" w:type="dxa"/>
              <w:end w:w="120" w:type="dxa"/>
            </w:tcMar>
            <w:vAlign w:val="center"/>
          </w:tcPr>
          <w:p>
            <w:pPr>
              <w:jc w:val="left"/>
            </w:pPr>
            <w:r>
              <w:rPr>
                <w:rFonts w:ascii="Aptos" w:hAnsi="Aptos"/>
                <w:sz w:val="16"/>
              </w:rPr>
              <w:t>Search Console/GA4 evidence, limitations, current-page observations and KaptureVR competitor content-pattern observation.</w:t>
            </w:r>
          </w:p>
        </w:tc>
        <w:tc>
          <w:tcPr>
            <w:tcW w:type="dxa" w:w="1224"/>
            <w:tcMar>
              <w:top w:w="100" w:type="dxa"/>
              <w:start w:w="120" w:type="dxa"/>
              <w:bottom w:w="100" w:type="dxa"/>
              <w:end w:w="120" w:type="dxa"/>
            </w:tcMar>
            <w:vAlign w:val="center"/>
          </w:tcPr>
          <w:p>
            <w:pPr>
              <w:jc w:val="left"/>
            </w:pPr>
            <w:r>
              <w:rPr>
                <w:rFonts w:ascii="Aptos" w:hAnsi="Aptos"/>
                <w:sz w:val="16"/>
              </w:rPr>
              <w:t>Project source</w:t>
            </w:r>
          </w:p>
        </w:tc>
      </w:tr>
      <w:tr>
        <w:trPr>
          <w:cantSplit/>
        </w:trPr>
        <w:tc>
          <w:tcPr>
            <w:tcW w:type="dxa" w:w="792"/>
            <w:tcMar>
              <w:top w:w="100" w:type="dxa"/>
              <w:start w:w="120" w:type="dxa"/>
              <w:bottom w:w="100" w:type="dxa"/>
              <w:end w:w="120" w:type="dxa"/>
            </w:tcMar>
            <w:vAlign w:val="center"/>
          </w:tcPr>
          <w:p>
            <w:pPr>
              <w:jc w:val="left"/>
            </w:pPr>
            <w:r>
              <w:rPr>
                <w:rFonts w:ascii="Aptos" w:hAnsi="Aptos"/>
                <w:sz w:val="16"/>
              </w:rPr>
              <w:t>S-10</w:t>
            </w:r>
          </w:p>
        </w:tc>
        <w:tc>
          <w:tcPr>
            <w:tcW w:type="dxa" w:w="4392"/>
            <w:tcMar>
              <w:top w:w="100" w:type="dxa"/>
              <w:start w:w="120" w:type="dxa"/>
              <w:bottom w:w="100" w:type="dxa"/>
              <w:end w:w="120" w:type="dxa"/>
            </w:tcMar>
            <w:vAlign w:val="center"/>
          </w:tcPr>
          <w:p>
            <w:pPr>
              <w:jc w:val="left"/>
            </w:pPr>
            <w:r>
              <w:rPr>
                <w:rFonts w:ascii="Aptos" w:hAnsi="Aptos"/>
                <w:sz w:val="16"/>
              </w:rPr>
              <w:t>Viri_VR_House_Party_Content_Authority_Architecture_v1 — Measurement Plan tab</w:t>
            </w:r>
          </w:p>
        </w:tc>
        <w:tc>
          <w:tcPr>
            <w:tcW w:type="dxa" w:w="3816"/>
            <w:tcMar>
              <w:top w:w="100" w:type="dxa"/>
              <w:start w:w="120" w:type="dxa"/>
              <w:bottom w:w="100" w:type="dxa"/>
              <w:end w:w="120" w:type="dxa"/>
            </w:tcMar>
            <w:vAlign w:val="center"/>
          </w:tcPr>
          <w:p>
            <w:pPr>
              <w:jc w:val="left"/>
            </w:pPr>
            <w:r>
              <w:rPr>
                <w:rFonts w:ascii="Aptos" w:hAnsi="Aptos"/>
                <w:sz w:val="16"/>
              </w:rPr>
              <w:t>Content-quality safeguards and post-launch measurement dependencies.</w:t>
            </w:r>
          </w:p>
        </w:tc>
        <w:tc>
          <w:tcPr>
            <w:tcW w:type="dxa" w:w="1224"/>
            <w:tcMar>
              <w:top w:w="100" w:type="dxa"/>
              <w:start w:w="120" w:type="dxa"/>
              <w:bottom w:w="100" w:type="dxa"/>
              <w:end w:w="120" w:type="dxa"/>
            </w:tcMar>
            <w:vAlign w:val="center"/>
          </w:tcPr>
          <w:p>
            <w:pPr>
              <w:jc w:val="left"/>
            </w:pPr>
            <w:r>
              <w:rPr>
                <w:rFonts w:ascii="Aptos" w:hAnsi="Aptos"/>
                <w:sz w:val="16"/>
              </w:rPr>
              <w:t>Project source</w:t>
            </w:r>
          </w:p>
        </w:tc>
      </w:tr>
    </w:tbl>
    <w:p>
      <w:pPr>
        <w:spacing w:after="0"/>
      </w:pPr>
    </w:p>
    <w:sectPr w:rsidR="00FC693F" w:rsidRPr="0006063C" w:rsidSect="00034616">
      <w:footerReference w:type="default" r:id="rId9"/>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ViriVr | HP-001 Pre-Development Authority Analysis | 16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color w:val="595959"/>
      <w:sz w:val="24"/>
    </w:rPr>
  </w:style>
  <w:style w:type="paragraph" w:customStyle="1" w:styleId="Callout">
    <w:name w:val="Callout"/>
    <w:rPr>
      <w:rFonts w:ascii="Aptos" w:hAnsi="Aptos"/>
      <w:b/>
      <w:color w:val="8048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HP-001 Pre-Development Authority Analysis and Recommendation Report</dc:title>
  <dc:subject>Authority Manager pre-development analysis of HP-001</dc:subject>
  <dc:creator>Authority Manager AI Agent - ViriVr</dc:creator>
  <cp:keywords/>
  <dc:description>generated by python-docx</dc:description>
  <cp:lastModifiedBy/>
  <cp:revision>1</cp:revision>
  <dcterms:created xsi:type="dcterms:W3CDTF">2013-12-23T23:15:00Z</dcterms:created>
  <dcterms:modified xsi:type="dcterms:W3CDTF">2013-12-23T23:15:00Z</dcterms:modified>
  <cp:category/>
</cp:coreProperties>
</file>