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RMIT Capstone Programming Project 2026 – Team 38</w:t>
      </w:r>
    </w:p>
    <w:p>
      <w:pPr>
        <w:jc w:val="center"/>
      </w:pPr>
      <w:r>
        <w:rPr>
          <w:b/>
          <w:sz w:val="28"/>
        </w:rPr>
        <w:t>AI Digital Marketing Team B – HP-001 Requirements</w:t>
      </w:r>
    </w:p>
    <w:p>
      <w:pPr>
        <w:jc w:val="center"/>
      </w:pPr>
      <w:r>
        <w:rPr>
          <w:i/>
        </w:rPr>
        <w:t>Requirement &amp; Workflow Specification | Sprint 2 Week 2</w:t>
      </w:r>
    </w:p>
    <w:p>
      <w:pPr>
        <w:pStyle w:val="Heading1"/>
      </w:pPr>
      <w:r>
        <w:t>1. Purpose</w:t>
      </w:r>
    </w:p>
    <w:p>
      <w:r>
        <w:t>This document defines the requirements, ownership, dependencies and handoff flow for Team B’s Sprint 2 Week 2 work on HP-001. The objective is to produce a review-ready HP-001 content package, validate it through relevant specialist inputs, and provide the refined content to Team A for landing-page and conversion work.</w:t>
      </w:r>
    </w:p>
    <w:p>
      <w:pPr>
        <w:pStyle w:val="Heading1"/>
      </w:pPr>
      <w:r>
        <w:t>2.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Page</w:t>
            </w:r>
          </w:p>
        </w:tc>
        <w:tc>
          <w:tcPr>
            <w:tcW w:type="dxa" w:w="5040"/>
          </w:tcPr>
          <w:p>
            <w:r>
              <w:t>HP-001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Bring a Fully Hosted VR House Party to Your Home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https://virivr.com.au/house-party/</w:t>
            </w:r>
          </w:p>
        </w:tc>
      </w:tr>
      <w:tr>
        <w:tc>
          <w:tcPr>
            <w:tcW w:type="dxa" w:w="5040"/>
          </w:tcPr>
          <w:p>
            <w:r>
              <w:t>Intent</w:t>
            </w:r>
          </w:p>
        </w:tc>
        <w:tc>
          <w:tcPr>
            <w:tcW w:type="dxa" w:w="5040"/>
          </w:tcPr>
          <w:p>
            <w:r>
              <w:t>Commercial / national service landing page</w:t>
            </w:r>
          </w:p>
        </w:tc>
      </w:tr>
      <w:tr>
        <w:tc>
          <w:tcPr>
            <w:tcW w:type="dxa" w:w="5040"/>
          </w:tcPr>
          <w:p>
            <w:r>
              <w:t>Primary keyword</w:t>
            </w:r>
          </w:p>
        </w:tc>
        <w:tc>
          <w:tcPr>
            <w:tcW w:type="dxa" w:w="5040"/>
          </w:tcPr>
          <w:p>
            <w:r>
              <w:t>VR party at home</w:t>
            </w:r>
          </w:p>
        </w:tc>
      </w:tr>
      <w:tr>
        <w:tc>
          <w:tcPr>
            <w:tcW w:type="dxa" w:w="5040"/>
          </w:tcPr>
          <w:p>
            <w:r>
              <w:t>Secondary themes</w:t>
            </w:r>
          </w:p>
        </w:tc>
        <w:tc>
          <w:tcPr>
            <w:tcW w:type="dxa" w:w="5040"/>
          </w:tcPr>
          <w:p>
            <w:r>
              <w:t>house party VR; VR house party; mobile VR party; VR birthday party at home; hosted house party entertainment</w:t>
            </w:r>
          </w:p>
        </w:tc>
      </w:tr>
    </w:tbl>
    <w:p>
      <w:r>
        <w:t>Sprint 2 Week 2 is focused on HP-001. HP-002 and HP-003 are not the active content deliverables for this week.</w:t>
      </w:r>
    </w:p>
    <w:p>
      <w:pPr>
        <w:pStyle w:val="Heading1"/>
      </w:pPr>
      <w:r>
        <w:t>3. HP-001 Content Requirements</w:t>
      </w:r>
    </w:p>
    <w:p>
      <w:pPr>
        <w:pStyle w:val="ListBullet"/>
      </w:pPr>
      <w:r>
        <w:t>Use an answer-first structure that immediately explains the service and value proposition.</w:t>
      </w:r>
    </w:p>
    <w:p>
      <w:pPr>
        <w:pStyle w:val="ListBullet"/>
      </w:pPr>
      <w:r>
        <w:t>Clearly communicate suitability, age and group/capacity information supported by supplied evidence.</w:t>
      </w:r>
    </w:p>
    <w:p>
      <w:pPr>
        <w:pStyle w:val="ListBullet"/>
      </w:pPr>
      <w:r>
        <w:t>Communicate customer-relevant capacity information rather than internal station-management details.</w:t>
      </w:r>
    </w:p>
    <w:p>
      <w:pPr>
        <w:pStyle w:val="ListBullet"/>
      </w:pPr>
      <w:r>
        <w:t>Address supported planning questions: group size/capacity, space and safety, power/connectivity, setup and pack-down, experiences, weather, and service area.</w:t>
      </w:r>
    </w:p>
    <w:p>
      <w:pPr>
        <w:pStyle w:val="ListBullet"/>
      </w:pPr>
      <w:r>
        <w:t>Clearly describe what is included in the hosted service.</w:t>
      </w:r>
    </w:p>
    <w:p>
      <w:pPr>
        <w:pStyle w:val="ListBullet"/>
      </w:pPr>
      <w:r>
        <w:t>Include optional food or venue information only where supported by evidence.</w:t>
      </w:r>
    </w:p>
    <w:p>
      <w:pPr>
        <w:pStyle w:val="ListBullet"/>
      </w:pPr>
      <w:r>
        <w:t>Use verified pricing information only; do not invent or assume prices.</w:t>
      </w:r>
    </w:p>
    <w:p>
      <w:pPr>
        <w:pStyle w:val="ListBullet"/>
      </w:pPr>
      <w:r>
        <w:t>Use a clear CTA focused on checking availability/date/postcode.</w:t>
      </w:r>
    </w:p>
    <w:p>
      <w:pPr>
        <w:pStyle w:val="ListBullet"/>
      </w:pPr>
      <w:r>
        <w:t>Use appropriate H1/H2 structure and SEO/AEO-oriented content organisation.</w:t>
      </w:r>
    </w:p>
    <w:p>
      <w:pPr>
        <w:pStyle w:val="ListBullet"/>
      </w:pPr>
      <w:r>
        <w:t>Avoid unsupported claims and internal terminology that is not useful to customers.</w:t>
      </w:r>
    </w:p>
    <w:p>
      <w:pPr>
        <w:pStyle w:val="ListBullet"/>
      </w:pPr>
      <w:r>
        <w:t>Keep HP-001 distinct from HP-002 and HP-003; do not merge the three pages.</w:t>
      </w:r>
    </w:p>
    <w:p>
      <w:pPr>
        <w:pStyle w:val="Heading1"/>
      </w:pPr>
      <w:r>
        <w:t>4. Team B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Owner</w:t>
            </w:r>
          </w:p>
        </w:tc>
        <w:tc>
          <w:tcPr>
            <w:tcW w:type="dxa" w:w="2520"/>
          </w:tcPr>
          <w:p>
            <w:r>
              <w:t>Role</w:t>
            </w:r>
          </w:p>
        </w:tc>
        <w:tc>
          <w:tcPr>
            <w:tcW w:type="dxa" w:w="2520"/>
          </w:tcPr>
          <w:p>
            <w:r>
              <w:t>HP-001 responsibility</w:t>
            </w:r>
          </w:p>
        </w:tc>
        <w:tc>
          <w:tcPr>
            <w:tcW w:type="dxa" w:w="2520"/>
          </w:tcPr>
          <w:p>
            <w:r>
              <w:t>Key handoff</w:t>
            </w:r>
          </w:p>
        </w:tc>
      </w:tr>
      <w:tr>
        <w:tc>
          <w:tcPr>
            <w:tcW w:type="dxa" w:w="2520"/>
          </w:tcPr>
          <w:p>
            <w:r>
              <w:t>Jeron</w:t>
            </w:r>
          </w:p>
        </w:tc>
        <w:tc>
          <w:tcPr>
            <w:tcW w:type="dxa" w:w="2520"/>
          </w:tcPr>
          <w:p>
            <w:r>
              <w:t>PM / BA</w:t>
            </w:r>
          </w:p>
        </w:tc>
        <w:tc>
          <w:tcPr>
            <w:tcW w:type="dxa" w:w="2520"/>
          </w:tcPr>
          <w:p>
            <w:r>
              <w:t>Coordinate dependencies, handoffs, review gates, client communication and tracking.</w:t>
            </w:r>
          </w:p>
        </w:tc>
        <w:tc>
          <w:tcPr>
            <w:tcW w:type="dxa" w:w="2520"/>
          </w:tcPr>
          <w:p>
            <w:r>
              <w:t>Team → Ajith → Team A</w:t>
            </w:r>
          </w:p>
        </w:tc>
      </w:tr>
      <w:tr>
        <w:tc>
          <w:tcPr>
            <w:tcW w:type="dxa" w:w="2520"/>
          </w:tcPr>
          <w:p>
            <w:r>
              <w:t>Minh</w:t>
            </w:r>
          </w:p>
        </w:tc>
        <w:tc>
          <w:tcPr>
            <w:tcW w:type="dxa" w:w="2520"/>
          </w:tcPr>
          <w:p>
            <w:r>
              <w:t>AI Search Manager</w:t>
            </w:r>
          </w:p>
        </w:tc>
        <w:tc>
          <w:tcPr>
            <w:tcW w:type="dxa" w:w="2520"/>
          </w:tcPr>
          <w:p>
            <w:r>
              <w:t>Produce target keyword, SEO/AEO topic and user-question requirements.</w:t>
            </w:r>
          </w:p>
        </w:tc>
        <w:tc>
          <w:tcPr>
            <w:tcW w:type="dxa" w:w="2520"/>
          </w:tcPr>
          <w:p>
            <w:r>
              <w:t>→ Arnav; → Jerome</w:t>
            </w:r>
          </w:p>
        </w:tc>
      </w:tr>
      <w:tr>
        <w:tc>
          <w:tcPr>
            <w:tcW w:type="dxa" w:w="2520"/>
          </w:tcPr>
          <w:p>
            <w:r>
              <w:t>Jerome</w:t>
            </w:r>
          </w:p>
        </w:tc>
        <w:tc>
          <w:tcPr>
            <w:tcW w:type="dxa" w:w="2520"/>
          </w:tcPr>
          <w:p>
            <w:r>
              <w:t>AI Visibility Specialist</w:t>
            </w:r>
          </w:p>
        </w:tc>
        <w:tc>
          <w:tcPr>
            <w:tcW w:type="dxa" w:w="2520"/>
          </w:tcPr>
          <w:p>
            <w:r>
              <w:t>Use Minh’s search inputs to identify AI visibility opportunities, gaps and actions.</w:t>
            </w:r>
          </w:p>
        </w:tc>
        <w:tc>
          <w:tcPr>
            <w:tcW w:type="dxa" w:w="2520"/>
          </w:tcPr>
          <w:p>
            <w:r>
              <w:t>→ Anthony</w:t>
            </w:r>
          </w:p>
        </w:tc>
      </w:tr>
      <w:tr>
        <w:tc>
          <w:tcPr>
            <w:tcW w:type="dxa" w:w="2520"/>
          </w:tcPr>
          <w:p>
            <w:r>
              <w:t>Anthony</w:t>
            </w:r>
          </w:p>
        </w:tc>
        <w:tc>
          <w:tcPr>
            <w:tcW w:type="dxa" w:w="2520"/>
          </w:tcPr>
          <w:p>
            <w:r>
              <w:t>Authority Manager</w:t>
            </w:r>
          </w:p>
        </w:tc>
        <w:tc>
          <w:tcPr>
            <w:tcW w:type="dxa" w:w="2520"/>
          </w:tcPr>
          <w:p>
            <w:r>
              <w:t>Validate authority, evidence, trust and citation/proof requirements.</w:t>
            </w:r>
          </w:p>
        </w:tc>
        <w:tc>
          <w:tcPr>
            <w:tcW w:type="dxa" w:w="2520"/>
          </w:tcPr>
          <w:p>
            <w:r>
              <w:t>→ Arnav</w:t>
            </w:r>
          </w:p>
        </w:tc>
      </w:tr>
      <w:tr>
        <w:tc>
          <w:tcPr>
            <w:tcW w:type="dxa" w:w="2520"/>
          </w:tcPr>
          <w:p>
            <w:r>
              <w:t>Chungheng</w:t>
            </w:r>
          </w:p>
        </w:tc>
        <w:tc>
          <w:tcPr>
            <w:tcW w:type="dxa" w:w="2520"/>
          </w:tcPr>
          <w:p>
            <w:r>
              <w:t>Analytics Manager</w:t>
            </w:r>
          </w:p>
        </w:tc>
        <w:tc>
          <w:tcPr>
            <w:tcW w:type="dxa" w:w="2520"/>
          </w:tcPr>
          <w:p>
            <w:r>
              <w:t>Define measurement and validation requirements and success indicators.</w:t>
            </w:r>
          </w:p>
        </w:tc>
        <w:tc>
          <w:tcPr>
            <w:tcW w:type="dxa" w:w="2520"/>
          </w:tcPr>
          <w:p>
            <w:r>
              <w:t>→ Arnav / Team A</w:t>
            </w:r>
          </w:p>
        </w:tc>
      </w:tr>
      <w:tr>
        <w:tc>
          <w:tcPr>
            <w:tcW w:type="dxa" w:w="2520"/>
          </w:tcPr>
          <w:p>
            <w:r>
              <w:t>Arnav</w:t>
            </w:r>
          </w:p>
        </w:tc>
        <w:tc>
          <w:tcPr>
            <w:tcW w:type="dxa" w:w="2520"/>
          </w:tcPr>
          <w:p>
            <w:r>
              <w:t>Content Manager</w:t>
            </w:r>
          </w:p>
        </w:tc>
        <w:tc>
          <w:tcPr>
            <w:tcW w:type="dxa" w:w="2520"/>
          </w:tcPr>
          <w:p>
            <w:r>
              <w:t>Integrate specialist inputs and produce/refine the HP-001 content package.</w:t>
            </w:r>
          </w:p>
        </w:tc>
        <w:tc>
          <w:tcPr>
            <w:tcW w:type="dxa" w:w="2520"/>
          </w:tcPr>
          <w:p>
            <w:r>
              <w:t>→ Ajith → Hoang/Mirna</w:t>
            </w:r>
          </w:p>
        </w:tc>
      </w:tr>
    </w:tbl>
    <w:p>
      <w:pPr>
        <w:pStyle w:val="Heading1"/>
      </w:pPr>
      <w:r>
        <w:t>5. Specialist Supply Chain</w:t>
      </w:r>
    </w:p>
    <w:p>
      <w:r>
        <w:rPr>
          <w:b/>
        </w:rPr>
        <w:t>Minh → Jerome → Anthony → Arnav</w:t>
      </w:r>
    </w:p>
    <w:p>
      <w:r>
        <w:t>Additional inputs run in parallel:</w:t>
      </w:r>
    </w:p>
    <w:p>
      <w:pPr>
        <w:pStyle w:val="ListBullet"/>
      </w:pPr>
      <w:r>
        <w:t>Minh → Arnav (primary search/AEO/SEO/question input).</w:t>
      </w:r>
    </w:p>
    <w:p>
      <w:pPr>
        <w:pStyle w:val="ListBullet"/>
      </w:pPr>
      <w:r>
        <w:t>Chungheng → Arnav (measurement/validation input).</w:t>
      </w:r>
    </w:p>
    <w:p>
      <w:pPr>
        <w:pStyle w:val="ListBullet"/>
      </w:pPr>
      <w:r>
        <w:t>Relevant CRO/conversion context → Arnav / landing-page side.</w:t>
      </w:r>
    </w:p>
    <w:p>
      <w:pPr>
        <w:pStyle w:val="ListBullet"/>
      </w:pPr>
      <w:r>
        <w:t>Jeron coordinates visibility of dependencies and review; he is not a mandatory document relay for every output.</w:t>
      </w:r>
    </w:p>
    <w:p>
      <w:r>
        <w:t>The Minh → Jerome → Anthony → Arnav chain is the team’s working specialist supply chain. Minh’s direct input to Arnav remains a core content dependency.</w:t>
      </w:r>
    </w:p>
    <w:p>
      <w:pPr>
        <w:pStyle w:val="Heading1"/>
      </w:pPr>
      <w:r>
        <w:t>6. Required Handoffs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Handoff</w:t>
            </w:r>
          </w:p>
        </w:tc>
        <w:tc>
          <w:tcPr>
            <w:tcW w:type="dxa" w:w="3360"/>
          </w:tcPr>
          <w:p>
            <w:r>
              <w:t>Output</w:t>
            </w:r>
          </w:p>
        </w:tc>
        <w:tc>
          <w:tcPr>
            <w:tcW w:type="dxa" w:w="3360"/>
          </w:tcPr>
          <w:p>
            <w:r>
              <w:t>Acceptance condition</w:t>
            </w:r>
          </w:p>
        </w:tc>
      </w:tr>
      <w:tr>
        <w:tc>
          <w:tcPr>
            <w:tcW w:type="dxa" w:w="3360"/>
          </w:tcPr>
          <w:p>
            <w:r>
              <w:t>Minh → Arnav</w:t>
            </w:r>
          </w:p>
        </w:tc>
        <w:tc>
          <w:tcPr>
            <w:tcW w:type="dxa" w:w="3360"/>
          </w:tcPr>
          <w:p>
            <w:r>
              <w:t>Target keywords, SEO/AEO topics and relevant house-party questions.</w:t>
            </w:r>
          </w:p>
        </w:tc>
        <w:tc>
          <w:tcPr>
            <w:tcW w:type="dxa" w:w="3360"/>
          </w:tcPr>
          <w:p>
            <w:r>
              <w:t>Usable directly for HP-001 content planning.</w:t>
            </w:r>
          </w:p>
        </w:tc>
      </w:tr>
      <w:tr>
        <w:tc>
          <w:tcPr>
            <w:tcW w:type="dxa" w:w="3360"/>
          </w:tcPr>
          <w:p>
            <w:r>
              <w:t>Minh → Jerome</w:t>
            </w:r>
          </w:p>
        </w:tc>
        <w:tc>
          <w:tcPr>
            <w:tcW w:type="dxa" w:w="3360"/>
          </w:tcPr>
          <w:p>
            <w:r>
              <w:t>Search/AEO/SEO/question set.</w:t>
            </w:r>
          </w:p>
        </w:tc>
        <w:tc>
          <w:tcPr>
            <w:tcW w:type="dxa" w:w="3360"/>
          </w:tcPr>
          <w:p>
            <w:r>
              <w:t>Usable for AI-visibility analysis.</w:t>
            </w:r>
          </w:p>
        </w:tc>
      </w:tr>
      <w:tr>
        <w:tc>
          <w:tcPr>
            <w:tcW w:type="dxa" w:w="3360"/>
          </w:tcPr>
          <w:p>
            <w:r>
              <w:t>Jerome → Anthony</w:t>
            </w:r>
          </w:p>
        </w:tc>
        <w:tc>
          <w:tcPr>
            <w:tcW w:type="dxa" w:w="3360"/>
          </w:tcPr>
          <w:p>
            <w:r>
              <w:t>AI visibility findings, answer gaps, citation/visibility patterns and actions.</w:t>
            </w:r>
          </w:p>
        </w:tc>
        <w:tc>
          <w:tcPr>
            <w:tcW w:type="dxa" w:w="3360"/>
          </w:tcPr>
          <w:p>
            <w:r>
              <w:t>Clear gaps/actions identified.</w:t>
            </w:r>
          </w:p>
        </w:tc>
      </w:tr>
      <w:tr>
        <w:tc>
          <w:tcPr>
            <w:tcW w:type="dxa" w:w="3360"/>
          </w:tcPr>
          <w:p>
            <w:r>
              <w:t>Anthony → Arnav</w:t>
            </w:r>
          </w:p>
        </w:tc>
        <w:tc>
          <w:tcPr>
            <w:tcW w:type="dxa" w:w="3360"/>
          </w:tcPr>
          <w:p>
            <w:r>
              <w:t>Authority, evidence, trust and citation/proof requirements.</w:t>
            </w:r>
          </w:p>
        </w:tc>
        <w:tc>
          <w:tcPr>
            <w:tcW w:type="dxa" w:w="3360"/>
          </w:tcPr>
          <w:p>
            <w:r>
              <w:t>Actionable requirements and content risks identified.</w:t>
            </w:r>
          </w:p>
        </w:tc>
      </w:tr>
      <w:tr>
        <w:tc>
          <w:tcPr>
            <w:tcW w:type="dxa" w:w="3360"/>
          </w:tcPr>
          <w:p>
            <w:r>
              <w:t>Chungheng → Arnav</w:t>
            </w:r>
          </w:p>
        </w:tc>
        <w:tc>
          <w:tcPr>
            <w:tcW w:type="dxa" w:w="3360"/>
          </w:tcPr>
          <w:p>
            <w:r>
              <w:t>Measurement, validation and success requirements.</w:t>
            </w:r>
          </w:p>
        </w:tc>
        <w:tc>
          <w:tcPr>
            <w:tcW w:type="dxa" w:w="3360"/>
          </w:tcPr>
          <w:p>
            <w:r>
              <w:t>Measurement needs are clear.</w:t>
            </w:r>
          </w:p>
        </w:tc>
      </w:tr>
      <w:tr>
        <w:tc>
          <w:tcPr>
            <w:tcW w:type="dxa" w:w="3360"/>
          </w:tcPr>
          <w:p>
            <w:r>
              <w:t>Arnav → Ajith</w:t>
            </w:r>
          </w:p>
        </w:tc>
        <w:tc>
          <w:tcPr>
            <w:tcW w:type="dxa" w:w="3360"/>
          </w:tcPr>
          <w:p>
            <w:r>
              <w:t>Review-ready HP-001 content package.</w:t>
            </w:r>
          </w:p>
        </w:tc>
        <w:tc>
          <w:tcPr>
            <w:tcW w:type="dxa" w:w="3360"/>
          </w:tcPr>
          <w:p>
            <w:r>
              <w:t>Complete enough for client/content review.</w:t>
            </w:r>
          </w:p>
        </w:tc>
      </w:tr>
      <w:tr>
        <w:tc>
          <w:tcPr>
            <w:tcW w:type="dxa" w:w="3360"/>
          </w:tcPr>
          <w:p>
            <w:r>
              <w:t>Ajith → Team</w:t>
            </w:r>
          </w:p>
        </w:tc>
        <w:tc>
          <w:tcPr>
            <w:tcW w:type="dxa" w:w="3360"/>
          </w:tcPr>
          <w:p>
            <w:r>
              <w:t>Review feedback and required corrections.</w:t>
            </w:r>
          </w:p>
        </w:tc>
        <w:tc>
          <w:tcPr>
            <w:tcW w:type="dxa" w:w="3360"/>
          </w:tcPr>
          <w:p>
            <w:r>
              <w:t>Changes are recorded and actionable.</w:t>
            </w:r>
          </w:p>
        </w:tc>
      </w:tr>
      <w:tr>
        <w:tc>
          <w:tcPr>
            <w:tcW w:type="dxa" w:w="3360"/>
          </w:tcPr>
          <w:p>
            <w:r>
              <w:t>Arnav → Hoang/Mirna</w:t>
            </w:r>
          </w:p>
        </w:tc>
        <w:tc>
          <w:tcPr>
            <w:tcW w:type="dxa" w:w="3360"/>
          </w:tcPr>
          <w:p>
            <w:r>
              <w:t>Reviewed/refined content and relevant context for page/CRO implementation.</w:t>
            </w:r>
          </w:p>
        </w:tc>
        <w:tc>
          <w:tcPr>
            <w:tcW w:type="dxa" w:w="3360"/>
          </w:tcPr>
          <w:p>
            <w:r>
              <w:t>Team A can use the package for final substantive work.</w:t>
            </w:r>
          </w:p>
        </w:tc>
      </w:tr>
    </w:tbl>
    <w:p>
      <w:pPr>
        <w:pStyle w:val="Heading1"/>
      </w:pPr>
      <w:r>
        <w:t>7. Client Review Gate</w:t>
      </w:r>
    </w:p>
    <w:p>
      <w:r>
        <w:t>Ajith’s review is a content-quality gate. The team should notify Ajith when HP-001 content is ready. Arnav owns content corrections; Jeron coordinates the review and tracks decisions.</w:t>
      </w:r>
    </w:p>
    <w:p>
      <w:pPr>
        <w:pStyle w:val="ListBullet"/>
      </w:pPr>
      <w:r>
        <w:t>Record material feedback and unresolved issues.</w:t>
      </w:r>
    </w:p>
    <w:p>
      <w:pPr>
        <w:pStyle w:val="ListBullet"/>
      </w:pPr>
      <w:r>
        <w:t>Apply required content/factual/structural corrections.</w:t>
      </w:r>
    </w:p>
    <w:p>
      <w:pPr>
        <w:pStyle w:val="ListBullet"/>
      </w:pPr>
      <w:r>
        <w:t>Treat the refined package as the input for final Team A landing-page/CRO work.</w:t>
      </w:r>
    </w:p>
    <w:p>
      <w:pPr>
        <w:pStyle w:val="ListBullet"/>
      </w:pPr>
      <w:r>
        <w:t>Team A may continue parallel agent/page preparation while this review is underway.</w:t>
      </w:r>
    </w:p>
    <w:p>
      <w:pPr>
        <w:pStyle w:val="Heading1"/>
      </w:pPr>
      <w:r>
        <w:t>8. Team A Parallel Work</w:t>
      </w:r>
    </w:p>
    <w:p>
      <w:r>
        <w:t>Hoang and Mirna can work in parallel while Team B completes the content supply chain. They may prepare/test their agents, page structure and CRO approach. Final substantive landing-page and conversion work should use the reviewed/refined HP-001 content.</w:t>
      </w:r>
    </w:p>
    <w:p>
      <w:pPr>
        <w:pStyle w:val="ListBullet"/>
      </w:pPr>
      <w:r>
        <w:t>Hoang: landing-page implementation and presentation.</w:t>
      </w:r>
    </w:p>
    <w:p>
      <w:pPr>
        <w:pStyle w:val="ListBullet"/>
      </w:pPr>
      <w:r>
        <w:t>Mirna: CRO/conversion evaluation, customer journey, CTA, friction and trust considerations.</w:t>
      </w:r>
    </w:p>
    <w:p>
      <w:pPr>
        <w:pStyle w:val="ListBullet"/>
      </w:pPr>
      <w:r>
        <w:t>Naziba: Team A PM/coordination bridge.</w:t>
      </w:r>
    </w:p>
    <w:p>
      <w:pPr>
        <w:pStyle w:val="ListBullet"/>
      </w:pPr>
      <w:r>
        <w:t>Team B supplies reviewed/refined content and relevant inputs; Team A owns its landing-page/CRO execution.</w:t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HP-001 remains a standalone national commercial landing page.</w:t>
      </w:r>
    </w:p>
    <w:p>
      <w:pPr>
        <w:pStyle w:val="ListBullet"/>
      </w:pPr>
      <w:r>
        <w:t>Main customer planning questions are answered clearly.</w:t>
      </w:r>
    </w:p>
    <w:p>
      <w:pPr>
        <w:pStyle w:val="ListBullet"/>
      </w:pPr>
      <w:r>
        <w:t>H1/H2 and answer-first structure are coherent.</w:t>
      </w:r>
    </w:p>
    <w:p>
      <w:pPr>
        <w:pStyle w:val="ListBullet"/>
      </w:pPr>
      <w:r>
        <w:t>Relevant SEO/AEO/search-question requirements are incorporated.</w:t>
      </w:r>
    </w:p>
    <w:p>
      <w:pPr>
        <w:pStyle w:val="ListBullet"/>
      </w:pPr>
      <w:r>
        <w:t>Authority/evidence/trust requirements are addressed where applicable.</w:t>
      </w:r>
    </w:p>
    <w:p>
      <w:pPr>
        <w:pStyle w:val="ListBullet"/>
      </w:pPr>
      <w:r>
        <w:t>Measurement/validation requirements are identified.</w:t>
      </w:r>
    </w:p>
    <w:p>
      <w:pPr>
        <w:pStyle w:val="ListBullet"/>
      </w:pPr>
      <w:r>
        <w:t>No unsupported pricing or factual claims are introduced.</w:t>
      </w:r>
    </w:p>
    <w:p>
      <w:pPr>
        <w:pStyle w:val="ListBullet"/>
      </w:pPr>
      <w:r>
        <w:t>Customer-relevant capacity and practical requirements are clear.</w:t>
      </w:r>
    </w:p>
    <w:p>
      <w:pPr>
        <w:pStyle w:val="ListBullet"/>
      </w:pPr>
      <w:r>
        <w:t>A clear availability/date/postcode CTA is present.</w:t>
      </w:r>
    </w:p>
    <w:p>
      <w:pPr>
        <w:pStyle w:val="ListBullet"/>
      </w:pPr>
      <w:r>
        <w:t>Ajith review is completed or all outstanding review items are explicitly recorded.</w:t>
      </w:r>
    </w:p>
    <w:p>
      <w:pPr>
        <w:pStyle w:val="ListBullet"/>
      </w:pPr>
      <w:r>
        <w:t>The final content package is usable by Team A.</w:t>
      </w:r>
    </w:p>
    <w:p>
      <w:pPr>
        <w:pStyle w:val="Heading1"/>
      </w:pPr>
      <w:r>
        <w:t>10. Out of Scope for Sprint 2 Week 2</w:t>
      </w:r>
    </w:p>
    <w:p>
      <w:pPr>
        <w:pStyle w:val="ListBullet"/>
      </w:pPr>
      <w:r>
        <w:t>Completing HP-002 as the primary deliverable.</w:t>
      </w:r>
    </w:p>
    <w:p>
      <w:pPr>
        <w:pStyle w:val="ListBullet"/>
      </w:pPr>
      <w:r>
        <w:t>Completing HP-003 as the primary deliverable.</w:t>
      </w:r>
    </w:p>
    <w:p>
      <w:pPr>
        <w:pStyle w:val="ListBullet"/>
      </w:pPr>
      <w:r>
        <w:t>Merging HP-001, HP-002 and HP-003 into one page.</w:t>
      </w:r>
    </w:p>
    <w:p>
      <w:pPr>
        <w:pStyle w:val="ListBullet"/>
      </w:pPr>
      <w:r>
        <w:t>Owning Team A’s landing-page implementation or CRO execution.</w:t>
      </w:r>
    </w:p>
    <w:p>
      <w:pPr>
        <w:pStyle w:val="ListBullet"/>
      </w:pPr>
      <w:r>
        <w:t>Inventing pricing, capacity or service details not supported by supplied evidence.</w:t>
      </w:r>
    </w:p>
    <w:p>
      <w:pPr>
        <w:pStyle w:val="Heading1"/>
      </w:pPr>
      <w:r>
        <w:t>11.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Owner</w:t>
            </w:r>
          </w:p>
        </w:tc>
        <w:tc>
          <w:tcPr>
            <w:tcW w:type="dxa" w:w="3360"/>
          </w:tcPr>
          <w:p>
            <w:r>
              <w:t>Deliverable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Minh</w:t>
            </w:r>
          </w:p>
        </w:tc>
        <w:tc>
          <w:tcPr>
            <w:tcW w:type="dxa" w:w="3360"/>
          </w:tcPr>
          <w:p>
            <w:r>
              <w:t>HP-001 Target Keywords + AEO/SEO + User Question Set</w:t>
            </w:r>
          </w:p>
        </w:tc>
        <w:tc>
          <w:tcPr>
            <w:tcW w:type="dxa" w:w="3360"/>
          </w:tcPr>
          <w:p>
            <w:r>
              <w:t>Search/AEO requirements</w:t>
            </w:r>
          </w:p>
        </w:tc>
      </w:tr>
      <w:tr>
        <w:tc>
          <w:tcPr>
            <w:tcW w:type="dxa" w:w="3360"/>
          </w:tcPr>
          <w:p>
            <w:r>
              <w:t>Jerome</w:t>
            </w:r>
          </w:p>
        </w:tc>
        <w:tc>
          <w:tcPr>
            <w:tcW w:type="dxa" w:w="3360"/>
          </w:tcPr>
          <w:p>
            <w:r>
              <w:t>HP-001 AI Visibility Findings / Actions</w:t>
            </w:r>
          </w:p>
        </w:tc>
        <w:tc>
          <w:tcPr>
            <w:tcW w:type="dxa" w:w="3360"/>
          </w:tcPr>
          <w:p>
            <w:r>
              <w:t>AI visibility gaps and actions</w:t>
            </w:r>
          </w:p>
        </w:tc>
      </w:tr>
      <w:tr>
        <w:tc>
          <w:tcPr>
            <w:tcW w:type="dxa" w:w="3360"/>
          </w:tcPr>
          <w:p>
            <w:r>
              <w:t>Anthony</w:t>
            </w:r>
          </w:p>
        </w:tc>
        <w:tc>
          <w:tcPr>
            <w:tcW w:type="dxa" w:w="3360"/>
          </w:tcPr>
          <w:p>
            <w:r>
              <w:t>HP-001 Authority &amp; Evidence Validation</w:t>
            </w:r>
          </w:p>
        </w:tc>
        <w:tc>
          <w:tcPr>
            <w:tcW w:type="dxa" w:w="3360"/>
          </w:tcPr>
          <w:p>
            <w:r>
              <w:t>Authority, evidence and trust requirements</w:t>
            </w:r>
          </w:p>
        </w:tc>
      </w:tr>
      <w:tr>
        <w:tc>
          <w:tcPr>
            <w:tcW w:type="dxa" w:w="3360"/>
          </w:tcPr>
          <w:p>
            <w:r>
              <w:t>Chungheng</w:t>
            </w:r>
          </w:p>
        </w:tc>
        <w:tc>
          <w:tcPr>
            <w:tcW w:type="dxa" w:w="3360"/>
          </w:tcPr>
          <w:p>
            <w:r>
              <w:t>HP-001 Measurement &amp; Validation Requirements</w:t>
            </w:r>
          </w:p>
        </w:tc>
        <w:tc>
          <w:tcPr>
            <w:tcW w:type="dxa" w:w="3360"/>
          </w:tcPr>
          <w:p>
            <w:r>
              <w:t>Measurement and validation</w:t>
            </w:r>
          </w:p>
        </w:tc>
      </w:tr>
      <w:tr>
        <w:tc>
          <w:tcPr>
            <w:tcW w:type="dxa" w:w="3360"/>
          </w:tcPr>
          <w:p>
            <w:r>
              <w:t>Arnav</w:t>
            </w:r>
          </w:p>
        </w:tc>
        <w:tc>
          <w:tcPr>
            <w:tcW w:type="dxa" w:w="3360"/>
          </w:tcPr>
          <w:p>
            <w:r>
              <w:t>HP-001 Review-Ready / Approved Content Package</w:t>
            </w:r>
          </w:p>
        </w:tc>
        <w:tc>
          <w:tcPr>
            <w:tcW w:type="dxa" w:w="3360"/>
          </w:tcPr>
          <w:p>
            <w:r>
              <w:t>Primary content deliverable</w:t>
            </w:r>
          </w:p>
        </w:tc>
      </w:tr>
      <w:tr>
        <w:tc>
          <w:tcPr>
            <w:tcW w:type="dxa" w:w="3360"/>
          </w:tcPr>
          <w:p>
            <w:r>
              <w:t>Jeron</w:t>
            </w:r>
          </w:p>
        </w:tc>
        <w:tc>
          <w:tcPr>
            <w:tcW w:type="dxa" w:w="3360"/>
          </w:tcPr>
          <w:p>
            <w:r>
              <w:t>HP-001 Coordination, Handoff &amp; Review Record</w:t>
            </w:r>
          </w:p>
        </w:tc>
        <w:tc>
          <w:tcPr>
            <w:tcW w:type="dxa" w:w="3360"/>
          </w:tcPr>
          <w:p>
            <w:r>
              <w:t>Traceability and client-review coordination</w:t>
            </w:r>
          </w:p>
        </w:tc>
      </w:tr>
    </w:tbl>
    <w:p>
      <w:pPr>
        <w:pStyle w:val="Heading1"/>
      </w:pPr>
      <w:r>
        <w:t>12. Repository Traceability</w:t>
      </w:r>
    </w:p>
    <w:p>
      <w:r>
        <w:t>Each specialist should link or attach their output to the corresponding deliverable so the final HP-001 package has a clear evidence and handoff trail. This page is the repository-level requirement reference for Team B’s Sprint 2 Week 2 HP-001 work.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