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7365D"/>
          <w:sz w:val="44"/>
        </w:rPr>
        <w:t>Authority Manager Validation Report</w:t>
      </w:r>
    </w:p>
    <w:p>
      <w:pPr>
        <w:jc w:val="center"/>
      </w:pPr>
      <w:r>
        <w:rPr>
          <w:rFonts w:ascii="Aptos" w:hAnsi="Aptos"/>
          <w:b/>
          <w:color w:val="505050"/>
          <w:sz w:val="22"/>
        </w:rPr>
        <w:t>Validation of HP-001, HP-002 and HP-003 Pre-Development Authority Findings</w:t>
      </w:r>
    </w:p>
    <w:p>
      <w:pPr>
        <w:jc w:val="center"/>
      </w:pPr>
      <w:r>
        <w:rPr>
          <w:color w:val="646464"/>
          <w:sz w:val="18"/>
        </w:rPr>
        <w:t>Authority Manager AI Agent | ViriVr Digital Marketing Team | 22 September 2026</w:t>
      </w:r>
    </w:p>
    <w:tbl>
      <w:tblPr>
        <w:tblW w:type="auto" w:w="0"/>
        <w:jc w:val="center"/>
        <w:tblLook w:firstColumn="1" w:firstRow="1" w:lastColumn="0" w:lastRow="0" w:noHBand="0" w:noVBand="1" w:val="04A0"/>
      </w:tblPr>
      <w:tblGrid>
        <w:gridCol w:w="10944"/>
      </w:tblGrid>
      <w:tr>
        <w:tc>
          <w:tcPr>
            <w:tcW w:type="dxa" w:w="10944"/>
            <w:shd w:fill="EAF2F8"/>
            <w:tcMar>
              <w:top w:w="120" w:type="dxa"/>
              <w:start w:w="140" w:type="dxa"/>
              <w:bottom w:w="120" w:type="dxa"/>
              <w:end w:w="140" w:type="dxa"/>
            </w:tcMar>
          </w:tcPr>
          <w:p>
            <w:pPr>
              <w:spacing w:after="0"/>
            </w:pPr>
            <w:r>
              <w:rPr>
                <w:rFonts w:ascii="Aptos" w:hAnsi="Aptos"/>
                <w:b/>
                <w:sz w:val="20"/>
              </w:rPr>
              <w:t>Purpose: validate existing pre-development findings against approved sources and provide final validated implementation recommendations. This is not a new pre-development analysis and not an audit of completed landing pages.</w:t>
            </w:r>
          </w:p>
        </w:tc>
      </w:tr>
    </w:tbl>
    <w:p>
      <w:pPr>
        <w:pStyle w:val="Heading1"/>
      </w:pPr>
      <w:r>
        <w:t>1. Validation Basis</w:t>
      </w:r>
    </w:p>
    <w:tbl>
      <w:tblPr>
        <w:tblStyle w:val="TableGrid"/>
        <w:tblW w:type="auto" w:w="0"/>
        <w:jc w:val="center"/>
        <w:tblLayout w:type="fixed"/>
        <w:tblLook w:firstColumn="1" w:firstRow="1" w:lastColumn="0" w:lastRow="0" w:noHBand="0" w:noVBand="1" w:val="04A0"/>
      </w:tblPr>
      <w:tblGrid>
        <w:gridCol w:w="3648"/>
        <w:gridCol w:w="3648"/>
        <w:gridCol w:w="3648"/>
      </w:tblGrid>
      <w:tr>
        <w:trPr>
          <w:cantSplit/>
          <w:tblHeader w:val="true"/>
        </w:trPr>
        <w:tc>
          <w:tcPr>
            <w:tcW w:type="dxa" w:w="1007"/>
            <w:tcMar>
              <w:top w:w="70" w:type="dxa"/>
              <w:start w:w="75" w:type="dxa"/>
              <w:bottom w:w="70" w:type="dxa"/>
              <w:end w:w="75" w:type="dxa"/>
            </w:tcMar>
            <w:vAlign w:val="center"/>
            <w:shd w:fill="17365D"/>
          </w:tcPr>
          <w:p>
            <w:pPr>
              <w:spacing w:after="0" w:before="0" w:line="240" w:lineRule="auto"/>
            </w:pPr>
            <w:r>
              <w:rPr>
                <w:rFonts w:ascii="Aptos" w:hAnsi="Aptos"/>
                <w:b/>
                <w:color w:val="FFFFFF"/>
                <w:sz w:val="18"/>
              </w:rPr>
              <w:t>Priority</w:t>
            </w:r>
          </w:p>
        </w:tc>
        <w:tc>
          <w:tcPr>
            <w:tcW w:type="dxa" w:w="4320"/>
            <w:tcMar>
              <w:top w:w="70" w:type="dxa"/>
              <w:start w:w="75" w:type="dxa"/>
              <w:bottom w:w="70" w:type="dxa"/>
              <w:end w:w="75" w:type="dxa"/>
            </w:tcMar>
            <w:vAlign w:val="center"/>
            <w:shd w:fill="17365D"/>
          </w:tcPr>
          <w:p>
            <w:pPr>
              <w:spacing w:after="0" w:before="0" w:line="240" w:lineRule="auto"/>
            </w:pPr>
            <w:r>
              <w:rPr>
                <w:rFonts w:ascii="Aptos" w:hAnsi="Aptos"/>
                <w:b/>
                <w:color w:val="FFFFFF"/>
                <w:sz w:val="18"/>
              </w:rPr>
              <w:t>Approved source</w:t>
            </w:r>
          </w:p>
        </w:tc>
        <w:tc>
          <w:tcPr>
            <w:tcW w:type="dxa" w:w="5616"/>
            <w:tcMar>
              <w:top w:w="70" w:type="dxa"/>
              <w:start w:w="75" w:type="dxa"/>
              <w:bottom w:w="70" w:type="dxa"/>
              <w:end w:w="75" w:type="dxa"/>
            </w:tcMar>
            <w:vAlign w:val="center"/>
            <w:shd w:fill="17365D"/>
          </w:tcPr>
          <w:p>
            <w:pPr>
              <w:spacing w:after="0" w:before="0" w:line="240" w:lineRule="auto"/>
            </w:pPr>
            <w:r>
              <w:rPr>
                <w:rFonts w:ascii="Aptos" w:hAnsi="Aptos"/>
                <w:b/>
                <w:color w:val="FFFFFF"/>
                <w:sz w:val="18"/>
              </w:rPr>
              <w:t>Validation use</w:t>
            </w:r>
          </w:p>
        </w:tc>
      </w:tr>
      <w:tr>
        <w:trPr>
          <w:cantSplit/>
        </w:trPr>
        <w:tc>
          <w:tcPr>
            <w:tcW w:type="dxa" w:w="1007"/>
            <w:tcMar>
              <w:top w:w="70" w:type="dxa"/>
              <w:start w:w="75" w:type="dxa"/>
              <w:bottom w:w="70" w:type="dxa"/>
              <w:end w:w="75" w:type="dxa"/>
            </w:tcMar>
            <w:vAlign w:val="center"/>
          </w:tcPr>
          <w:p>
            <w:pPr>
              <w:spacing w:after="0" w:before="0" w:line="240" w:lineRule="auto"/>
            </w:pPr>
            <w:r>
              <w:rPr>
                <w:rFonts w:ascii="Aptos" w:hAnsi="Aptos"/>
                <w:sz w:val="18"/>
              </w:rPr>
              <w:t>1</w:t>
            </w:r>
          </w:p>
        </w:tc>
        <w:tc>
          <w:tcPr>
            <w:tcW w:type="dxa" w:w="4320"/>
            <w:tcMar>
              <w:top w:w="70" w:type="dxa"/>
              <w:start w:w="75" w:type="dxa"/>
              <w:bottom w:w="70" w:type="dxa"/>
              <w:end w:w="75" w:type="dxa"/>
            </w:tcMar>
            <w:vAlign w:val="center"/>
          </w:tcPr>
          <w:p>
            <w:pPr>
              <w:spacing w:after="0" w:before="0" w:line="240" w:lineRule="auto"/>
            </w:pPr>
            <w:r>
              <w:rPr>
                <w:rFonts w:ascii="Aptos" w:hAnsi="Aptos"/>
                <w:sz w:val="18"/>
              </w:rPr>
              <w:t>Digital Marketing Centre of Excellence Graduate Handbook</w:t>
            </w:r>
          </w:p>
        </w:tc>
        <w:tc>
          <w:tcPr>
            <w:tcW w:type="dxa" w:w="5616"/>
            <w:tcMar>
              <w:top w:w="70" w:type="dxa"/>
              <w:start w:w="75" w:type="dxa"/>
              <w:bottom w:w="70" w:type="dxa"/>
              <w:end w:w="75" w:type="dxa"/>
            </w:tcMar>
            <w:vAlign w:val="center"/>
          </w:tcPr>
          <w:p>
            <w:pPr>
              <w:spacing w:after="0" w:before="0" w:line="240" w:lineRule="auto"/>
            </w:pPr>
            <w:r>
              <w:rPr>
                <w:rFonts w:ascii="Aptos" w:hAnsi="Aptos"/>
                <w:sz w:val="18"/>
              </w:rPr>
              <w:t>Highest-priority governance, decision rights, Authority Manager and specialist boundaries.</w:t>
            </w:r>
          </w:p>
        </w:tc>
      </w:tr>
      <w:tr>
        <w:trPr>
          <w:cantSplit/>
        </w:trPr>
        <w:tc>
          <w:tcPr>
            <w:tcW w:type="dxa" w:w="1007"/>
            <w:tcMar>
              <w:top w:w="70" w:type="dxa"/>
              <w:start w:w="75" w:type="dxa"/>
              <w:bottom w:w="70" w:type="dxa"/>
              <w:end w:w="75" w:type="dxa"/>
            </w:tcMar>
            <w:vAlign w:val="center"/>
          </w:tcPr>
          <w:p>
            <w:pPr>
              <w:spacing w:after="0" w:before="0" w:line="240" w:lineRule="auto"/>
            </w:pPr>
            <w:r>
              <w:rPr>
                <w:rFonts w:ascii="Aptos" w:hAnsi="Aptos"/>
                <w:sz w:val="18"/>
              </w:rPr>
              <w:t>2</w:t>
            </w:r>
          </w:p>
        </w:tc>
        <w:tc>
          <w:tcPr>
            <w:tcW w:type="dxa" w:w="4320"/>
            <w:tcMar>
              <w:top w:w="70" w:type="dxa"/>
              <w:start w:w="75" w:type="dxa"/>
              <w:bottom w:w="70" w:type="dxa"/>
              <w:end w:w="75" w:type="dxa"/>
            </w:tcMar>
            <w:vAlign w:val="center"/>
          </w:tcPr>
          <w:p>
            <w:pPr>
              <w:spacing w:after="0" w:before="0" w:line="240" w:lineRule="auto"/>
            </w:pPr>
            <w:r>
              <w:rPr>
                <w:rFonts w:ascii="Aptos" w:hAnsi="Aptos"/>
                <w:sz w:val="18"/>
              </w:rPr>
              <w:t>Authority Manager Agent Specification</w:t>
            </w:r>
          </w:p>
        </w:tc>
        <w:tc>
          <w:tcPr>
            <w:tcW w:type="dxa" w:w="5616"/>
            <w:tcMar>
              <w:top w:w="70" w:type="dxa"/>
              <w:start w:w="75" w:type="dxa"/>
              <w:bottom w:w="70" w:type="dxa"/>
              <w:end w:w="75" w:type="dxa"/>
            </w:tcMar>
            <w:vAlign w:val="center"/>
          </w:tcPr>
          <w:p>
            <w:pPr>
              <w:spacing w:after="0" w:before="0" w:line="240" w:lineRule="auto"/>
            </w:pPr>
            <w:r>
              <w:rPr>
                <w:rFonts w:ascii="Aptos" w:hAnsi="Aptos"/>
                <w:sz w:val="18"/>
              </w:rPr>
              <w:t>Evidence/claim validation, Brand Stewardship, governance, routing and escalation.</w:t>
            </w:r>
          </w:p>
        </w:tc>
      </w:tr>
      <w:tr>
        <w:trPr>
          <w:cantSplit/>
        </w:trPr>
        <w:tc>
          <w:tcPr>
            <w:tcW w:type="dxa" w:w="1007"/>
            <w:tcMar>
              <w:top w:w="70" w:type="dxa"/>
              <w:start w:w="75" w:type="dxa"/>
              <w:bottom w:w="70" w:type="dxa"/>
              <w:end w:w="75" w:type="dxa"/>
            </w:tcMar>
            <w:vAlign w:val="center"/>
          </w:tcPr>
          <w:p>
            <w:pPr>
              <w:spacing w:after="0" w:before="0" w:line="240" w:lineRule="auto"/>
            </w:pPr>
            <w:r>
              <w:rPr>
                <w:rFonts w:ascii="Aptos" w:hAnsi="Aptos"/>
                <w:sz w:val="18"/>
              </w:rPr>
              <w:t>3</w:t>
            </w:r>
          </w:p>
        </w:tc>
        <w:tc>
          <w:tcPr>
            <w:tcW w:type="dxa" w:w="4320"/>
            <w:tcMar>
              <w:top w:w="70" w:type="dxa"/>
              <w:start w:w="75" w:type="dxa"/>
              <w:bottom w:w="70" w:type="dxa"/>
              <w:end w:w="75" w:type="dxa"/>
            </w:tcMar>
            <w:vAlign w:val="center"/>
          </w:tcPr>
          <w:p>
            <w:pPr>
              <w:spacing w:after="0" w:before="0" w:line="240" w:lineRule="auto"/>
            </w:pPr>
            <w:r>
              <w:rPr>
                <w:rFonts w:ascii="Aptos" w:hAnsi="Aptos"/>
                <w:sz w:val="18"/>
              </w:rPr>
              <w:t>Authority Manager Audit Criteria Framework v1</w:t>
            </w:r>
          </w:p>
        </w:tc>
        <w:tc>
          <w:tcPr>
            <w:tcW w:type="dxa" w:w="5616"/>
            <w:tcMar>
              <w:top w:w="70" w:type="dxa"/>
              <w:start w:w="75" w:type="dxa"/>
              <w:bottom w:w="70" w:type="dxa"/>
              <w:end w:w="75" w:type="dxa"/>
            </w:tcMar>
            <w:vAlign w:val="center"/>
          </w:tcPr>
          <w:p>
            <w:pPr>
              <w:spacing w:after="0" w:before="0" w:line="240" w:lineRule="auto"/>
            </w:pPr>
            <w:r>
              <w:rPr>
                <w:rFonts w:ascii="Aptos" w:hAnsi="Aptos"/>
                <w:sz w:val="18"/>
              </w:rPr>
              <w:t>Authority/trust/evidence/provenance/claim/brand/safety/escalation validation lens.</w:t>
            </w:r>
          </w:p>
        </w:tc>
      </w:tr>
      <w:tr>
        <w:trPr>
          <w:cantSplit/>
        </w:trPr>
        <w:tc>
          <w:tcPr>
            <w:tcW w:type="dxa" w:w="1007"/>
            <w:tcMar>
              <w:top w:w="70" w:type="dxa"/>
              <w:start w:w="75" w:type="dxa"/>
              <w:bottom w:w="70" w:type="dxa"/>
              <w:end w:w="75" w:type="dxa"/>
            </w:tcMar>
            <w:vAlign w:val="center"/>
          </w:tcPr>
          <w:p>
            <w:pPr>
              <w:spacing w:after="0" w:before="0" w:line="240" w:lineRule="auto"/>
            </w:pPr>
            <w:r>
              <w:rPr>
                <w:rFonts w:ascii="Aptos" w:hAnsi="Aptos"/>
                <w:sz w:val="18"/>
              </w:rPr>
              <w:t>4</w:t>
            </w:r>
          </w:p>
        </w:tc>
        <w:tc>
          <w:tcPr>
            <w:tcW w:type="dxa" w:w="4320"/>
            <w:tcMar>
              <w:top w:w="70" w:type="dxa"/>
              <w:start w:w="75" w:type="dxa"/>
              <w:bottom w:w="70" w:type="dxa"/>
              <w:end w:w="75" w:type="dxa"/>
            </w:tcMar>
            <w:vAlign w:val="center"/>
          </w:tcPr>
          <w:p>
            <w:pPr>
              <w:spacing w:after="0" w:before="0" w:line="240" w:lineRule="auto"/>
            </w:pPr>
            <w:r>
              <w:rPr>
                <w:rFonts w:ascii="Aptos" w:hAnsi="Aptos"/>
                <w:sz w:val="18"/>
              </w:rPr>
              <w:t>Viri_VR_House_Party_Content_Authority_Architecture_v1</w:t>
            </w:r>
          </w:p>
        </w:tc>
        <w:tc>
          <w:tcPr>
            <w:tcW w:type="dxa" w:w="5616"/>
            <w:tcMar>
              <w:top w:w="70" w:type="dxa"/>
              <w:start w:w="75" w:type="dxa"/>
              <w:bottom w:w="70" w:type="dxa"/>
              <w:end w:w="75" w:type="dxa"/>
            </w:tcMar>
            <w:vAlign w:val="center"/>
          </w:tcPr>
          <w:p>
            <w:pPr>
              <w:spacing w:after="0" w:before="0" w:line="240" w:lineRule="auto"/>
            </w:pPr>
            <w:r>
              <w:rPr>
                <w:rFonts w:ascii="Aptos" w:hAnsi="Aptos"/>
                <w:sz w:val="18"/>
              </w:rPr>
              <w:t>HP-001/002/003 requirements, evidence requirements, keywords, links, consolidation, evidence and measurement.</w:t>
            </w:r>
          </w:p>
        </w:tc>
      </w:tr>
      <w:tr>
        <w:trPr>
          <w:cantSplit/>
        </w:trPr>
        <w:tc>
          <w:tcPr>
            <w:tcW w:type="dxa" w:w="1007"/>
            <w:tcMar>
              <w:top w:w="70" w:type="dxa"/>
              <w:start w:w="75" w:type="dxa"/>
              <w:bottom w:w="70" w:type="dxa"/>
              <w:end w:w="75" w:type="dxa"/>
            </w:tcMar>
            <w:vAlign w:val="center"/>
          </w:tcPr>
          <w:p>
            <w:pPr>
              <w:spacing w:after="0" w:before="0" w:line="240" w:lineRule="auto"/>
            </w:pPr>
            <w:r>
              <w:rPr>
                <w:rFonts w:ascii="Aptos" w:hAnsi="Aptos"/>
                <w:sz w:val="18"/>
              </w:rPr>
              <w:t>Approved project instruction</w:t>
            </w:r>
          </w:p>
        </w:tc>
        <w:tc>
          <w:tcPr>
            <w:tcW w:type="dxa" w:w="4320"/>
            <w:tcMar>
              <w:top w:w="70" w:type="dxa"/>
              <w:start w:w="75" w:type="dxa"/>
              <w:bottom w:w="70" w:type="dxa"/>
              <w:end w:w="75" w:type="dxa"/>
            </w:tcMar>
            <w:vAlign w:val="center"/>
          </w:tcPr>
          <w:p>
            <w:pPr>
              <w:spacing w:after="0" w:before="0" w:line="240" w:lineRule="auto"/>
            </w:pPr>
            <w:r>
              <w:rPr>
                <w:rFonts w:ascii="Aptos" w:hAnsi="Aptos"/>
                <w:sz w:val="18"/>
              </w:rPr>
              <w:t>Ajith Ratnarajah = ViriVr CEO, authorised operational owner and approved source of operational evidence.</w:t>
            </w:r>
          </w:p>
        </w:tc>
        <w:tc>
          <w:tcPr>
            <w:tcW w:type="dxa" w:w="5616"/>
            <w:tcMar>
              <w:top w:w="70" w:type="dxa"/>
              <w:start w:w="75" w:type="dxa"/>
              <w:bottom w:w="70" w:type="dxa"/>
              <w:end w:w="75" w:type="dxa"/>
            </w:tcMar>
            <w:vAlign w:val="center"/>
          </w:tcPr>
          <w:p>
            <w:pPr>
              <w:spacing w:after="0" w:before="0" w:line="240" w:lineRule="auto"/>
            </w:pPr>
            <w:r>
              <w:rPr>
                <w:rFonts w:ascii="Aptos" w:hAnsi="Aptos"/>
                <w:sz w:val="18"/>
              </w:rPr>
              <w:t>Used to validate operational ownership only; it does not verify facts that have not been supplied and does not automatically assign privacy/legal/insurance/consent ownership.</w:t>
            </w:r>
          </w:p>
        </w:tc>
      </w:tr>
    </w:tbl>
    <w:p>
      <w:r>
        <w:rPr>
          <w:b/>
        </w:rPr>
        <w:t xml:space="preserve">Reports validated: </w:t>
      </w:r>
      <w:r>
        <w:t>HP-001 Pre-Development Authority Analysis and Recommendation Report; HP-002 Pre-Development Authority Analysis and Recommendation Report (Updated); HP-003 Pre-Development Authority Analysis and Recommendation Report.</w:t>
      </w:r>
    </w:p>
    <w:p>
      <w:pPr>
        <w:pStyle w:val="Heading1"/>
      </w:pPr>
      <w:r>
        <w:t>2. Validation Result Definitions</w:t>
      </w:r>
    </w:p>
    <w:tbl>
      <w:tblPr>
        <w:tblStyle w:val="TableGrid"/>
        <w:tblW w:type="auto" w:w="0"/>
        <w:jc w:val="center"/>
        <w:tblLayout w:type="fixed"/>
        <w:tblLook w:firstColumn="1" w:firstRow="1" w:lastColumn="0" w:lastRow="0" w:noHBand="0" w:noVBand="1" w:val="04A0"/>
      </w:tblPr>
      <w:tblGrid>
        <w:gridCol w:w="5472"/>
        <w:gridCol w:w="5472"/>
      </w:tblGrid>
      <w:tr>
        <w:trPr>
          <w:cantSplit/>
          <w:tblHeader w:val="true"/>
        </w:trPr>
        <w:tc>
          <w:tcPr>
            <w:tcW w:type="dxa" w:w="2880"/>
            <w:tcMar>
              <w:top w:w="70" w:type="dxa"/>
              <w:start w:w="75" w:type="dxa"/>
              <w:bottom w:w="70" w:type="dxa"/>
              <w:end w:w="75" w:type="dxa"/>
            </w:tcMar>
            <w:vAlign w:val="center"/>
            <w:shd w:fill="17365D"/>
          </w:tcPr>
          <w:p>
            <w:pPr>
              <w:spacing w:after="0" w:before="0" w:line="240" w:lineRule="auto"/>
            </w:pPr>
            <w:r>
              <w:rPr>
                <w:rFonts w:ascii="Aptos" w:hAnsi="Aptos"/>
                <w:b/>
                <w:color w:val="FFFFFF"/>
                <w:sz w:val="18"/>
              </w:rPr>
              <w:t>Result</w:t>
            </w:r>
          </w:p>
        </w:tc>
        <w:tc>
          <w:tcPr>
            <w:tcW w:type="dxa" w:w="8063"/>
            <w:tcMar>
              <w:top w:w="70" w:type="dxa"/>
              <w:start w:w="75" w:type="dxa"/>
              <w:bottom w:w="70" w:type="dxa"/>
              <w:end w:w="75" w:type="dxa"/>
            </w:tcMar>
            <w:vAlign w:val="center"/>
            <w:shd w:fill="17365D"/>
          </w:tcPr>
          <w:p>
            <w:pPr>
              <w:spacing w:after="0" w:before="0" w:line="240" w:lineRule="auto"/>
            </w:pPr>
            <w:r>
              <w:rPr>
                <w:rFonts w:ascii="Aptos" w:hAnsi="Aptos"/>
                <w:b/>
                <w:color w:val="FFFFFF"/>
                <w:sz w:val="18"/>
              </w:rPr>
              <w:t>Meaning</w:t>
            </w:r>
          </w:p>
        </w:tc>
      </w:tr>
      <w:tr>
        <w:trPr>
          <w:cantSplit/>
        </w:trPr>
        <w:tc>
          <w:tcPr>
            <w:tcW w:type="dxa" w:w="2880"/>
            <w:tcMar>
              <w:top w:w="70" w:type="dxa"/>
              <w:start w:w="75" w:type="dxa"/>
              <w:bottom w:w="70" w:type="dxa"/>
              <w:end w:w="75" w:type="dxa"/>
            </w:tcMar>
            <w:vAlign w:val="center"/>
            <w:shd w:fill="E2F0D9"/>
          </w:tcPr>
          <w:p>
            <w:pPr>
              <w:spacing w:after="0" w:before="0" w:line="240" w:lineRule="auto"/>
            </w:pPr>
            <w:r>
              <w:rPr>
                <w:rFonts w:ascii="Aptos" w:hAnsi="Aptos"/>
                <w:sz w:val="18"/>
              </w:rPr>
              <w:t>Validated</w:t>
            </w:r>
          </w:p>
        </w:tc>
        <w:tc>
          <w:tcPr>
            <w:tcW w:type="dxa" w:w="8063"/>
            <w:tcMar>
              <w:top w:w="70" w:type="dxa"/>
              <w:start w:w="75" w:type="dxa"/>
              <w:bottom w:w="70" w:type="dxa"/>
              <w:end w:w="75" w:type="dxa"/>
            </w:tcMar>
            <w:vAlign w:val="center"/>
          </w:tcPr>
          <w:p>
            <w:pPr>
              <w:spacing w:after="0" w:before="0" w:line="240" w:lineRule="auto"/>
            </w:pPr>
            <w:r>
              <w:rPr>
                <w:rFonts w:ascii="Aptos" w:hAnsi="Aptos"/>
                <w:sz w:val="18"/>
              </w:rPr>
              <w:t>Directly supported by approved evidence or requirements; may be carried forward as stated.</w:t>
            </w:r>
          </w:p>
        </w:tc>
      </w:tr>
      <w:tr>
        <w:trPr>
          <w:cantSplit/>
        </w:trPr>
        <w:tc>
          <w:tcPr>
            <w:tcW w:type="dxa" w:w="2880"/>
            <w:tcMar>
              <w:top w:w="70" w:type="dxa"/>
              <w:start w:w="75" w:type="dxa"/>
              <w:bottom w:w="70" w:type="dxa"/>
              <w:end w:w="75" w:type="dxa"/>
            </w:tcMar>
            <w:vAlign w:val="center"/>
            <w:shd w:fill="FFF2CC"/>
          </w:tcPr>
          <w:p>
            <w:pPr>
              <w:spacing w:after="0" w:before="0" w:line="240" w:lineRule="auto"/>
            </w:pPr>
            <w:r>
              <w:rPr>
                <w:rFonts w:ascii="Aptos" w:hAnsi="Aptos"/>
                <w:sz w:val="18"/>
              </w:rPr>
              <w:t>Validated with Qualification</w:t>
            </w:r>
          </w:p>
        </w:tc>
        <w:tc>
          <w:tcPr>
            <w:tcW w:type="dxa" w:w="8063"/>
            <w:tcMar>
              <w:top w:w="70" w:type="dxa"/>
              <w:start w:w="75" w:type="dxa"/>
              <w:bottom w:w="70" w:type="dxa"/>
              <w:end w:w="75" w:type="dxa"/>
            </w:tcMar>
            <w:vAlign w:val="center"/>
          </w:tcPr>
          <w:p>
            <w:pPr>
              <w:spacing w:after="0" w:before="0" w:line="240" w:lineRule="auto"/>
            </w:pPr>
            <w:r>
              <w:rPr>
                <w:rFonts w:ascii="Aptos" w:hAnsi="Aptos"/>
                <w:sz w:val="18"/>
              </w:rPr>
              <w:t>Substance is supported, but scope, wording, ownership or interpretation needs correction before carry-forward.</w:t>
            </w:r>
          </w:p>
        </w:tc>
      </w:tr>
      <w:tr>
        <w:trPr>
          <w:cantSplit/>
        </w:trPr>
        <w:tc>
          <w:tcPr>
            <w:tcW w:type="dxa" w:w="2880"/>
            <w:tcMar>
              <w:top w:w="70" w:type="dxa"/>
              <w:start w:w="75" w:type="dxa"/>
              <w:bottom w:w="70" w:type="dxa"/>
              <w:end w:w="75" w:type="dxa"/>
            </w:tcMar>
            <w:vAlign w:val="center"/>
            <w:shd w:fill="FCE4D6"/>
          </w:tcPr>
          <w:p>
            <w:pPr>
              <w:spacing w:after="0" w:before="0" w:line="240" w:lineRule="auto"/>
            </w:pPr>
            <w:r>
              <w:rPr>
                <w:rFonts w:ascii="Aptos" w:hAnsi="Aptos"/>
                <w:sz w:val="18"/>
              </w:rPr>
              <w:t>Requires Human Clarification</w:t>
            </w:r>
          </w:p>
        </w:tc>
        <w:tc>
          <w:tcPr>
            <w:tcW w:type="dxa" w:w="8063"/>
            <w:tcMar>
              <w:top w:w="70" w:type="dxa"/>
              <w:start w:w="75" w:type="dxa"/>
              <w:bottom w:w="70" w:type="dxa"/>
              <w:end w:w="75" w:type="dxa"/>
            </w:tcMar>
            <w:vAlign w:val="center"/>
          </w:tcPr>
          <w:p>
            <w:pPr>
              <w:spacing w:after="0" w:before="0" w:line="240" w:lineRule="auto"/>
            </w:pPr>
            <w:r>
              <w:rPr>
                <w:rFonts w:ascii="Aptos" w:hAnsi="Aptos"/>
                <w:sz w:val="18"/>
              </w:rPr>
              <w:t>Approved sources do not fully determine the issue, source, owner or decision.</w:t>
            </w:r>
          </w:p>
        </w:tc>
      </w:tr>
      <w:tr>
        <w:trPr>
          <w:cantSplit/>
        </w:trPr>
        <w:tc>
          <w:tcPr>
            <w:tcW w:type="dxa" w:w="2880"/>
            <w:tcMar>
              <w:top w:w="70" w:type="dxa"/>
              <w:start w:w="75" w:type="dxa"/>
              <w:bottom w:w="70" w:type="dxa"/>
              <w:end w:w="75" w:type="dxa"/>
            </w:tcMar>
            <w:vAlign w:val="center"/>
            <w:shd w:fill="F4CCCC"/>
          </w:tcPr>
          <w:p>
            <w:pPr>
              <w:spacing w:after="0" w:before="0" w:line="240" w:lineRule="auto"/>
            </w:pPr>
            <w:r>
              <w:rPr>
                <w:rFonts w:ascii="Aptos" w:hAnsi="Aptos"/>
                <w:sz w:val="18"/>
              </w:rPr>
              <w:t>Not Supported</w:t>
            </w:r>
          </w:p>
        </w:tc>
        <w:tc>
          <w:tcPr>
            <w:tcW w:type="dxa" w:w="8063"/>
            <w:tcMar>
              <w:top w:w="70" w:type="dxa"/>
              <w:start w:w="75" w:type="dxa"/>
              <w:bottom w:w="70" w:type="dxa"/>
              <w:end w:w="75" w:type="dxa"/>
            </w:tcMar>
            <w:vAlign w:val="center"/>
          </w:tcPr>
          <w:p>
            <w:pPr>
              <w:spacing w:after="0" w:before="0" w:line="240" w:lineRule="auto"/>
            </w:pPr>
            <w:r>
              <w:rPr>
                <w:rFonts w:ascii="Aptos" w:hAnsi="Aptos"/>
                <w:sz w:val="18"/>
              </w:rPr>
              <w:t>No adequate approved support; finding must not be carried forward.</w:t>
            </w:r>
          </w:p>
        </w:tc>
      </w:tr>
    </w:tbl>
    <w:p>
      <w:pPr>
        <w:pStyle w:val="Heading1"/>
      </w:pPr>
      <w:r>
        <w:t>3. Validation Results</w:t>
      </w:r>
    </w:p>
    <w:p>
      <w:pPr>
        <w:spacing w:after="120"/>
      </w:pPr>
      <w:r>
        <w:t>Material findings are consolidated by underlying issue. Claim-table records and outstanding handoffs are included in the same validation row where they concern the same evidence problem.</w:t>
      </w:r>
    </w:p>
    <w:tbl>
      <w:tblPr>
        <w:tblStyle w:val="TableGrid"/>
        <w:tblW w:type="auto" w:w="0"/>
        <w:jc w:val="center"/>
        <w:tblLayout w:type="fixed"/>
        <w:tblLook w:firstColumn="1" w:firstRow="1" w:lastColumn="0" w:lastRow="0" w:noHBand="0" w:noVBand="1" w:val="04A0"/>
      </w:tblPr>
      <w:tblGrid>
        <w:gridCol w:w="1824"/>
        <w:gridCol w:w="1824"/>
        <w:gridCol w:w="1824"/>
        <w:gridCol w:w="1824"/>
        <w:gridCol w:w="1824"/>
        <w:gridCol w:w="1824"/>
      </w:tblGrid>
      <w:tr>
        <w:trPr>
          <w:cantSplit/>
          <w:tblHeader w:val="true"/>
        </w:trPr>
        <w:tc>
          <w:tcPr>
            <w:tcW w:type="dxa" w:w="792"/>
            <w:tcMar>
              <w:top w:w="70" w:type="dxa"/>
              <w:start w:w="75" w:type="dxa"/>
              <w:bottom w:w="70" w:type="dxa"/>
              <w:end w:w="75" w:type="dxa"/>
            </w:tcMar>
            <w:vAlign w:val="center"/>
            <w:shd w:fill="17365D"/>
          </w:tcPr>
          <w:p>
            <w:pPr>
              <w:spacing w:after="0" w:before="0" w:line="240" w:lineRule="auto"/>
            </w:pPr>
            <w:r>
              <w:rPr>
                <w:rFonts w:ascii="Aptos" w:hAnsi="Aptos"/>
                <w:b/>
                <w:color w:val="FFFFFF"/>
                <w:sz w:val="16"/>
              </w:rPr>
              <w:t>Page</w:t>
            </w:r>
          </w:p>
        </w:tc>
        <w:tc>
          <w:tcPr>
            <w:tcW w:type="dxa" w:w="2232"/>
            <w:tcMar>
              <w:top w:w="70" w:type="dxa"/>
              <w:start w:w="75" w:type="dxa"/>
              <w:bottom w:w="70" w:type="dxa"/>
              <w:end w:w="75" w:type="dxa"/>
            </w:tcMar>
            <w:vAlign w:val="center"/>
            <w:shd w:fill="17365D"/>
          </w:tcPr>
          <w:p>
            <w:pPr>
              <w:spacing w:after="0" w:before="0" w:line="240" w:lineRule="auto"/>
            </w:pPr>
            <w:r>
              <w:rPr>
                <w:rFonts w:ascii="Aptos" w:hAnsi="Aptos"/>
                <w:b/>
                <w:color w:val="FFFFFF"/>
                <w:sz w:val="16"/>
              </w:rPr>
              <w:t>Finding / Reference</w:t>
            </w:r>
          </w:p>
        </w:tc>
        <w:tc>
          <w:tcPr>
            <w:tcW w:type="dxa" w:w="1655"/>
            <w:tcMar>
              <w:top w:w="70" w:type="dxa"/>
              <w:start w:w="75" w:type="dxa"/>
              <w:bottom w:w="70" w:type="dxa"/>
              <w:end w:w="75" w:type="dxa"/>
            </w:tcMar>
            <w:vAlign w:val="center"/>
            <w:shd w:fill="17365D"/>
          </w:tcPr>
          <w:p>
            <w:pPr>
              <w:spacing w:after="0" w:before="0" w:line="240" w:lineRule="auto"/>
            </w:pPr>
            <w:r>
              <w:rPr>
                <w:rFonts w:ascii="Aptos" w:hAnsi="Aptos"/>
                <w:b/>
                <w:color w:val="FFFFFF"/>
                <w:sz w:val="16"/>
              </w:rPr>
              <w:t>Validation Result</w:t>
            </w:r>
          </w:p>
        </w:tc>
        <w:tc>
          <w:tcPr>
            <w:tcW w:type="dxa" w:w="2376"/>
            <w:tcMar>
              <w:top w:w="70" w:type="dxa"/>
              <w:start w:w="75" w:type="dxa"/>
              <w:bottom w:w="70" w:type="dxa"/>
              <w:end w:w="75" w:type="dxa"/>
            </w:tcMar>
            <w:vAlign w:val="center"/>
            <w:shd w:fill="17365D"/>
          </w:tcPr>
          <w:p>
            <w:pPr>
              <w:spacing w:after="0" w:before="0" w:line="240" w:lineRule="auto"/>
            </w:pPr>
            <w:r>
              <w:rPr>
                <w:rFonts w:ascii="Aptos" w:hAnsi="Aptos"/>
                <w:b/>
                <w:color w:val="FFFFFF"/>
                <w:sz w:val="16"/>
              </w:rPr>
              <w:t>Validation Basis</w:t>
            </w:r>
          </w:p>
        </w:tc>
        <w:tc>
          <w:tcPr>
            <w:tcW w:type="dxa" w:w="1944"/>
            <w:tcMar>
              <w:top w:w="70" w:type="dxa"/>
              <w:start w:w="75" w:type="dxa"/>
              <w:bottom w:w="70" w:type="dxa"/>
              <w:end w:w="75" w:type="dxa"/>
            </w:tcMar>
            <w:vAlign w:val="center"/>
            <w:shd w:fill="17365D"/>
          </w:tcPr>
          <w:p>
            <w:pPr>
              <w:spacing w:after="0" w:before="0" w:line="240" w:lineRule="auto"/>
            </w:pPr>
            <w:r>
              <w:rPr>
                <w:rFonts w:ascii="Aptos" w:hAnsi="Aptos"/>
                <w:b/>
                <w:color w:val="FFFFFF"/>
                <w:sz w:val="16"/>
              </w:rPr>
              <w:t>Correction / Qualification Required</w:t>
            </w:r>
          </w:p>
        </w:tc>
        <w:tc>
          <w:tcPr>
            <w:tcW w:type="dxa" w:w="1944"/>
            <w:tcMar>
              <w:top w:w="70" w:type="dxa"/>
              <w:start w:w="75" w:type="dxa"/>
              <w:bottom w:w="70" w:type="dxa"/>
              <w:end w:w="75" w:type="dxa"/>
            </w:tcMar>
            <w:vAlign w:val="center"/>
            <w:shd w:fill="17365D"/>
          </w:tcPr>
          <w:p>
            <w:pPr>
              <w:spacing w:after="0" w:before="0" w:line="240" w:lineRule="auto"/>
            </w:pPr>
            <w:r>
              <w:rPr>
                <w:rFonts w:ascii="Aptos" w:hAnsi="Aptos"/>
                <w:b/>
                <w:color w:val="FFFFFF"/>
                <w:sz w:val="16"/>
              </w:rPr>
              <w:t>Action</w:t>
            </w:r>
          </w:p>
        </w:tc>
      </w:tr>
      <w:tr>
        <w:trPr>
          <w:cantSplit/>
        </w:trPr>
        <w:tc>
          <w:tcPr>
            <w:tcW w:type="dxa" w:w="792"/>
            <w:tcMar>
              <w:top w:w="70" w:type="dxa"/>
              <w:start w:w="75" w:type="dxa"/>
              <w:bottom w:w="70" w:type="dxa"/>
              <w:end w:w="75" w:type="dxa"/>
            </w:tcMar>
            <w:vAlign w:val="center"/>
          </w:tcPr>
          <w:p>
            <w:pPr>
              <w:spacing w:after="0" w:before="0" w:line="240" w:lineRule="auto"/>
            </w:pPr>
            <w:r>
              <w:rPr>
                <w:rFonts w:ascii="Aptos" w:hAnsi="Aptos"/>
                <w:sz w:val="16"/>
              </w:rPr>
              <w:t>HP-001</w:t>
            </w:r>
          </w:p>
        </w:tc>
        <w:tc>
          <w:tcPr>
            <w:tcW w:type="dxa" w:w="2232"/>
            <w:tcMar>
              <w:top w:w="70" w:type="dxa"/>
              <w:start w:w="75" w:type="dxa"/>
              <w:bottom w:w="70" w:type="dxa"/>
              <w:end w:w="75" w:type="dxa"/>
            </w:tcMar>
            <w:vAlign w:val="center"/>
          </w:tcPr>
          <w:p>
            <w:pPr>
              <w:spacing w:after="0" w:before="0" w:line="240" w:lineRule="auto"/>
            </w:pPr>
            <w:r>
              <w:rPr>
                <w:rFonts w:ascii="Aptos" w:hAnsi="Aptos"/>
                <w:sz w:val="16"/>
              </w:rPr>
              <w:t>Page role, national commercial ownership and national/local availability safeguard (Requirement Summary; TG-01; R-03)</w:t>
            </w:r>
          </w:p>
        </w:tc>
        <w:tc>
          <w:tcPr>
            <w:tcW w:type="dxa" w:w="1655"/>
            <w:tcMar>
              <w:top w:w="70" w:type="dxa"/>
              <w:start w:w="75" w:type="dxa"/>
              <w:bottom w:w="70" w:type="dxa"/>
              <w:end w:w="75" w:type="dxa"/>
            </w:tcMar>
            <w:vAlign w:val="center"/>
            <w:shd w:fill="E2F0D9"/>
          </w:tcPr>
          <w:p>
            <w:pPr>
              <w:spacing w:after="0" w:before="0" w:line="240" w:lineRule="auto"/>
            </w:pPr>
            <w:r>
              <w:rPr>
                <w:rFonts w:ascii="Aptos" w:hAnsi="Aptos"/>
                <w:sz w:val="16"/>
              </w:rPr>
              <w:t>Validated</w:t>
            </w:r>
          </w:p>
        </w:tc>
        <w:tc>
          <w:tcPr>
            <w:tcW w:type="dxa" w:w="2376"/>
            <w:tcMar>
              <w:top w:w="70" w:type="dxa"/>
              <w:start w:w="75" w:type="dxa"/>
              <w:bottom w:w="70" w:type="dxa"/>
              <w:end w:w="75" w:type="dxa"/>
            </w:tcMar>
            <w:vAlign w:val="center"/>
          </w:tcPr>
          <w:p>
            <w:pPr>
              <w:spacing w:after="0" w:before="0" w:line="240" w:lineRule="auto"/>
            </w:pPr>
            <w:r>
              <w:rPr>
                <w:rFonts w:ascii="Aptos" w:hAnsi="Aptos"/>
                <w:sz w:val="16"/>
              </w:rPr>
              <w:t>Architecture defines HP-001 as the national commercial owner and explicitly warns against implying Australia-wide bookability.</w:t>
            </w:r>
          </w:p>
        </w:tc>
        <w:tc>
          <w:tcPr>
            <w:tcW w:type="dxa" w:w="1944"/>
            <w:tcMar>
              <w:top w:w="70" w:type="dxa"/>
              <w:start w:w="75" w:type="dxa"/>
              <w:bottom w:w="70" w:type="dxa"/>
              <w:end w:w="75" w:type="dxa"/>
            </w:tcMar>
            <w:vAlign w:val="center"/>
          </w:tcPr>
          <w:p>
            <w:pPr>
              <w:spacing w:after="0" w:before="0" w:line="240" w:lineRule="auto"/>
            </w:pPr>
            <w:r>
              <w:rPr>
                <w:rFonts w:ascii="Aptos" w:hAnsi="Aptos"/>
                <w:sz w:val="16"/>
              </w:rPr>
              <w:t>None beyond preserving conditional/local availability language.</w:t>
            </w:r>
          </w:p>
        </w:tc>
        <w:tc>
          <w:tcPr>
            <w:tcW w:type="dxa" w:w="1944"/>
            <w:tcMar>
              <w:top w:w="70" w:type="dxa"/>
              <w:start w:w="75" w:type="dxa"/>
              <w:bottom w:w="70" w:type="dxa"/>
              <w:end w:w="75" w:type="dxa"/>
            </w:tcMar>
            <w:vAlign w:val="center"/>
          </w:tcPr>
          <w:p>
            <w:pPr>
              <w:spacing w:after="0" w:before="0" w:line="240" w:lineRule="auto"/>
            </w:pPr>
            <w:r>
              <w:rPr>
                <w:rFonts w:ascii="Aptos" w:hAnsi="Aptos"/>
                <w:sz w:val="16"/>
              </w:rPr>
              <w:t>Carry forward page role and geographic safeguard.</w:t>
            </w:r>
          </w:p>
        </w:tc>
      </w:tr>
      <w:tr>
        <w:trPr>
          <w:cantSplit/>
        </w:trPr>
        <w:tc>
          <w:tcPr>
            <w:tcW w:type="dxa" w:w="792"/>
            <w:tcMar>
              <w:top w:w="70" w:type="dxa"/>
              <w:start w:w="75" w:type="dxa"/>
              <w:bottom w:w="70" w:type="dxa"/>
              <w:end w:w="75" w:type="dxa"/>
            </w:tcMar>
            <w:vAlign w:val="center"/>
          </w:tcPr>
          <w:p>
            <w:pPr>
              <w:spacing w:after="0" w:before="0" w:line="240" w:lineRule="auto"/>
            </w:pPr>
            <w:r>
              <w:rPr>
                <w:rFonts w:ascii="Aptos" w:hAnsi="Aptos"/>
                <w:sz w:val="16"/>
              </w:rPr>
              <w:t>HP-001</w:t>
            </w:r>
          </w:p>
        </w:tc>
        <w:tc>
          <w:tcPr>
            <w:tcW w:type="dxa" w:w="2232"/>
            <w:tcMar>
              <w:top w:w="70" w:type="dxa"/>
              <w:start w:w="75" w:type="dxa"/>
              <w:bottom w:w="70" w:type="dxa"/>
              <w:end w:w="75" w:type="dxa"/>
            </w:tcMar>
            <w:vAlign w:val="center"/>
          </w:tcPr>
          <w:p>
            <w:pPr>
              <w:spacing w:after="0" w:before="0" w:line="240" w:lineRule="auto"/>
            </w:pPr>
            <w:r>
              <w:rPr>
                <w:rFonts w:ascii="Aptos" w:hAnsi="Aptos"/>
                <w:sz w:val="16"/>
              </w:rPr>
              <w:t>Operational evidence gaps and claim-verification requirements (AG-01; ER-01-11/14; Claim Table; R-01/R-04/R-06/R-08)</w:t>
            </w:r>
          </w:p>
        </w:tc>
        <w:tc>
          <w:tcPr>
            <w:tcW w:type="dxa" w:w="1655"/>
            <w:tcMar>
              <w:top w:w="70" w:type="dxa"/>
              <w:start w:w="75" w:type="dxa"/>
              <w:bottom w:w="70" w:type="dxa"/>
              <w:end w:w="75" w:type="dxa"/>
            </w:tcMar>
            <w:vAlign w:val="center"/>
            <w:shd w:fill="FFF2CC"/>
          </w:tcPr>
          <w:p>
            <w:pPr>
              <w:spacing w:after="0" w:before="0" w:line="240" w:lineRule="auto"/>
            </w:pPr>
            <w:r>
              <w:rPr>
                <w:rFonts w:ascii="Aptos" w:hAnsi="Aptos"/>
                <w:sz w:val="16"/>
              </w:rPr>
              <w:t>Validated with Qualification</w:t>
            </w:r>
          </w:p>
        </w:tc>
        <w:tc>
          <w:tcPr>
            <w:tcW w:type="dxa" w:w="2376"/>
            <w:tcMar>
              <w:top w:w="70" w:type="dxa"/>
              <w:start w:w="75" w:type="dxa"/>
              <w:bottom w:w="70" w:type="dxa"/>
              <w:end w:w="75" w:type="dxa"/>
            </w:tcMar>
            <w:vAlign w:val="center"/>
          </w:tcPr>
          <w:p>
            <w:pPr>
              <w:spacing w:after="0" w:before="0" w:line="240" w:lineRule="auto"/>
            </w:pPr>
            <w:r>
              <w:rPr>
                <w:rFonts w:ascii="Aptos" w:hAnsi="Aptos"/>
                <w:sz w:val="16"/>
              </w:rPr>
              <w:t>Architecture expressly requires package, age/group, equipment, setup, safety, connectivity, service-area, pricing and related evidence; AM-04/05 require traceability.</w:t>
            </w:r>
          </w:p>
        </w:tc>
        <w:tc>
          <w:tcPr>
            <w:tcW w:type="dxa" w:w="1944"/>
            <w:tcMar>
              <w:top w:w="70" w:type="dxa"/>
              <w:start w:w="75" w:type="dxa"/>
              <w:bottom w:w="70" w:type="dxa"/>
              <w:end w:w="75" w:type="dxa"/>
            </w:tcMar>
            <w:vAlign w:val="center"/>
          </w:tcPr>
          <w:p>
            <w:pPr>
              <w:spacing w:after="0" w:before="0" w:line="240" w:lineRule="auto"/>
            </w:pPr>
            <w:r>
              <w:rPr>
                <w:rFonts w:ascii="Aptos" w:hAnsi="Aptos"/>
                <w:sz w:val="16"/>
              </w:rPr>
              <w:t>Ajith Ratnarajah is now the known authorised operational owner/source for ViriVr operational facts, but no underlying fact becomes verified until actually supplied.</w:t>
            </w:r>
          </w:p>
        </w:tc>
        <w:tc>
          <w:tcPr>
            <w:tcW w:type="dxa" w:w="1944"/>
            <w:tcMar>
              <w:top w:w="70" w:type="dxa"/>
              <w:start w:w="75" w:type="dxa"/>
              <w:bottom w:w="70" w:type="dxa"/>
              <w:end w:w="75" w:type="dxa"/>
            </w:tcMar>
            <w:vAlign w:val="center"/>
          </w:tcPr>
          <w:p>
            <w:pPr>
              <w:spacing w:after="0" w:before="0" w:line="240" w:lineRule="auto"/>
            </w:pPr>
            <w:r>
              <w:rPr>
                <w:rFonts w:ascii="Aptos" w:hAnsi="Aptos"/>
                <w:sz w:val="16"/>
              </w:rPr>
              <w:t>Route ViriVr operational confirmation to Ajith; retain Evidence Required until confirmed and recorded.</w:t>
            </w:r>
          </w:p>
        </w:tc>
      </w:tr>
      <w:tr>
        <w:trPr>
          <w:cantSplit/>
        </w:trPr>
        <w:tc>
          <w:tcPr>
            <w:tcW w:type="dxa" w:w="792"/>
            <w:tcMar>
              <w:top w:w="70" w:type="dxa"/>
              <w:start w:w="75" w:type="dxa"/>
              <w:bottom w:w="70" w:type="dxa"/>
              <w:end w:w="75" w:type="dxa"/>
            </w:tcMar>
            <w:vAlign w:val="center"/>
          </w:tcPr>
          <w:p>
            <w:pPr>
              <w:spacing w:after="0" w:before="0" w:line="240" w:lineRule="auto"/>
            </w:pPr>
            <w:r>
              <w:rPr>
                <w:rFonts w:ascii="Aptos" w:hAnsi="Aptos"/>
                <w:sz w:val="16"/>
              </w:rPr>
              <w:t>HP-001</w:t>
            </w:r>
          </w:p>
        </w:tc>
        <w:tc>
          <w:tcPr>
            <w:tcW w:type="dxa" w:w="2232"/>
            <w:tcMar>
              <w:top w:w="70" w:type="dxa"/>
              <w:start w:w="75" w:type="dxa"/>
              <w:bottom w:w="70" w:type="dxa"/>
              <w:end w:w="75" w:type="dxa"/>
            </w:tcMar>
            <w:vAlign w:val="center"/>
          </w:tcPr>
          <w:p>
            <w:pPr>
              <w:spacing w:after="0" w:before="0" w:line="240" w:lineRule="auto"/>
            </w:pPr>
            <w:r>
              <w:rPr>
                <w:rFonts w:ascii="Aptos" w:hAnsi="Aptos"/>
                <w:sz w:val="16"/>
              </w:rPr>
              <w:t>Original photos, testimonials and proof assets (AG-02; ER-12/13; TG-06; R-05)</w:t>
            </w:r>
          </w:p>
        </w:tc>
        <w:tc>
          <w:tcPr>
            <w:tcW w:type="dxa" w:w="1655"/>
            <w:tcMar>
              <w:top w:w="70" w:type="dxa"/>
              <w:start w:w="75" w:type="dxa"/>
              <w:bottom w:w="70" w:type="dxa"/>
              <w:end w:w="75" w:type="dxa"/>
            </w:tcMar>
            <w:vAlign w:val="center"/>
            <w:shd w:fill="FFF2CC"/>
          </w:tcPr>
          <w:p>
            <w:pPr>
              <w:spacing w:after="0" w:before="0" w:line="240" w:lineRule="auto"/>
            </w:pPr>
            <w:r>
              <w:rPr>
                <w:rFonts w:ascii="Aptos" w:hAnsi="Aptos"/>
                <w:sz w:val="16"/>
              </w:rPr>
              <w:t>Validated with Qualification</w:t>
            </w:r>
          </w:p>
        </w:tc>
        <w:tc>
          <w:tcPr>
            <w:tcW w:type="dxa" w:w="2376"/>
            <w:tcMar>
              <w:top w:w="70" w:type="dxa"/>
              <w:start w:w="75" w:type="dxa"/>
              <w:bottom w:w="70" w:type="dxa"/>
              <w:end w:w="75" w:type="dxa"/>
            </w:tcMar>
            <w:vAlign w:val="center"/>
          </w:tcPr>
          <w:p>
            <w:pPr>
              <w:spacing w:after="0" w:before="0" w:line="240" w:lineRule="auto"/>
            </w:pPr>
            <w:r>
              <w:rPr>
                <w:rFonts w:ascii="Aptos" w:hAnsi="Aptos"/>
                <w:sz w:val="16"/>
              </w:rPr>
              <w:t>Architecture plans real house-party photos/testimonials and requires original proof; Handbook safety/permission checks apply.</w:t>
            </w:r>
          </w:p>
        </w:tc>
        <w:tc>
          <w:tcPr>
            <w:tcW w:type="dxa" w:w="1944"/>
            <w:tcMar>
              <w:top w:w="70" w:type="dxa"/>
              <w:start w:w="75" w:type="dxa"/>
              <w:bottom w:w="70" w:type="dxa"/>
              <w:end w:w="75" w:type="dxa"/>
            </w:tcMar>
            <w:vAlign w:val="center"/>
          </w:tcPr>
          <w:p>
            <w:pPr>
              <w:spacing w:after="0" w:before="0" w:line="240" w:lineRule="auto"/>
            </w:pPr>
            <w:r>
              <w:rPr>
                <w:rFonts w:ascii="Aptos" w:hAnsi="Aptos"/>
                <w:sz w:val="16"/>
              </w:rPr>
              <w:t>Ajith may provide or identify assets, but customer consent/usage rights and provenance require supporting records and are not proven by asset identification.</w:t>
            </w:r>
          </w:p>
        </w:tc>
        <w:tc>
          <w:tcPr>
            <w:tcW w:type="dxa" w:w="1944"/>
            <w:tcMar>
              <w:top w:w="70" w:type="dxa"/>
              <w:start w:w="75" w:type="dxa"/>
              <w:bottom w:w="70" w:type="dxa"/>
              <w:end w:w="75" w:type="dxa"/>
            </w:tcMar>
            <w:vAlign w:val="center"/>
          </w:tcPr>
          <w:p>
            <w:pPr>
              <w:spacing w:after="0" w:before="0" w:line="240" w:lineRule="auto"/>
            </w:pPr>
            <w:r>
              <w:rPr>
                <w:rFonts w:ascii="Aptos" w:hAnsi="Aptos"/>
                <w:sz w:val="16"/>
              </w:rPr>
              <w:t>Use only attributable, permissioned proof; route deeper proof/trust assessment to Brand Authority Builder.</w:t>
            </w:r>
          </w:p>
        </w:tc>
      </w:tr>
      <w:tr>
        <w:trPr>
          <w:cantSplit/>
        </w:trPr>
        <w:tc>
          <w:tcPr>
            <w:tcW w:type="dxa" w:w="792"/>
            <w:tcMar>
              <w:top w:w="70" w:type="dxa"/>
              <w:start w:w="75" w:type="dxa"/>
              <w:bottom w:w="70" w:type="dxa"/>
              <w:end w:w="75" w:type="dxa"/>
            </w:tcMar>
            <w:vAlign w:val="center"/>
          </w:tcPr>
          <w:p>
            <w:pPr>
              <w:spacing w:after="0" w:before="0" w:line="240" w:lineRule="auto"/>
            </w:pPr>
            <w:r>
              <w:rPr>
                <w:rFonts w:ascii="Aptos" w:hAnsi="Aptos"/>
                <w:sz w:val="16"/>
              </w:rPr>
              <w:t>HP-001</w:t>
            </w:r>
          </w:p>
        </w:tc>
        <w:tc>
          <w:tcPr>
            <w:tcW w:type="dxa" w:w="2232"/>
            <w:tcMar>
              <w:top w:w="70" w:type="dxa"/>
              <w:start w:w="75" w:type="dxa"/>
              <w:bottom w:w="70" w:type="dxa"/>
              <w:end w:w="75" w:type="dxa"/>
            </w:tcMar>
            <w:vAlign w:val="center"/>
          </w:tcPr>
          <w:p>
            <w:pPr>
              <w:spacing w:after="0" w:before="0" w:line="240" w:lineRule="auto"/>
            </w:pPr>
            <w:r>
              <w:rPr>
                <w:rFonts w:ascii="Aptos" w:hAnsi="Aptos"/>
                <w:sz w:val="16"/>
              </w:rPr>
              <w:t>Search, keyword and analytics limitations (VE-01-04/08; R-11/R-12)</w:t>
            </w:r>
          </w:p>
        </w:tc>
        <w:tc>
          <w:tcPr>
            <w:tcW w:type="dxa" w:w="1655"/>
            <w:tcMar>
              <w:top w:w="70" w:type="dxa"/>
              <w:start w:w="75" w:type="dxa"/>
              <w:bottom w:w="70" w:type="dxa"/>
              <w:end w:w="75" w:type="dxa"/>
            </w:tcMar>
            <w:vAlign w:val="center"/>
            <w:shd w:fill="E2F0D9"/>
          </w:tcPr>
          <w:p>
            <w:pPr>
              <w:spacing w:after="0" w:before="0" w:line="240" w:lineRule="auto"/>
            </w:pPr>
            <w:r>
              <w:rPr>
                <w:rFonts w:ascii="Aptos" w:hAnsi="Aptos"/>
                <w:sz w:val="16"/>
              </w:rPr>
              <w:t>Validated</w:t>
            </w:r>
          </w:p>
        </w:tc>
        <w:tc>
          <w:tcPr>
            <w:tcW w:type="dxa" w:w="2376"/>
            <w:tcMar>
              <w:top w:w="70" w:type="dxa"/>
              <w:start w:w="75" w:type="dxa"/>
              <w:bottom w:w="70" w:type="dxa"/>
              <w:end w:w="75" w:type="dxa"/>
            </w:tcMar>
            <w:vAlign w:val="center"/>
          </w:tcPr>
          <w:p>
            <w:pPr>
              <w:spacing w:after="0" w:before="0" w:line="240" w:lineRule="auto"/>
            </w:pPr>
            <w:r>
              <w:rPr>
                <w:rFonts w:ascii="Aptos" w:hAnsi="Aptos"/>
                <w:sz w:val="16"/>
              </w:rPr>
              <w:t>Workbook records small GSC samples, Melbourne-segmented overlapping keyword volume, unverified GA4 conversion definitions and AUD 0 revenue.</w:t>
            </w:r>
          </w:p>
        </w:tc>
        <w:tc>
          <w:tcPr>
            <w:tcW w:type="dxa" w:w="1944"/>
            <w:tcMar>
              <w:top w:w="70" w:type="dxa"/>
              <w:start w:w="75" w:type="dxa"/>
              <w:bottom w:w="70" w:type="dxa"/>
              <w:end w:w="75" w:type="dxa"/>
            </w:tcMar>
            <w:vAlign w:val="center"/>
          </w:tcPr>
          <w:p>
            <w:pPr>
              <w:spacing w:after="0" w:before="0" w:line="240" w:lineRule="auto"/>
            </w:pPr>
            <w:r>
              <w:rPr>
                <w:rFonts w:ascii="Aptos" w:hAnsi="Aptos"/>
                <w:sz w:val="16"/>
              </w:rPr>
              <w:t>None. These are planning inputs, not performance proof.</w:t>
            </w:r>
          </w:p>
        </w:tc>
        <w:tc>
          <w:tcPr>
            <w:tcW w:type="dxa" w:w="1944"/>
            <w:tcMar>
              <w:top w:w="70" w:type="dxa"/>
              <w:start w:w="75" w:type="dxa"/>
              <w:bottom w:w="70" w:type="dxa"/>
              <w:end w:w="75" w:type="dxa"/>
            </w:tcMar>
            <w:vAlign w:val="center"/>
          </w:tcPr>
          <w:p>
            <w:pPr>
              <w:spacing w:after="0" w:before="0" w:line="240" w:lineRule="auto"/>
            </w:pPr>
            <w:r>
              <w:rPr>
                <w:rFonts w:ascii="Aptos" w:hAnsi="Aptos"/>
                <w:sz w:val="16"/>
              </w:rPr>
              <w:t>Do not present keyword totals as national demand or configured conversions as bookings/leads.</w:t>
            </w:r>
          </w:p>
        </w:tc>
      </w:tr>
      <w:tr>
        <w:trPr>
          <w:cantSplit/>
        </w:trPr>
        <w:tc>
          <w:tcPr>
            <w:tcW w:type="dxa" w:w="792"/>
            <w:tcMar>
              <w:top w:w="70" w:type="dxa"/>
              <w:start w:w="75" w:type="dxa"/>
              <w:bottom w:w="70" w:type="dxa"/>
              <w:end w:w="75" w:type="dxa"/>
            </w:tcMar>
            <w:vAlign w:val="center"/>
          </w:tcPr>
          <w:p>
            <w:pPr>
              <w:spacing w:after="0" w:before="0" w:line="240" w:lineRule="auto"/>
            </w:pPr>
            <w:r>
              <w:rPr>
                <w:rFonts w:ascii="Aptos" w:hAnsi="Aptos"/>
                <w:sz w:val="16"/>
              </w:rPr>
              <w:t>HP-001</w:t>
            </w:r>
          </w:p>
        </w:tc>
        <w:tc>
          <w:tcPr>
            <w:tcW w:type="dxa" w:w="2232"/>
            <w:tcMar>
              <w:top w:w="70" w:type="dxa"/>
              <w:start w:w="75" w:type="dxa"/>
              <w:bottom w:w="70" w:type="dxa"/>
              <w:end w:w="75" w:type="dxa"/>
            </w:tcMar>
            <w:vAlign w:val="center"/>
          </w:tcPr>
          <w:p>
            <w:pPr>
              <w:spacing w:after="0" w:before="0" w:line="240" w:lineRule="auto"/>
            </w:pPr>
            <w:r>
              <w:rPr>
                <w:rFonts w:ascii="Aptos" w:hAnsi="Aptos"/>
                <w:sz w:val="16"/>
              </w:rPr>
              <w:t>Legacy URL/brand inconsistency and fragmented ownership (AG-05; TG-08; R-07)</w:t>
            </w:r>
          </w:p>
        </w:tc>
        <w:tc>
          <w:tcPr>
            <w:tcW w:type="dxa" w:w="1655"/>
            <w:tcMar>
              <w:top w:w="70" w:type="dxa"/>
              <w:start w:w="75" w:type="dxa"/>
              <w:bottom w:w="70" w:type="dxa"/>
              <w:end w:w="75" w:type="dxa"/>
            </w:tcMar>
            <w:vAlign w:val="center"/>
            <w:shd w:fill="FFF2CC"/>
          </w:tcPr>
          <w:p>
            <w:pPr>
              <w:spacing w:after="0" w:before="0" w:line="240" w:lineRule="auto"/>
            </w:pPr>
            <w:r>
              <w:rPr>
                <w:rFonts w:ascii="Aptos" w:hAnsi="Aptos"/>
                <w:sz w:val="16"/>
              </w:rPr>
              <w:t>Validated with Qualification</w:t>
            </w:r>
          </w:p>
        </w:tc>
        <w:tc>
          <w:tcPr>
            <w:tcW w:type="dxa" w:w="2376"/>
            <w:tcMar>
              <w:top w:w="70" w:type="dxa"/>
              <w:start w:w="75" w:type="dxa"/>
              <w:bottom w:w="70" w:type="dxa"/>
              <w:end w:w="75" w:type="dxa"/>
            </w:tcMar>
            <w:vAlign w:val="center"/>
          </w:tcPr>
          <w:p>
            <w:pPr>
              <w:spacing w:after="0" w:before="0" w:line="240" w:lineRule="auto"/>
            </w:pPr>
            <w:r>
              <w:rPr>
                <w:rFonts w:ascii="Aptos" w:hAnsi="Aptos"/>
                <w:sz w:val="16"/>
              </w:rPr>
              <w:t>Workbook records query visibility split across URLs and obsolete venue/B2B content requiring consolidation.</w:t>
            </w:r>
          </w:p>
        </w:tc>
        <w:tc>
          <w:tcPr>
            <w:tcW w:type="dxa" w:w="1944"/>
            <w:tcMar>
              <w:top w:w="70" w:type="dxa"/>
              <w:start w:w="75" w:type="dxa"/>
              <w:bottom w:w="70" w:type="dxa"/>
              <w:end w:w="75" w:type="dxa"/>
            </w:tcMar>
            <w:vAlign w:val="center"/>
          </w:tcPr>
          <w:p>
            <w:pPr>
              <w:spacing w:after="0" w:before="0" w:line="240" w:lineRule="auto"/>
            </w:pPr>
            <w:r>
              <w:rPr>
                <w:rFonts w:ascii="Aptos" w:hAnsi="Aptos"/>
                <w:sz w:val="16"/>
              </w:rPr>
              <w:t>Use “search/content ownership fragmentation” rather than implying backlink/domain-authority fragmentation; no link-profile evidence supports that stronger interpretation.</w:t>
            </w:r>
          </w:p>
        </w:tc>
        <w:tc>
          <w:tcPr>
            <w:tcW w:type="dxa" w:w="1944"/>
            <w:tcMar>
              <w:top w:w="70" w:type="dxa"/>
              <w:start w:w="75" w:type="dxa"/>
              <w:bottom w:w="70" w:type="dxa"/>
              <w:end w:w="75" w:type="dxa"/>
            </w:tcMar>
            <w:vAlign w:val="center"/>
          </w:tcPr>
          <w:p>
            <w:pPr>
              <w:spacing w:after="0" w:before="0" w:line="240" w:lineRule="auto"/>
            </w:pPr>
            <w:r>
              <w:rPr>
                <w:rFonts w:ascii="Aptos" w:hAnsi="Aptos"/>
                <w:sz w:val="16"/>
              </w:rPr>
              <w:t>Consolidate page ownership and prevent obsolete venue/corporate wording from entering HP-001.</w:t>
            </w:r>
          </w:p>
        </w:tc>
      </w:tr>
      <w:tr>
        <w:trPr>
          <w:cantSplit/>
        </w:trPr>
        <w:tc>
          <w:tcPr>
            <w:tcW w:type="dxa" w:w="792"/>
            <w:tcMar>
              <w:top w:w="70" w:type="dxa"/>
              <w:start w:w="75" w:type="dxa"/>
              <w:bottom w:w="70" w:type="dxa"/>
              <w:end w:w="75" w:type="dxa"/>
            </w:tcMar>
            <w:vAlign w:val="center"/>
          </w:tcPr>
          <w:p>
            <w:pPr>
              <w:spacing w:after="0" w:before="0" w:line="240" w:lineRule="auto"/>
            </w:pPr>
            <w:r>
              <w:rPr>
                <w:rFonts w:ascii="Aptos" w:hAnsi="Aptos"/>
                <w:sz w:val="16"/>
              </w:rPr>
              <w:t>HP-001</w:t>
            </w:r>
          </w:p>
        </w:tc>
        <w:tc>
          <w:tcPr>
            <w:tcW w:type="dxa" w:w="2232"/>
            <w:tcMar>
              <w:top w:w="70" w:type="dxa"/>
              <w:start w:w="75" w:type="dxa"/>
              <w:bottom w:w="70" w:type="dxa"/>
              <w:end w:w="75" w:type="dxa"/>
            </w:tcMar>
            <w:vAlign w:val="center"/>
          </w:tcPr>
          <w:p>
            <w:pPr>
              <w:spacing w:after="0" w:before="0" w:line="240" w:lineRule="auto"/>
            </w:pPr>
            <w:r>
              <w:rPr>
                <w:rFonts w:ascii="Aptos" w:hAnsi="Aptos"/>
                <w:sz w:val="16"/>
              </w:rPr>
              <w:t>External citation, competitor-authority and backlink gaps; specialist routing (AG-03/04; Table 10; SR-01-03; R-10)</w:t>
            </w:r>
          </w:p>
        </w:tc>
        <w:tc>
          <w:tcPr>
            <w:tcW w:type="dxa" w:w="1655"/>
            <w:tcMar>
              <w:top w:w="70" w:type="dxa"/>
              <w:start w:w="75" w:type="dxa"/>
              <w:bottom w:w="70" w:type="dxa"/>
              <w:end w:w="75" w:type="dxa"/>
            </w:tcMar>
            <w:vAlign w:val="center"/>
            <w:shd w:fill="FFF2CC"/>
          </w:tcPr>
          <w:p>
            <w:pPr>
              <w:spacing w:after="0" w:before="0" w:line="240" w:lineRule="auto"/>
            </w:pPr>
            <w:r>
              <w:rPr>
                <w:rFonts w:ascii="Aptos" w:hAnsi="Aptos"/>
                <w:sz w:val="16"/>
              </w:rPr>
              <w:t>Validated with Qualification</w:t>
            </w:r>
          </w:p>
        </w:tc>
        <w:tc>
          <w:tcPr>
            <w:tcW w:type="dxa" w:w="2376"/>
            <w:tcMar>
              <w:top w:w="70" w:type="dxa"/>
              <w:start w:w="75" w:type="dxa"/>
              <w:bottom w:w="70" w:type="dxa"/>
              <w:end w:w="75" w:type="dxa"/>
            </w:tcMar>
            <w:vAlign w:val="center"/>
          </w:tcPr>
          <w:p>
            <w:pPr>
              <w:spacing w:after="0" w:before="0" w:line="240" w:lineRule="auto"/>
            </w:pPr>
            <w:r>
              <w:rPr>
                <w:rFonts w:ascii="Aptos" w:hAnsi="Aptos"/>
                <w:sz w:val="16"/>
              </w:rPr>
              <w:t>Handbook and AM framework place citations, PR and backlinks in Authority scope while assigning detailed PR/backlink/proof work to bounded specialists. Workbook provides only a limited KaptureVR content observation.</w:t>
            </w:r>
          </w:p>
        </w:tc>
        <w:tc>
          <w:tcPr>
            <w:tcW w:type="dxa" w:w="1944"/>
            <w:tcMar>
              <w:top w:w="70" w:type="dxa"/>
              <w:start w:w="75" w:type="dxa"/>
              <w:bottom w:w="70" w:type="dxa"/>
              <w:end w:w="75" w:type="dxa"/>
            </w:tcMar>
            <w:vAlign w:val="center"/>
          </w:tcPr>
          <w:p>
            <w:pPr>
              <w:spacing w:after="0" w:before="0" w:line="240" w:lineRule="auto"/>
            </w:pPr>
            <w:r>
              <w:rPr>
                <w:rFonts w:ascii="Aptos" w:hAnsi="Aptos"/>
                <w:sz w:val="16"/>
              </w:rPr>
              <w:t>No approved minimum citation count, authority score or backlink threshold exists; deeper specialist work should be requested only where needed.</w:t>
            </w:r>
          </w:p>
        </w:tc>
        <w:tc>
          <w:tcPr>
            <w:tcW w:type="dxa" w:w="1944"/>
            <w:tcMar>
              <w:top w:w="70" w:type="dxa"/>
              <w:start w:w="75" w:type="dxa"/>
              <w:bottom w:w="70" w:type="dxa"/>
              <w:end w:w="75" w:type="dxa"/>
            </w:tcMar>
            <w:vAlign w:val="center"/>
          </w:tcPr>
          <w:p>
            <w:pPr>
              <w:spacing w:after="0" w:before="0" w:line="240" w:lineRule="auto"/>
            </w:pPr>
            <w:r>
              <w:rPr>
                <w:rFonts w:ascii="Aptos" w:hAnsi="Aptos"/>
                <w:sz w:val="16"/>
              </w:rPr>
              <w:t>Route bounded work to Digital PR Specialist, Backlink Auditor or Brand Authority Builder; do not infer competitor performance.</w:t>
            </w:r>
          </w:p>
        </w:tc>
      </w:tr>
      <w:tr>
        <w:trPr>
          <w:cantSplit/>
        </w:trPr>
        <w:tc>
          <w:tcPr>
            <w:tcW w:type="dxa" w:w="792"/>
            <w:tcMar>
              <w:top w:w="70" w:type="dxa"/>
              <w:start w:w="75" w:type="dxa"/>
              <w:bottom w:w="70" w:type="dxa"/>
              <w:end w:w="75" w:type="dxa"/>
            </w:tcMar>
            <w:vAlign w:val="center"/>
          </w:tcPr>
          <w:p>
            <w:pPr>
              <w:spacing w:after="0" w:before="0" w:line="240" w:lineRule="auto"/>
            </w:pPr>
            <w:r>
              <w:rPr>
                <w:rFonts w:ascii="Aptos" w:hAnsi="Aptos"/>
                <w:sz w:val="16"/>
              </w:rPr>
              <w:t>HP-001</w:t>
            </w:r>
          </w:p>
        </w:tc>
        <w:tc>
          <w:tcPr>
            <w:tcW w:type="dxa" w:w="2232"/>
            <w:tcMar>
              <w:top w:w="70" w:type="dxa"/>
              <w:start w:w="75" w:type="dxa"/>
              <w:bottom w:w="70" w:type="dxa"/>
              <w:end w:w="75" w:type="dxa"/>
            </w:tcMar>
            <w:vAlign w:val="center"/>
          </w:tcPr>
          <w:p>
            <w:pPr>
              <w:spacing w:after="0" w:before="0" w:line="240" w:lineRule="auto"/>
            </w:pPr>
            <w:r>
              <w:rPr>
                <w:rFonts w:ascii="Aptos" w:hAnsi="Aptos"/>
                <w:sz w:val="16"/>
              </w:rPr>
              <w:t>Experience-detail dependency on EXP-001 and technical relationships (AG-06; ER-15; R-09)</w:t>
            </w:r>
          </w:p>
        </w:tc>
        <w:tc>
          <w:tcPr>
            <w:tcW w:type="dxa" w:w="1655"/>
            <w:tcMar>
              <w:top w:w="70" w:type="dxa"/>
              <w:start w:w="75" w:type="dxa"/>
              <w:bottom w:w="70" w:type="dxa"/>
              <w:end w:w="75" w:type="dxa"/>
            </w:tcMar>
            <w:vAlign w:val="center"/>
            <w:shd w:fill="E2F0D9"/>
          </w:tcPr>
          <w:p>
            <w:pPr>
              <w:spacing w:after="0" w:before="0" w:line="240" w:lineRule="auto"/>
            </w:pPr>
            <w:r>
              <w:rPr>
                <w:rFonts w:ascii="Aptos" w:hAnsi="Aptos"/>
                <w:sz w:val="16"/>
              </w:rPr>
              <w:t>Validated</w:t>
            </w:r>
          </w:p>
        </w:tc>
        <w:tc>
          <w:tcPr>
            <w:tcW w:type="dxa" w:w="2376"/>
            <w:tcMar>
              <w:top w:w="70" w:type="dxa"/>
              <w:start w:w="75" w:type="dxa"/>
              <w:bottom w:w="70" w:type="dxa"/>
              <w:end w:w="75" w:type="dxa"/>
            </w:tcMar>
            <w:vAlign w:val="center"/>
          </w:tcPr>
          <w:p>
            <w:pPr>
              <w:spacing w:after="0" w:before="0" w:line="240" w:lineRule="auto"/>
            </w:pPr>
            <w:r>
              <w:rPr>
                <w:rFonts w:ascii="Aptos" w:hAnsi="Aptos"/>
                <w:sz w:val="16"/>
              </w:rPr>
              <w:t>Architecture positions EXP-001 as the shared experience source and maps internal relationships; Technical SEO owns link/schema implementation.</w:t>
            </w:r>
          </w:p>
        </w:tc>
        <w:tc>
          <w:tcPr>
            <w:tcW w:type="dxa" w:w="1944"/>
            <w:tcMar>
              <w:top w:w="70" w:type="dxa"/>
              <w:start w:w="75" w:type="dxa"/>
              <w:bottom w:w="70" w:type="dxa"/>
              <w:end w:w="75" w:type="dxa"/>
            </w:tcMar>
            <w:vAlign w:val="center"/>
          </w:tcPr>
          <w:p>
            <w:pPr>
              <w:spacing w:after="0" w:before="0" w:line="240" w:lineRule="auto"/>
            </w:pPr>
            <w:r>
              <w:rPr>
                <w:rFonts w:ascii="Aptos" w:hAnsi="Aptos"/>
                <w:sz w:val="16"/>
              </w:rPr>
              <w:t>None.</w:t>
            </w:r>
          </w:p>
        </w:tc>
        <w:tc>
          <w:tcPr>
            <w:tcW w:type="dxa" w:w="1944"/>
            <w:tcMar>
              <w:top w:w="70" w:type="dxa"/>
              <w:start w:w="75" w:type="dxa"/>
              <w:bottom w:w="70" w:type="dxa"/>
              <w:end w:w="75" w:type="dxa"/>
            </w:tcMar>
            <w:vAlign w:val="center"/>
          </w:tcPr>
          <w:p>
            <w:pPr>
              <w:spacing w:after="0" w:before="0" w:line="240" w:lineRule="auto"/>
            </w:pPr>
            <w:r>
              <w:rPr>
                <w:rFonts w:ascii="Aptos" w:hAnsi="Aptos"/>
                <w:sz w:val="16"/>
              </w:rPr>
              <w:t>Reference approved experience information rather than duplicating unstable game detail; route technical implementation.</w:t>
            </w:r>
          </w:p>
        </w:tc>
      </w:tr>
      <w:tr>
        <w:trPr>
          <w:cantSplit/>
        </w:trPr>
        <w:tc>
          <w:tcPr>
            <w:tcW w:type="dxa" w:w="792"/>
            <w:tcMar>
              <w:top w:w="70" w:type="dxa"/>
              <w:start w:w="75" w:type="dxa"/>
              <w:bottom w:w="70" w:type="dxa"/>
              <w:end w:w="75" w:type="dxa"/>
            </w:tcMar>
            <w:vAlign w:val="center"/>
          </w:tcPr>
          <w:p>
            <w:pPr>
              <w:spacing w:after="0" w:before="0" w:line="240" w:lineRule="auto"/>
            </w:pPr>
            <w:r>
              <w:rPr>
                <w:rFonts w:ascii="Aptos" w:hAnsi="Aptos"/>
                <w:sz w:val="16"/>
              </w:rPr>
              <w:t>HP-001</w:t>
            </w:r>
          </w:p>
        </w:tc>
        <w:tc>
          <w:tcPr>
            <w:tcW w:type="dxa" w:w="2232"/>
            <w:tcMar>
              <w:top w:w="70" w:type="dxa"/>
              <w:start w:w="75" w:type="dxa"/>
              <w:bottom w:w="70" w:type="dxa"/>
              <w:end w:w="75" w:type="dxa"/>
            </w:tcMar>
            <w:vAlign w:val="center"/>
          </w:tcPr>
          <w:p>
            <w:pPr>
              <w:spacing w:after="0" w:before="0" w:line="240" w:lineRule="auto"/>
            </w:pPr>
            <w:r>
              <w:rPr>
                <w:rFonts w:ascii="Aptos" w:hAnsi="Aptos"/>
                <w:sz w:val="16"/>
              </w:rPr>
              <w:t>Operational/department ownership records (DEP-01-05)</w:t>
            </w:r>
          </w:p>
        </w:tc>
        <w:tc>
          <w:tcPr>
            <w:tcW w:type="dxa" w:w="1655"/>
            <w:tcMar>
              <w:top w:w="70" w:type="dxa"/>
              <w:start w:w="75" w:type="dxa"/>
              <w:bottom w:w="70" w:type="dxa"/>
              <w:end w:w="75" w:type="dxa"/>
            </w:tcMar>
            <w:vAlign w:val="center"/>
            <w:shd w:fill="FFF2CC"/>
          </w:tcPr>
          <w:p>
            <w:pPr>
              <w:spacing w:after="0" w:before="0" w:line="240" w:lineRule="auto"/>
            </w:pPr>
            <w:r>
              <w:rPr>
                <w:rFonts w:ascii="Aptos" w:hAnsi="Aptos"/>
                <w:sz w:val="16"/>
              </w:rPr>
              <w:t>Validated with Qualification</w:t>
            </w:r>
          </w:p>
        </w:tc>
        <w:tc>
          <w:tcPr>
            <w:tcW w:type="dxa" w:w="2376"/>
            <w:tcMar>
              <w:top w:w="70" w:type="dxa"/>
              <w:start w:w="75" w:type="dxa"/>
              <w:bottom w:w="70" w:type="dxa"/>
              <w:end w:w="75" w:type="dxa"/>
            </w:tcMar>
            <w:vAlign w:val="center"/>
          </w:tcPr>
          <w:p>
            <w:pPr>
              <w:spacing w:after="0" w:before="0" w:line="240" w:lineRule="auto"/>
            </w:pPr>
            <w:r>
              <w:rPr>
                <w:rFonts w:ascii="Aptos" w:hAnsi="Aptos"/>
                <w:sz w:val="16"/>
              </w:rPr>
              <w:t>Content, Technical SEO, Analytics and Strategy/Search boundaries are supported by the Handbook and AM framework.</w:t>
            </w:r>
          </w:p>
        </w:tc>
        <w:tc>
          <w:tcPr>
            <w:tcW w:type="dxa" w:w="1944"/>
            <w:tcMar>
              <w:top w:w="70" w:type="dxa"/>
              <w:start w:w="75" w:type="dxa"/>
              <w:bottom w:w="70" w:type="dxa"/>
              <w:end w:w="75" w:type="dxa"/>
            </w:tcMar>
            <w:vAlign w:val="center"/>
          </w:tcPr>
          <w:p>
            <w:pPr>
              <w:spacing w:after="0" w:before="0" w:line="240" w:lineRule="auto"/>
            </w:pPr>
            <w:r>
              <w:rPr>
                <w:rFonts w:ascii="Aptos" w:hAnsi="Aptos"/>
                <w:sz w:val="16"/>
              </w:rPr>
              <w:t>Replace generic “human business/operations owner” with Ajith Ratnarajah for ViriVr operational facts. This does not make him the automatic privacy/legal/insurance/consent owner.</w:t>
            </w:r>
          </w:p>
        </w:tc>
        <w:tc>
          <w:tcPr>
            <w:tcW w:type="dxa" w:w="1944"/>
            <w:tcMar>
              <w:top w:w="70" w:type="dxa"/>
              <w:start w:w="75" w:type="dxa"/>
              <w:bottom w:w="70" w:type="dxa"/>
              <w:end w:w="75" w:type="dxa"/>
            </w:tcMar>
            <w:vAlign w:val="center"/>
          </w:tcPr>
          <w:p>
            <w:pPr>
              <w:spacing w:after="0" w:before="0" w:line="240" w:lineRule="auto"/>
            </w:pPr>
            <w:r>
              <w:rPr>
                <w:rFonts w:ascii="Aptos" w:hAnsi="Aptos"/>
                <w:sz w:val="16"/>
              </w:rPr>
              <w:t>Update handoffs accordingly; retain separate documentary/specialist ownership where required.</w:t>
            </w:r>
          </w:p>
        </w:tc>
      </w:tr>
      <w:tr>
        <w:trPr>
          <w:cantSplit/>
        </w:trPr>
        <w:tc>
          <w:tcPr>
            <w:tcW w:type="dxa" w:w="792"/>
            <w:tcMar>
              <w:top w:w="70" w:type="dxa"/>
              <w:start w:w="75" w:type="dxa"/>
              <w:bottom w:w="70" w:type="dxa"/>
              <w:end w:w="75" w:type="dxa"/>
            </w:tcMar>
            <w:vAlign w:val="center"/>
          </w:tcPr>
          <w:p>
            <w:pPr>
              <w:spacing w:after="0" w:before="0" w:line="240" w:lineRule="auto"/>
            </w:pPr>
            <w:r>
              <w:rPr>
                <w:rFonts w:ascii="Aptos" w:hAnsi="Aptos"/>
                <w:sz w:val="16"/>
              </w:rPr>
              <w:t>HP-001</w:t>
            </w:r>
          </w:p>
        </w:tc>
        <w:tc>
          <w:tcPr>
            <w:tcW w:type="dxa" w:w="2232"/>
            <w:tcMar>
              <w:top w:w="70" w:type="dxa"/>
              <w:start w:w="75" w:type="dxa"/>
              <w:bottom w:w="70" w:type="dxa"/>
              <w:end w:w="75" w:type="dxa"/>
            </w:tcMar>
            <w:vAlign w:val="center"/>
          </w:tcPr>
          <w:p>
            <w:pPr>
              <w:spacing w:after="0" w:before="0" w:line="240" w:lineRule="auto"/>
            </w:pPr>
            <w:r>
              <w:rPr>
                <w:rFonts w:ascii="Aptos" w:hAnsi="Aptos"/>
                <w:sz w:val="16"/>
              </w:rPr>
              <w:t>Exact non-operational owner for insurance/public-liability wording, privacy/legal interpretation and asset consent</w:t>
            </w:r>
          </w:p>
        </w:tc>
        <w:tc>
          <w:tcPr>
            <w:tcW w:type="dxa" w:w="1655"/>
            <w:tcMar>
              <w:top w:w="70" w:type="dxa"/>
              <w:start w:w="75" w:type="dxa"/>
              <w:bottom w:w="70" w:type="dxa"/>
              <w:end w:w="75" w:type="dxa"/>
            </w:tcMar>
            <w:vAlign w:val="center"/>
            <w:shd w:fill="FCE4D6"/>
          </w:tcPr>
          <w:p>
            <w:pPr>
              <w:spacing w:after="0" w:before="0" w:line="240" w:lineRule="auto"/>
            </w:pPr>
            <w:r>
              <w:rPr>
                <w:rFonts w:ascii="Aptos" w:hAnsi="Aptos"/>
                <w:sz w:val="16"/>
              </w:rPr>
              <w:t>Requires Human Clarification</w:t>
            </w:r>
          </w:p>
        </w:tc>
        <w:tc>
          <w:tcPr>
            <w:tcW w:type="dxa" w:w="2376"/>
            <w:tcMar>
              <w:top w:w="70" w:type="dxa"/>
              <w:start w:w="75" w:type="dxa"/>
              <w:bottom w:w="70" w:type="dxa"/>
              <w:end w:w="75" w:type="dxa"/>
            </w:tcMar>
            <w:vAlign w:val="center"/>
          </w:tcPr>
          <w:p>
            <w:pPr>
              <w:spacing w:after="0" w:before="0" w:line="240" w:lineRule="auto"/>
            </w:pPr>
            <w:r>
              <w:rPr>
                <w:rFonts w:ascii="Aptos" w:hAnsi="Aptos"/>
                <w:sz w:val="16"/>
              </w:rPr>
              <w:t>Approved sources require safety/legal/permission controls but do not name one project-specific accountable owner for each of these matters.</w:t>
            </w:r>
          </w:p>
        </w:tc>
        <w:tc>
          <w:tcPr>
            <w:tcW w:type="dxa" w:w="1944"/>
            <w:tcMar>
              <w:top w:w="70" w:type="dxa"/>
              <w:start w:w="75" w:type="dxa"/>
              <w:bottom w:w="70" w:type="dxa"/>
              <w:end w:w="75" w:type="dxa"/>
            </w:tcMar>
            <w:vAlign w:val="center"/>
          </w:tcPr>
          <w:p>
            <w:pPr>
              <w:spacing w:after="0" w:before="0" w:line="240" w:lineRule="auto"/>
            </w:pPr>
            <w:r>
              <w:rPr>
                <w:rFonts w:ascii="Aptos" w:hAnsi="Aptos"/>
                <w:sz w:val="16"/>
              </w:rPr>
              <w:t>Do not assign these responsibilities to Ajith solely from his operational-owner status.</w:t>
            </w:r>
          </w:p>
        </w:tc>
        <w:tc>
          <w:tcPr>
            <w:tcW w:type="dxa" w:w="1944"/>
            <w:tcMar>
              <w:top w:w="70" w:type="dxa"/>
              <w:start w:w="75" w:type="dxa"/>
              <w:bottom w:w="70" w:type="dxa"/>
              <w:end w:w="75" w:type="dxa"/>
            </w:tcMar>
            <w:vAlign w:val="center"/>
          </w:tcPr>
          <w:p>
            <w:pPr>
              <w:spacing w:after="0" w:before="0" w:line="240" w:lineRule="auto"/>
            </w:pPr>
            <w:r>
              <w:rPr>
                <w:rFonts w:ascii="Aptos" w:hAnsi="Aptos"/>
                <w:sz w:val="16"/>
              </w:rPr>
              <w:t>Human Authority Manager to identify/confirm the appropriate owner when those issues are activated.</w:t>
            </w:r>
          </w:p>
        </w:tc>
      </w:tr>
      <w:tr>
        <w:trPr>
          <w:cantSplit/>
        </w:trPr>
        <w:tc>
          <w:tcPr>
            <w:tcW w:type="dxa" w:w="792"/>
            <w:tcMar>
              <w:top w:w="70" w:type="dxa"/>
              <w:start w:w="75" w:type="dxa"/>
              <w:bottom w:w="70" w:type="dxa"/>
              <w:end w:w="75" w:type="dxa"/>
            </w:tcMar>
            <w:vAlign w:val="center"/>
          </w:tcPr>
          <w:p>
            <w:pPr>
              <w:spacing w:after="0" w:before="0" w:line="240" w:lineRule="auto"/>
            </w:pPr>
            <w:r>
              <w:rPr>
                <w:rFonts w:ascii="Aptos" w:hAnsi="Aptos"/>
                <w:sz w:val="16"/>
              </w:rPr>
              <w:t>HP-001</w:t>
            </w:r>
          </w:p>
        </w:tc>
        <w:tc>
          <w:tcPr>
            <w:tcW w:type="dxa" w:w="2232"/>
            <w:tcMar>
              <w:top w:w="70" w:type="dxa"/>
              <w:start w:w="75" w:type="dxa"/>
              <w:bottom w:w="70" w:type="dxa"/>
              <w:end w:w="75" w:type="dxa"/>
            </w:tcMar>
            <w:vAlign w:val="center"/>
          </w:tcPr>
          <w:p>
            <w:pPr>
              <w:spacing w:after="0" w:before="0" w:line="240" w:lineRule="auto"/>
            </w:pPr>
            <w:r>
              <w:rPr>
                <w:rFonts w:ascii="Aptos" w:hAnsi="Aptos"/>
                <w:sz w:val="16"/>
              </w:rPr>
              <w:t>Development-readiness conclusion</w:t>
            </w:r>
          </w:p>
        </w:tc>
        <w:tc>
          <w:tcPr>
            <w:tcW w:type="dxa" w:w="1655"/>
            <w:tcMar>
              <w:top w:w="70" w:type="dxa"/>
              <w:start w:w="75" w:type="dxa"/>
              <w:bottom w:w="70" w:type="dxa"/>
              <w:end w:w="75" w:type="dxa"/>
            </w:tcMar>
            <w:vAlign w:val="center"/>
            <w:shd w:fill="FFF2CC"/>
          </w:tcPr>
          <w:p>
            <w:pPr>
              <w:spacing w:after="0" w:before="0" w:line="240" w:lineRule="auto"/>
            </w:pPr>
            <w:r>
              <w:rPr>
                <w:rFonts w:ascii="Aptos" w:hAnsi="Aptos"/>
                <w:sz w:val="16"/>
              </w:rPr>
              <w:t>Validated with Qualification</w:t>
            </w:r>
          </w:p>
        </w:tc>
        <w:tc>
          <w:tcPr>
            <w:tcW w:type="dxa" w:w="2376"/>
            <w:tcMar>
              <w:top w:w="70" w:type="dxa"/>
              <w:start w:w="75" w:type="dxa"/>
              <w:bottom w:w="70" w:type="dxa"/>
              <w:end w:w="75" w:type="dxa"/>
            </w:tcMar>
            <w:vAlign w:val="center"/>
          </w:tcPr>
          <w:p>
            <w:pPr>
              <w:spacing w:after="0" w:before="0" w:line="240" w:lineRule="auto"/>
            </w:pPr>
            <w:r>
              <w:rPr>
                <w:rFonts w:ascii="Aptos" w:hAnsi="Aptos"/>
                <w:sz w:val="16"/>
              </w:rPr>
              <w:t>The page purpose and development inputs are defined, while factual claims remain evidence-dependent. The later approved reporting process treats readiness as an operational handoff indicator, not publication approval.</w:t>
            </w:r>
          </w:p>
        </w:tc>
        <w:tc>
          <w:tcPr>
            <w:tcW w:type="dxa" w:w="1944"/>
            <w:tcMar>
              <w:top w:w="70" w:type="dxa"/>
              <w:start w:w="75" w:type="dxa"/>
              <w:bottom w:w="70" w:type="dxa"/>
              <w:end w:w="75" w:type="dxa"/>
            </w:tcMar>
            <w:vAlign w:val="center"/>
          </w:tcPr>
          <w:p>
            <w:pPr>
              <w:spacing w:after="0" w:before="0" w:line="240" w:lineRule="auto"/>
            </w:pPr>
            <w:r>
              <w:rPr>
                <w:rFonts w:ascii="Aptos" w:hAnsi="Aptos"/>
                <w:sz w:val="16"/>
              </w:rPr>
              <w:t>The original report predates the current readiness label and over-emphasises unresolved formal DoR as a reason not to state a development status.</w:t>
            </w:r>
          </w:p>
        </w:tc>
        <w:tc>
          <w:tcPr>
            <w:tcW w:type="dxa" w:w="1944"/>
            <w:tcMar>
              <w:top w:w="70" w:type="dxa"/>
              <w:start w:w="75" w:type="dxa"/>
              <w:bottom w:w="70" w:type="dxa"/>
              <w:end w:w="75" w:type="dxa"/>
            </w:tcMar>
            <w:vAlign w:val="center"/>
          </w:tcPr>
          <w:p>
            <w:pPr>
              <w:spacing w:after="0" w:before="0" w:line="240" w:lineRule="auto"/>
            </w:pPr>
            <w:r>
              <w:rPr>
                <w:rFonts w:ascii="Aptos" w:hAnsi="Aptos"/>
                <w:sz w:val="16"/>
              </w:rPr>
              <w:t>Current validated status: Ready for Development with Conditions — Owner Input and Evidence Required.</w:t>
            </w:r>
          </w:p>
        </w:tc>
      </w:tr>
      <w:tr>
        <w:trPr>
          <w:cantSplit/>
        </w:trPr>
        <w:tc>
          <w:tcPr>
            <w:tcW w:type="dxa" w:w="792"/>
            <w:tcMar>
              <w:top w:w="70" w:type="dxa"/>
              <w:start w:w="75" w:type="dxa"/>
              <w:bottom w:w="70" w:type="dxa"/>
              <w:end w:w="75" w:type="dxa"/>
            </w:tcMar>
            <w:vAlign w:val="center"/>
          </w:tcPr>
          <w:p>
            <w:pPr>
              <w:spacing w:after="0" w:before="0" w:line="240" w:lineRule="auto"/>
            </w:pPr>
            <w:r>
              <w:rPr>
                <w:rFonts w:ascii="Aptos" w:hAnsi="Aptos"/>
                <w:sz w:val="16"/>
              </w:rPr>
              <w:t>HP-002</w:t>
            </w:r>
          </w:p>
        </w:tc>
        <w:tc>
          <w:tcPr>
            <w:tcW w:type="dxa" w:w="2232"/>
            <w:tcMar>
              <w:top w:w="70" w:type="dxa"/>
              <w:start w:w="75" w:type="dxa"/>
              <w:bottom w:w="70" w:type="dxa"/>
              <w:end w:w="75" w:type="dxa"/>
            </w:tcMar>
            <w:vAlign w:val="center"/>
          </w:tcPr>
          <w:p>
            <w:pPr>
              <w:spacing w:after="0" w:before="0" w:line="240" w:lineRule="auto"/>
            </w:pPr>
            <w:r>
              <w:rPr>
                <w:rFonts w:ascii="Aptos" w:hAnsi="Aptos"/>
                <w:sz w:val="16"/>
              </w:rPr>
              <w:t>Melbourne-local page role and requirement for unique local operational proof (F-01; SE-01/02)</w:t>
            </w:r>
          </w:p>
        </w:tc>
        <w:tc>
          <w:tcPr>
            <w:tcW w:type="dxa" w:w="1655"/>
            <w:tcMar>
              <w:top w:w="70" w:type="dxa"/>
              <w:start w:w="75" w:type="dxa"/>
              <w:bottom w:w="70" w:type="dxa"/>
              <w:end w:w="75" w:type="dxa"/>
            </w:tcMar>
            <w:vAlign w:val="center"/>
            <w:shd w:fill="E2F0D9"/>
          </w:tcPr>
          <w:p>
            <w:pPr>
              <w:spacing w:after="0" w:before="0" w:line="240" w:lineRule="auto"/>
            </w:pPr>
            <w:r>
              <w:rPr>
                <w:rFonts w:ascii="Aptos" w:hAnsi="Aptos"/>
                <w:sz w:val="16"/>
              </w:rPr>
              <w:t>Validated</w:t>
            </w:r>
          </w:p>
        </w:tc>
        <w:tc>
          <w:tcPr>
            <w:tcW w:type="dxa" w:w="2376"/>
            <w:tcMar>
              <w:top w:w="70" w:type="dxa"/>
              <w:start w:w="75" w:type="dxa"/>
              <w:bottom w:w="70" w:type="dxa"/>
              <w:end w:w="75" w:type="dxa"/>
            </w:tcMar>
            <w:vAlign w:val="center"/>
          </w:tcPr>
          <w:p>
            <w:pPr>
              <w:spacing w:after="0" w:before="0" w:line="240" w:lineRule="auto"/>
            </w:pPr>
            <w:r>
              <w:rPr>
                <w:rFonts w:ascii="Aptos" w:hAnsi="Aptos"/>
                <w:sz w:val="16"/>
              </w:rPr>
              <w:t>Architecture defines HP-002 as a P1 local transactional page and states it is justified only with unique service-area and operational evidence.</w:t>
            </w:r>
          </w:p>
        </w:tc>
        <w:tc>
          <w:tcPr>
            <w:tcW w:type="dxa" w:w="1944"/>
            <w:tcMar>
              <w:top w:w="70" w:type="dxa"/>
              <w:start w:w="75" w:type="dxa"/>
              <w:bottom w:w="70" w:type="dxa"/>
              <w:end w:w="75" w:type="dxa"/>
            </w:tcMar>
            <w:vAlign w:val="center"/>
          </w:tcPr>
          <w:p>
            <w:pPr>
              <w:spacing w:after="0" w:before="0" w:line="240" w:lineRule="auto"/>
            </w:pPr>
            <w:r>
              <w:rPr>
                <w:rFonts w:ascii="Aptos" w:hAnsi="Aptos"/>
                <w:sz w:val="16"/>
              </w:rPr>
              <w:t>None.</w:t>
            </w:r>
          </w:p>
        </w:tc>
        <w:tc>
          <w:tcPr>
            <w:tcW w:type="dxa" w:w="1944"/>
            <w:tcMar>
              <w:top w:w="70" w:type="dxa"/>
              <w:start w:w="75" w:type="dxa"/>
              <w:bottom w:w="70" w:type="dxa"/>
              <w:end w:w="75" w:type="dxa"/>
            </w:tcMar>
            <w:vAlign w:val="center"/>
          </w:tcPr>
          <w:p>
            <w:pPr>
              <w:spacing w:after="0" w:before="0" w:line="240" w:lineRule="auto"/>
            </w:pPr>
            <w:r>
              <w:rPr>
                <w:rFonts w:ascii="Aptos" w:hAnsi="Aptos"/>
                <w:sz w:val="16"/>
              </w:rPr>
              <w:t>Preserve Melbourne-local execution focus; use HP-001 for the generic service model.</w:t>
            </w:r>
          </w:p>
        </w:tc>
      </w:tr>
      <w:tr>
        <w:trPr>
          <w:cantSplit/>
        </w:trPr>
        <w:tc>
          <w:tcPr>
            <w:tcW w:type="dxa" w:w="792"/>
            <w:tcMar>
              <w:top w:w="70" w:type="dxa"/>
              <w:start w:w="75" w:type="dxa"/>
              <w:bottom w:w="70" w:type="dxa"/>
              <w:end w:w="75" w:type="dxa"/>
            </w:tcMar>
            <w:vAlign w:val="center"/>
          </w:tcPr>
          <w:p>
            <w:pPr>
              <w:spacing w:after="0" w:before="0" w:line="240" w:lineRule="auto"/>
            </w:pPr>
            <w:r>
              <w:rPr>
                <w:rFonts w:ascii="Aptos" w:hAnsi="Aptos"/>
                <w:sz w:val="16"/>
              </w:rPr>
              <w:t>HP-002</w:t>
            </w:r>
          </w:p>
        </w:tc>
        <w:tc>
          <w:tcPr>
            <w:tcW w:type="dxa" w:w="2232"/>
            <w:tcMar>
              <w:top w:w="70" w:type="dxa"/>
              <w:start w:w="75" w:type="dxa"/>
              <w:bottom w:w="70" w:type="dxa"/>
              <w:end w:w="75" w:type="dxa"/>
            </w:tcMar>
            <w:vAlign w:val="center"/>
          </w:tcPr>
          <w:p>
            <w:pPr>
              <w:spacing w:after="0" w:before="0" w:line="240" w:lineRule="auto"/>
            </w:pPr>
            <w:r>
              <w:rPr>
                <w:rFonts w:ascii="Aptos" w:hAnsi="Aptos"/>
                <w:sz w:val="16"/>
              </w:rPr>
              <w:t>Ajith-owned operational confirmation for service area, travel, access/setup, capacity, pricing, availability and delivery models (F-02/03/05; C-01-09/C-12/C-14)</w:t>
            </w:r>
          </w:p>
        </w:tc>
        <w:tc>
          <w:tcPr>
            <w:tcW w:type="dxa" w:w="1655"/>
            <w:tcMar>
              <w:top w:w="70" w:type="dxa"/>
              <w:start w:w="75" w:type="dxa"/>
              <w:bottom w:w="70" w:type="dxa"/>
              <w:end w:w="75" w:type="dxa"/>
            </w:tcMar>
            <w:vAlign w:val="center"/>
            <w:shd w:fill="E2F0D9"/>
          </w:tcPr>
          <w:p>
            <w:pPr>
              <w:spacing w:after="0" w:before="0" w:line="240" w:lineRule="auto"/>
            </w:pPr>
            <w:r>
              <w:rPr>
                <w:rFonts w:ascii="Aptos" w:hAnsi="Aptos"/>
                <w:sz w:val="16"/>
              </w:rPr>
              <w:t>Validated</w:t>
            </w:r>
          </w:p>
        </w:tc>
        <w:tc>
          <w:tcPr>
            <w:tcW w:type="dxa" w:w="2376"/>
            <w:tcMar>
              <w:top w:w="70" w:type="dxa"/>
              <w:start w:w="75" w:type="dxa"/>
              <w:bottom w:w="70" w:type="dxa"/>
              <w:end w:w="75" w:type="dxa"/>
            </w:tcMar>
            <w:vAlign w:val="center"/>
          </w:tcPr>
          <w:p>
            <w:pPr>
              <w:spacing w:after="0" w:before="0" w:line="240" w:lineRule="auto"/>
            </w:pPr>
            <w:r>
              <w:rPr>
                <w:rFonts w:ascii="Aptos" w:hAnsi="Aptos"/>
                <w:sz w:val="16"/>
              </w:rPr>
              <w:t>User-approved project instruction establishes Ajith as ViriVr CEO, authorised operational owner and approved operational evidence source; architecture requires these facts.</w:t>
            </w:r>
          </w:p>
        </w:tc>
        <w:tc>
          <w:tcPr>
            <w:tcW w:type="dxa" w:w="1944"/>
            <w:tcMar>
              <w:top w:w="70" w:type="dxa"/>
              <w:start w:w="75" w:type="dxa"/>
              <w:bottom w:w="70" w:type="dxa"/>
              <w:end w:w="75" w:type="dxa"/>
            </w:tcMar>
            <w:vAlign w:val="center"/>
          </w:tcPr>
          <w:p>
            <w:pPr>
              <w:spacing w:after="0" w:before="0" w:line="240" w:lineRule="auto"/>
            </w:pPr>
            <w:r>
              <w:rPr>
                <w:rFonts w:ascii="Aptos" w:hAnsi="Aptos"/>
                <w:sz w:val="16"/>
              </w:rPr>
              <w:t>Actual operational facts are still Evidence Required until Ajith supplies/confirms them.</w:t>
            </w:r>
          </w:p>
        </w:tc>
        <w:tc>
          <w:tcPr>
            <w:tcW w:type="dxa" w:w="1944"/>
            <w:tcMar>
              <w:top w:w="70" w:type="dxa"/>
              <w:start w:w="75" w:type="dxa"/>
              <w:bottom w:w="70" w:type="dxa"/>
              <w:end w:w="75" w:type="dxa"/>
            </w:tcMar>
            <w:vAlign w:val="center"/>
          </w:tcPr>
          <w:p>
            <w:pPr>
              <w:spacing w:after="0" w:before="0" w:line="240" w:lineRule="auto"/>
            </w:pPr>
            <w:r>
              <w:rPr>
                <w:rFonts w:ascii="Aptos" w:hAnsi="Aptos"/>
                <w:sz w:val="16"/>
              </w:rPr>
              <w:t>Collect dated owner confirmation and retain provenance before treating claims as verified.</w:t>
            </w:r>
          </w:p>
        </w:tc>
      </w:tr>
      <w:tr>
        <w:trPr>
          <w:cantSplit/>
        </w:trPr>
        <w:tc>
          <w:tcPr>
            <w:tcW w:type="dxa" w:w="792"/>
            <w:tcMar>
              <w:top w:w="70" w:type="dxa"/>
              <w:start w:w="75" w:type="dxa"/>
              <w:bottom w:w="70" w:type="dxa"/>
              <w:end w:w="75" w:type="dxa"/>
            </w:tcMar>
            <w:vAlign w:val="center"/>
          </w:tcPr>
          <w:p>
            <w:pPr>
              <w:spacing w:after="0" w:before="0" w:line="240" w:lineRule="auto"/>
            </w:pPr>
            <w:r>
              <w:rPr>
                <w:rFonts w:ascii="Aptos" w:hAnsi="Aptos"/>
                <w:sz w:val="16"/>
              </w:rPr>
              <w:t>HP-002</w:t>
            </w:r>
          </w:p>
        </w:tc>
        <w:tc>
          <w:tcPr>
            <w:tcW w:type="dxa" w:w="2232"/>
            <w:tcMar>
              <w:top w:w="70" w:type="dxa"/>
              <w:start w:w="75" w:type="dxa"/>
              <w:bottom w:w="70" w:type="dxa"/>
              <w:end w:w="75" w:type="dxa"/>
            </w:tcMar>
            <w:vAlign w:val="center"/>
          </w:tcPr>
          <w:p>
            <w:pPr>
              <w:spacing w:after="0" w:before="0" w:line="240" w:lineRule="auto"/>
            </w:pPr>
            <w:r>
              <w:rPr>
                <w:rFonts w:ascii="Aptos" w:hAnsi="Aptos"/>
                <w:sz w:val="16"/>
              </w:rPr>
              <w:t>Safety, public-liability, privacy/address handling, space-photo upload and consent controls (F-04; C-10/C-13; O-02)</w:t>
            </w:r>
          </w:p>
        </w:tc>
        <w:tc>
          <w:tcPr>
            <w:tcW w:type="dxa" w:w="1655"/>
            <w:tcMar>
              <w:top w:w="70" w:type="dxa"/>
              <w:start w:w="75" w:type="dxa"/>
              <w:bottom w:w="70" w:type="dxa"/>
              <w:end w:w="75" w:type="dxa"/>
            </w:tcMar>
            <w:vAlign w:val="center"/>
            <w:shd w:fill="FCE4D6"/>
          </w:tcPr>
          <w:p>
            <w:pPr>
              <w:spacing w:after="0" w:before="0" w:line="240" w:lineRule="auto"/>
            </w:pPr>
            <w:r>
              <w:rPr>
                <w:rFonts w:ascii="Aptos" w:hAnsi="Aptos"/>
                <w:sz w:val="16"/>
              </w:rPr>
              <w:t>Requires Human Clarification</w:t>
            </w:r>
          </w:p>
        </w:tc>
        <w:tc>
          <w:tcPr>
            <w:tcW w:type="dxa" w:w="2376"/>
            <w:tcMar>
              <w:top w:w="70" w:type="dxa"/>
              <w:start w:w="75" w:type="dxa"/>
              <w:bottom w:w="70" w:type="dxa"/>
              <w:end w:w="75" w:type="dxa"/>
            </w:tcMar>
            <w:vAlign w:val="center"/>
          </w:tcPr>
          <w:p>
            <w:pPr>
              <w:spacing w:after="0" w:before="0" w:line="240" w:lineRule="auto"/>
            </w:pPr>
            <w:r>
              <w:rPr>
                <w:rFonts w:ascii="Aptos" w:hAnsi="Aptos"/>
                <w:sz w:val="16"/>
              </w:rPr>
              <w:t>The evidence gaps are genuine and AM safety governance applies; Ajith may confirm operational practice and identify records.</w:t>
            </w:r>
          </w:p>
        </w:tc>
        <w:tc>
          <w:tcPr>
            <w:tcW w:type="dxa" w:w="1944"/>
            <w:tcMar>
              <w:top w:w="70" w:type="dxa"/>
              <w:start w:w="75" w:type="dxa"/>
              <w:bottom w:w="70" w:type="dxa"/>
              <w:end w:w="75" w:type="dxa"/>
            </w:tcMar>
            <w:vAlign w:val="center"/>
          </w:tcPr>
          <w:p>
            <w:pPr>
              <w:spacing w:after="0" w:before="0" w:line="240" w:lineRule="auto"/>
            </w:pPr>
            <w:r>
              <w:rPr>
                <w:rFonts w:ascii="Aptos" w:hAnsi="Aptos"/>
                <w:sz w:val="16"/>
              </w:rPr>
              <w:t>Approved sources do not establish Ajith as the automatic privacy/legal/insurance owner or identify the exact project-specific owner for those controls.</w:t>
            </w:r>
          </w:p>
        </w:tc>
        <w:tc>
          <w:tcPr>
            <w:tcW w:type="dxa" w:w="1944"/>
            <w:tcMar>
              <w:top w:w="70" w:type="dxa"/>
              <w:start w:w="75" w:type="dxa"/>
              <w:bottom w:w="70" w:type="dxa"/>
              <w:end w:w="75" w:type="dxa"/>
            </w:tcMar>
            <w:vAlign w:val="center"/>
          </w:tcPr>
          <w:p>
            <w:pPr>
              <w:spacing w:after="0" w:before="0" w:line="240" w:lineRule="auto"/>
            </w:pPr>
            <w:r>
              <w:rPr>
                <w:rFonts w:ascii="Aptos" w:hAnsi="Aptos"/>
                <w:sz w:val="16"/>
              </w:rPr>
              <w:t>Obtain documentary policy/insurance/consent evidence and confirm the accountable non-operational owner before affected claims/forms are finalised.</w:t>
            </w:r>
          </w:p>
        </w:tc>
      </w:tr>
      <w:tr>
        <w:trPr>
          <w:cantSplit/>
        </w:trPr>
        <w:tc>
          <w:tcPr>
            <w:tcW w:type="dxa" w:w="792"/>
            <w:tcMar>
              <w:top w:w="70" w:type="dxa"/>
              <w:start w:w="75" w:type="dxa"/>
              <w:bottom w:w="70" w:type="dxa"/>
              <w:end w:w="75" w:type="dxa"/>
            </w:tcMar>
            <w:vAlign w:val="center"/>
          </w:tcPr>
          <w:p>
            <w:pPr>
              <w:spacing w:after="0" w:before="0" w:line="240" w:lineRule="auto"/>
            </w:pPr>
            <w:r>
              <w:rPr>
                <w:rFonts w:ascii="Aptos" w:hAnsi="Aptos"/>
                <w:sz w:val="16"/>
              </w:rPr>
              <w:t>HP-002</w:t>
            </w:r>
          </w:p>
        </w:tc>
        <w:tc>
          <w:tcPr>
            <w:tcW w:type="dxa" w:w="2232"/>
            <w:tcMar>
              <w:top w:w="70" w:type="dxa"/>
              <w:start w:w="75" w:type="dxa"/>
              <w:bottom w:w="70" w:type="dxa"/>
              <w:end w:w="75" w:type="dxa"/>
            </w:tcMar>
            <w:vAlign w:val="center"/>
          </w:tcPr>
          <w:p>
            <w:pPr>
              <w:spacing w:after="0" w:before="0" w:line="240" w:lineRule="auto"/>
            </w:pPr>
            <w:r>
              <w:rPr>
                <w:rFonts w:ascii="Aptos" w:hAnsi="Aptos"/>
                <w:sz w:val="16"/>
              </w:rPr>
              <w:t>Melbourne photos, reviews and local case-study proof (F-06; C-11; O-03)</w:t>
            </w:r>
          </w:p>
        </w:tc>
        <w:tc>
          <w:tcPr>
            <w:tcW w:type="dxa" w:w="1655"/>
            <w:tcMar>
              <w:top w:w="70" w:type="dxa"/>
              <w:start w:w="75" w:type="dxa"/>
              <w:bottom w:w="70" w:type="dxa"/>
              <w:end w:w="75" w:type="dxa"/>
            </w:tcMar>
            <w:vAlign w:val="center"/>
            <w:shd w:fill="FFF2CC"/>
          </w:tcPr>
          <w:p>
            <w:pPr>
              <w:spacing w:after="0" w:before="0" w:line="240" w:lineRule="auto"/>
            </w:pPr>
            <w:r>
              <w:rPr>
                <w:rFonts w:ascii="Aptos" w:hAnsi="Aptos"/>
                <w:sz w:val="16"/>
              </w:rPr>
              <w:t>Validated with Qualification</w:t>
            </w:r>
          </w:p>
        </w:tc>
        <w:tc>
          <w:tcPr>
            <w:tcW w:type="dxa" w:w="2376"/>
            <w:tcMar>
              <w:top w:w="70" w:type="dxa"/>
              <w:start w:w="75" w:type="dxa"/>
              <w:bottom w:w="70" w:type="dxa"/>
              <w:end w:w="75" w:type="dxa"/>
            </w:tcMar>
            <w:vAlign w:val="center"/>
          </w:tcPr>
          <w:p>
            <w:pPr>
              <w:spacing w:after="0" w:before="0" w:line="240" w:lineRule="auto"/>
            </w:pPr>
            <w:r>
              <w:rPr>
                <w:rFonts w:ascii="Aptos" w:hAnsi="Aptos"/>
                <w:sz w:val="16"/>
              </w:rPr>
              <w:t>Architecture explicitly requires Melbourne customer photos/reviews and a local case study; Brand Authority Builder owns deeper proof/presence work.</w:t>
            </w:r>
          </w:p>
        </w:tc>
        <w:tc>
          <w:tcPr>
            <w:tcW w:type="dxa" w:w="1944"/>
            <w:tcMar>
              <w:top w:w="70" w:type="dxa"/>
              <w:start w:w="75" w:type="dxa"/>
              <w:bottom w:w="70" w:type="dxa"/>
              <w:end w:w="75" w:type="dxa"/>
            </w:tcMar>
            <w:vAlign w:val="center"/>
          </w:tcPr>
          <w:p>
            <w:pPr>
              <w:spacing w:after="0" w:before="0" w:line="240" w:lineRule="auto"/>
            </w:pPr>
            <w:r>
              <w:rPr>
                <w:rFonts w:ascii="Aptos" w:hAnsi="Aptos"/>
                <w:sz w:val="16"/>
              </w:rPr>
              <w:t>Ajith may identify assets, but permission/provenance must be independently retained before specialist assessment or publication.</w:t>
            </w:r>
          </w:p>
        </w:tc>
        <w:tc>
          <w:tcPr>
            <w:tcW w:type="dxa" w:w="1944"/>
            <w:tcMar>
              <w:top w:w="70" w:type="dxa"/>
              <w:start w:w="75" w:type="dxa"/>
              <w:bottom w:w="70" w:type="dxa"/>
              <w:end w:w="75" w:type="dxa"/>
            </w:tcMar>
            <w:vAlign w:val="center"/>
          </w:tcPr>
          <w:p>
            <w:pPr>
              <w:spacing w:after="0" w:before="0" w:line="240" w:lineRule="auto"/>
            </w:pPr>
            <w:r>
              <w:rPr>
                <w:rFonts w:ascii="Aptos" w:hAnsi="Aptos"/>
                <w:sz w:val="16"/>
              </w:rPr>
              <w:t>Build an approved local proof set, then route it to Brand Authority Builder if deeper trust/citation work is needed.</w:t>
            </w:r>
          </w:p>
        </w:tc>
      </w:tr>
      <w:tr>
        <w:trPr>
          <w:cantSplit/>
        </w:trPr>
        <w:tc>
          <w:tcPr>
            <w:tcW w:type="dxa" w:w="792"/>
            <w:tcMar>
              <w:top w:w="70" w:type="dxa"/>
              <w:start w:w="75" w:type="dxa"/>
              <w:bottom w:w="70" w:type="dxa"/>
              <w:end w:w="75" w:type="dxa"/>
            </w:tcMar>
            <w:vAlign w:val="center"/>
          </w:tcPr>
          <w:p>
            <w:pPr>
              <w:spacing w:after="0" w:before="0" w:line="240" w:lineRule="auto"/>
            </w:pPr>
            <w:r>
              <w:rPr>
                <w:rFonts w:ascii="Aptos" w:hAnsi="Aptos"/>
                <w:sz w:val="16"/>
              </w:rPr>
              <w:t>HP-002</w:t>
            </w:r>
          </w:p>
        </w:tc>
        <w:tc>
          <w:tcPr>
            <w:tcW w:type="dxa" w:w="2232"/>
            <w:tcMar>
              <w:top w:w="70" w:type="dxa"/>
              <w:start w:w="75" w:type="dxa"/>
              <w:bottom w:w="70" w:type="dxa"/>
              <w:end w:w="75" w:type="dxa"/>
            </w:tcMar>
            <w:vAlign w:val="center"/>
          </w:tcPr>
          <w:p>
            <w:pPr>
              <w:spacing w:after="0" w:before="0" w:line="240" w:lineRule="auto"/>
            </w:pPr>
            <w:r>
              <w:rPr>
                <w:rFonts w:ascii="Aptos" w:hAnsi="Aptos"/>
                <w:sz w:val="16"/>
              </w:rPr>
              <w:t>Keyword-demand limitation (F-07; SE-03)</w:t>
            </w:r>
          </w:p>
        </w:tc>
        <w:tc>
          <w:tcPr>
            <w:tcW w:type="dxa" w:w="1655"/>
            <w:tcMar>
              <w:top w:w="70" w:type="dxa"/>
              <w:start w:w="75" w:type="dxa"/>
              <w:bottom w:w="70" w:type="dxa"/>
              <w:end w:w="75" w:type="dxa"/>
            </w:tcMar>
            <w:vAlign w:val="center"/>
            <w:shd w:fill="E2F0D9"/>
          </w:tcPr>
          <w:p>
            <w:pPr>
              <w:spacing w:after="0" w:before="0" w:line="240" w:lineRule="auto"/>
            </w:pPr>
            <w:r>
              <w:rPr>
                <w:rFonts w:ascii="Aptos" w:hAnsi="Aptos"/>
                <w:sz w:val="16"/>
              </w:rPr>
              <w:t>Validated</w:t>
            </w:r>
          </w:p>
        </w:tc>
        <w:tc>
          <w:tcPr>
            <w:tcW w:type="dxa" w:w="2376"/>
            <w:tcMar>
              <w:top w:w="70" w:type="dxa"/>
              <w:start w:w="75" w:type="dxa"/>
              <w:bottom w:w="70" w:type="dxa"/>
              <w:end w:w="75" w:type="dxa"/>
            </w:tcMar>
            <w:vAlign w:val="center"/>
          </w:tcPr>
          <w:p>
            <w:pPr>
              <w:spacing w:after="0" w:before="0" w:line="240" w:lineRule="auto"/>
            </w:pPr>
            <w:r>
              <w:rPr>
                <w:rFonts w:ascii="Aptos" w:hAnsi="Aptos"/>
                <w:sz w:val="16"/>
              </w:rPr>
              <w:t>HP-002 keywords appear in Architecture, while the row-level Keyword Map contains only editorial phrases for HP-003/4/5; Melbourne keyword total is overlapping.</w:t>
            </w:r>
          </w:p>
        </w:tc>
        <w:tc>
          <w:tcPr>
            <w:tcW w:type="dxa" w:w="1944"/>
            <w:tcMar>
              <w:top w:w="70" w:type="dxa"/>
              <w:start w:w="75" w:type="dxa"/>
              <w:bottom w:w="70" w:type="dxa"/>
              <w:end w:w="75" w:type="dxa"/>
            </w:tcMar>
            <w:vAlign w:val="center"/>
          </w:tcPr>
          <w:p>
            <w:pPr>
              <w:spacing w:after="0" w:before="0" w:line="240" w:lineRule="auto"/>
            </w:pPr>
            <w:r>
              <w:rPr>
                <w:rFonts w:ascii="Aptos" w:hAnsi="Aptos"/>
                <w:sz w:val="16"/>
              </w:rPr>
              <w:t>None.</w:t>
            </w:r>
          </w:p>
        </w:tc>
        <w:tc>
          <w:tcPr>
            <w:tcW w:type="dxa" w:w="1944"/>
            <w:tcMar>
              <w:top w:w="70" w:type="dxa"/>
              <w:start w:w="75" w:type="dxa"/>
              <w:bottom w:w="70" w:type="dxa"/>
              <w:end w:w="75" w:type="dxa"/>
            </w:tcMar>
            <w:vAlign w:val="center"/>
          </w:tcPr>
          <w:p>
            <w:pPr>
              <w:spacing w:after="0" w:before="0" w:line="240" w:lineRule="auto"/>
            </w:pPr>
            <w:r>
              <w:rPr>
                <w:rFonts w:ascii="Aptos" w:hAnsi="Aptos"/>
                <w:sz w:val="16"/>
              </w:rPr>
              <w:t>Use supplied HP-002 keywords as inputs only; Strategy/Search owns any revalidation or change.</w:t>
            </w:r>
          </w:p>
        </w:tc>
      </w:tr>
      <w:tr>
        <w:trPr>
          <w:cantSplit/>
        </w:trPr>
        <w:tc>
          <w:tcPr>
            <w:tcW w:type="dxa" w:w="792"/>
            <w:tcMar>
              <w:top w:w="70" w:type="dxa"/>
              <w:start w:w="75" w:type="dxa"/>
              <w:bottom w:w="70" w:type="dxa"/>
              <w:end w:w="75" w:type="dxa"/>
            </w:tcMar>
            <w:vAlign w:val="center"/>
          </w:tcPr>
          <w:p>
            <w:pPr>
              <w:spacing w:after="0" w:before="0" w:line="240" w:lineRule="auto"/>
            </w:pPr>
            <w:r>
              <w:rPr>
                <w:rFonts w:ascii="Aptos" w:hAnsi="Aptos"/>
                <w:sz w:val="16"/>
              </w:rPr>
              <w:t>HP-002</w:t>
            </w:r>
          </w:p>
        </w:tc>
        <w:tc>
          <w:tcPr>
            <w:tcW w:type="dxa" w:w="2232"/>
            <w:tcMar>
              <w:top w:w="70" w:type="dxa"/>
              <w:start w:w="75" w:type="dxa"/>
              <w:bottom w:w="70" w:type="dxa"/>
              <w:end w:w="75" w:type="dxa"/>
            </w:tcMar>
            <w:vAlign w:val="center"/>
          </w:tcPr>
          <w:p>
            <w:pPr>
              <w:spacing w:after="0" w:before="0" w:line="240" w:lineRule="auto"/>
            </w:pPr>
            <w:r>
              <w:rPr>
                <w:rFonts w:ascii="Aptos" w:hAnsi="Aptos"/>
                <w:sz w:val="16"/>
              </w:rPr>
              <w:t>Internal-link implementation (F-08; O-06)</w:t>
            </w:r>
          </w:p>
        </w:tc>
        <w:tc>
          <w:tcPr>
            <w:tcW w:type="dxa" w:w="1655"/>
            <w:tcMar>
              <w:top w:w="70" w:type="dxa"/>
              <w:start w:w="75" w:type="dxa"/>
              <w:bottom w:w="70" w:type="dxa"/>
              <w:end w:w="75" w:type="dxa"/>
            </w:tcMar>
            <w:vAlign w:val="center"/>
            <w:shd w:fill="FFF2CC"/>
          </w:tcPr>
          <w:p>
            <w:pPr>
              <w:spacing w:after="0" w:before="0" w:line="240" w:lineRule="auto"/>
            </w:pPr>
            <w:r>
              <w:rPr>
                <w:rFonts w:ascii="Aptos" w:hAnsi="Aptos"/>
                <w:sz w:val="16"/>
              </w:rPr>
              <w:t>Validated with Qualification</w:t>
            </w:r>
          </w:p>
        </w:tc>
        <w:tc>
          <w:tcPr>
            <w:tcW w:type="dxa" w:w="2376"/>
            <w:tcMar>
              <w:top w:w="70" w:type="dxa"/>
              <w:start w:w="75" w:type="dxa"/>
              <w:bottom w:w="70" w:type="dxa"/>
              <w:end w:w="75" w:type="dxa"/>
            </w:tcMar>
            <w:vAlign w:val="center"/>
          </w:tcPr>
          <w:p>
            <w:pPr>
              <w:spacing w:after="0" w:before="0" w:line="240" w:lineRule="auto"/>
            </w:pPr>
            <w:r>
              <w:rPr>
                <w:rFonts w:ascii="Aptos" w:hAnsi="Aptos"/>
                <w:sz w:val="16"/>
              </w:rPr>
              <w:t>Content Briefs list several HP-002 targets; the dedicated Internal Links tab explicitly maps HP-001 &lt;-&gt; HP-002. Technical SEO owns implementation.</w:t>
            </w:r>
          </w:p>
        </w:tc>
        <w:tc>
          <w:tcPr>
            <w:tcW w:type="dxa" w:w="1944"/>
            <w:tcMar>
              <w:top w:w="70" w:type="dxa"/>
              <w:start w:w="75" w:type="dxa"/>
              <w:bottom w:w="70" w:type="dxa"/>
              <w:end w:w="75" w:type="dxa"/>
            </w:tcMar>
            <w:vAlign w:val="center"/>
          </w:tcPr>
          <w:p>
            <w:pPr>
              <w:spacing w:after="0" w:before="0" w:line="240" w:lineRule="auto"/>
            </w:pPr>
            <w:r>
              <w:rPr>
                <w:rFonts w:ascii="Aptos" w:hAnsi="Aptos"/>
                <w:sz w:val="16"/>
              </w:rPr>
              <w:t>The Content Brief targets are themselves approved; absence of every relationship from the Internal Links tab is an implementation clarification, not a source conflict or evidence failure.</w:t>
            </w:r>
          </w:p>
        </w:tc>
        <w:tc>
          <w:tcPr>
            <w:tcW w:type="dxa" w:w="1944"/>
            <w:tcMar>
              <w:top w:w="70" w:type="dxa"/>
              <w:start w:w="75" w:type="dxa"/>
              <w:bottom w:w="70" w:type="dxa"/>
              <w:end w:w="75" w:type="dxa"/>
            </w:tcMar>
            <w:vAlign w:val="center"/>
          </w:tcPr>
          <w:p>
            <w:pPr>
              <w:spacing w:after="0" w:before="0" w:line="240" w:lineRule="auto"/>
            </w:pPr>
            <w:r>
              <w:rPr>
                <w:rFonts w:ascii="Aptos" w:hAnsi="Aptos"/>
                <w:sz w:val="16"/>
              </w:rPr>
              <w:t>Technical SEO should confirm final source-target implementation while preserving approved page ownership.</w:t>
            </w:r>
          </w:p>
        </w:tc>
      </w:tr>
      <w:tr>
        <w:trPr>
          <w:cantSplit/>
        </w:trPr>
        <w:tc>
          <w:tcPr>
            <w:tcW w:type="dxa" w:w="792"/>
            <w:tcMar>
              <w:top w:w="70" w:type="dxa"/>
              <w:start w:w="75" w:type="dxa"/>
              <w:bottom w:w="70" w:type="dxa"/>
              <w:end w:w="75" w:type="dxa"/>
            </w:tcMar>
            <w:vAlign w:val="center"/>
          </w:tcPr>
          <w:p>
            <w:pPr>
              <w:spacing w:after="0" w:before="0" w:line="240" w:lineRule="auto"/>
            </w:pPr>
            <w:r>
              <w:rPr>
                <w:rFonts w:ascii="Aptos" w:hAnsi="Aptos"/>
                <w:sz w:val="16"/>
              </w:rPr>
              <w:t>HP-002</w:t>
            </w:r>
          </w:p>
        </w:tc>
        <w:tc>
          <w:tcPr>
            <w:tcW w:type="dxa" w:w="2232"/>
            <w:tcMar>
              <w:top w:w="70" w:type="dxa"/>
              <w:start w:w="75" w:type="dxa"/>
              <w:bottom w:w="70" w:type="dxa"/>
              <w:end w:w="75" w:type="dxa"/>
            </w:tcMar>
            <w:vAlign w:val="center"/>
          </w:tcPr>
          <w:p>
            <w:pPr>
              <w:spacing w:after="0" w:before="0" w:line="240" w:lineRule="auto"/>
            </w:pPr>
            <w:r>
              <w:rPr>
                <w:rFonts w:ascii="Aptos" w:hAnsi="Aptos"/>
                <w:sz w:val="16"/>
              </w:rPr>
              <w:t>Existing Melbourne party-games supporting asset and configured-conversion limitation (F-09; SE-06)</w:t>
            </w:r>
          </w:p>
        </w:tc>
        <w:tc>
          <w:tcPr>
            <w:tcW w:type="dxa" w:w="1655"/>
            <w:tcMar>
              <w:top w:w="70" w:type="dxa"/>
              <w:start w:w="75" w:type="dxa"/>
              <w:bottom w:w="70" w:type="dxa"/>
              <w:end w:w="75" w:type="dxa"/>
            </w:tcMar>
            <w:vAlign w:val="center"/>
            <w:shd w:fill="E2F0D9"/>
          </w:tcPr>
          <w:p>
            <w:pPr>
              <w:spacing w:after="0" w:before="0" w:line="240" w:lineRule="auto"/>
            </w:pPr>
            <w:r>
              <w:rPr>
                <w:rFonts w:ascii="Aptos" w:hAnsi="Aptos"/>
                <w:sz w:val="16"/>
              </w:rPr>
              <w:t>Validated</w:t>
            </w:r>
          </w:p>
        </w:tc>
        <w:tc>
          <w:tcPr>
            <w:tcW w:type="dxa" w:w="2376"/>
            <w:tcMar>
              <w:top w:w="70" w:type="dxa"/>
              <w:start w:w="75" w:type="dxa"/>
              <w:bottom w:w="70" w:type="dxa"/>
              <w:end w:w="75" w:type="dxa"/>
            </w:tcMar>
            <w:vAlign w:val="center"/>
          </w:tcPr>
          <w:p>
            <w:pPr>
              <w:spacing w:after="0" w:before="0" w:line="240" w:lineRule="auto"/>
            </w:pPr>
            <w:r>
              <w:rPr>
                <w:rFonts w:ascii="Aptos" w:hAnsi="Aptos"/>
                <w:sz w:val="16"/>
              </w:rPr>
              <w:t>Consolidation/Evidence assign the local games page as EXP-001/HP-002 support and record 12 sessions / 1 configured conversion with conversion-definition caveat.</w:t>
            </w:r>
          </w:p>
        </w:tc>
        <w:tc>
          <w:tcPr>
            <w:tcW w:type="dxa" w:w="1944"/>
            <w:tcMar>
              <w:top w:w="70" w:type="dxa"/>
              <w:start w:w="75" w:type="dxa"/>
              <w:bottom w:w="70" w:type="dxa"/>
              <w:end w:w="75" w:type="dxa"/>
            </w:tcMar>
            <w:vAlign w:val="center"/>
          </w:tcPr>
          <w:p>
            <w:pPr>
              <w:spacing w:after="0" w:before="0" w:line="240" w:lineRule="auto"/>
            </w:pPr>
            <w:r>
              <w:rPr>
                <w:rFonts w:ascii="Aptos" w:hAnsi="Aptos"/>
                <w:sz w:val="16"/>
              </w:rPr>
              <w:t>None.</w:t>
            </w:r>
          </w:p>
        </w:tc>
        <w:tc>
          <w:tcPr>
            <w:tcW w:type="dxa" w:w="1944"/>
            <w:tcMar>
              <w:top w:w="70" w:type="dxa"/>
              <w:start w:w="75" w:type="dxa"/>
              <w:bottom w:w="70" w:type="dxa"/>
              <w:end w:w="75" w:type="dxa"/>
            </w:tcMar>
            <w:vAlign w:val="center"/>
          </w:tcPr>
          <w:p>
            <w:pPr>
              <w:spacing w:after="0" w:before="0" w:line="240" w:lineRule="auto"/>
            </w:pPr>
            <w:r>
              <w:rPr>
                <w:rFonts w:ascii="Aptos" w:hAnsi="Aptos"/>
                <w:sz w:val="16"/>
              </w:rPr>
              <w:t>Keep its distinct games role, add approved proof, and do not present the configured conversion as a booking.</w:t>
            </w:r>
          </w:p>
        </w:tc>
      </w:tr>
      <w:tr>
        <w:trPr>
          <w:cantSplit/>
        </w:trPr>
        <w:tc>
          <w:tcPr>
            <w:tcW w:type="dxa" w:w="792"/>
            <w:tcMar>
              <w:top w:w="70" w:type="dxa"/>
              <w:start w:w="75" w:type="dxa"/>
              <w:bottom w:w="70" w:type="dxa"/>
              <w:end w:w="75" w:type="dxa"/>
            </w:tcMar>
            <w:vAlign w:val="center"/>
          </w:tcPr>
          <w:p>
            <w:pPr>
              <w:spacing w:after="0" w:before="0" w:line="240" w:lineRule="auto"/>
            </w:pPr>
            <w:r>
              <w:rPr>
                <w:rFonts w:ascii="Aptos" w:hAnsi="Aptos"/>
                <w:sz w:val="16"/>
              </w:rPr>
              <w:t>HP-002</w:t>
            </w:r>
          </w:p>
        </w:tc>
        <w:tc>
          <w:tcPr>
            <w:tcW w:type="dxa" w:w="2232"/>
            <w:tcMar>
              <w:top w:w="70" w:type="dxa"/>
              <w:start w:w="75" w:type="dxa"/>
              <w:bottom w:w="70" w:type="dxa"/>
              <w:end w:w="75" w:type="dxa"/>
            </w:tcMar>
            <w:vAlign w:val="center"/>
          </w:tcPr>
          <w:p>
            <w:pPr>
              <w:spacing w:after="0" w:before="0" w:line="240" w:lineRule="auto"/>
            </w:pPr>
            <w:r>
              <w:rPr>
                <w:rFonts w:ascii="Aptos" w:hAnsi="Aptos"/>
                <w:sz w:val="16"/>
              </w:rPr>
              <w:t>Legacy venue claims and current delivery-model wording (F-10)</w:t>
            </w:r>
          </w:p>
        </w:tc>
        <w:tc>
          <w:tcPr>
            <w:tcW w:type="dxa" w:w="1655"/>
            <w:tcMar>
              <w:top w:w="70" w:type="dxa"/>
              <w:start w:w="75" w:type="dxa"/>
              <w:bottom w:w="70" w:type="dxa"/>
              <w:end w:w="75" w:type="dxa"/>
            </w:tcMar>
            <w:vAlign w:val="center"/>
            <w:shd w:fill="E2F0D9"/>
          </w:tcPr>
          <w:p>
            <w:pPr>
              <w:spacing w:after="0" w:before="0" w:line="240" w:lineRule="auto"/>
            </w:pPr>
            <w:r>
              <w:rPr>
                <w:rFonts w:ascii="Aptos" w:hAnsi="Aptos"/>
                <w:sz w:val="16"/>
              </w:rPr>
              <w:t>Validated</w:t>
            </w:r>
          </w:p>
        </w:tc>
        <w:tc>
          <w:tcPr>
            <w:tcW w:type="dxa" w:w="2376"/>
            <w:tcMar>
              <w:top w:w="70" w:type="dxa"/>
              <w:start w:w="75" w:type="dxa"/>
              <w:bottom w:w="70" w:type="dxa"/>
              <w:end w:w="75" w:type="dxa"/>
            </w:tcMar>
            <w:vAlign w:val="center"/>
          </w:tcPr>
          <w:p>
            <w:pPr>
              <w:spacing w:after="0" w:before="0" w:line="240" w:lineRule="auto"/>
            </w:pPr>
            <w:r>
              <w:rPr>
                <w:rFonts w:ascii="Aptos" w:hAnsi="Aptos"/>
                <w:sz w:val="16"/>
              </w:rPr>
              <w:t>Architecture says not to mention obsolete fixed venues and to state home/customer-selected/partner-venue options only using current operational facts.</w:t>
            </w:r>
          </w:p>
        </w:tc>
        <w:tc>
          <w:tcPr>
            <w:tcW w:type="dxa" w:w="1944"/>
            <w:tcMar>
              <w:top w:w="70" w:type="dxa"/>
              <w:start w:w="75" w:type="dxa"/>
              <w:bottom w:w="70" w:type="dxa"/>
              <w:end w:w="75" w:type="dxa"/>
            </w:tcMar>
            <w:vAlign w:val="center"/>
          </w:tcPr>
          <w:p>
            <w:pPr>
              <w:spacing w:after="0" w:before="0" w:line="240" w:lineRule="auto"/>
            </w:pPr>
            <w:r>
              <w:rPr>
                <w:rFonts w:ascii="Aptos" w:hAnsi="Aptos"/>
                <w:sz w:val="16"/>
              </w:rPr>
              <w:t>None; operational availability still requires Ajith confirmation.</w:t>
            </w:r>
          </w:p>
        </w:tc>
        <w:tc>
          <w:tcPr>
            <w:tcW w:type="dxa" w:w="1944"/>
            <w:tcMar>
              <w:top w:w="70" w:type="dxa"/>
              <w:start w:w="75" w:type="dxa"/>
              <w:bottom w:w="70" w:type="dxa"/>
              <w:end w:w="75" w:type="dxa"/>
            </w:tcMar>
            <w:vAlign w:val="center"/>
          </w:tcPr>
          <w:p>
            <w:pPr>
              <w:spacing w:after="0" w:before="0" w:line="240" w:lineRule="auto"/>
            </w:pPr>
            <w:r>
              <w:rPr>
                <w:rFonts w:ascii="Aptos" w:hAnsi="Aptos"/>
                <w:sz w:val="16"/>
              </w:rPr>
              <w:t>Avoid obsolete venue framing and use only currently confirmed delivery options.</w:t>
            </w:r>
          </w:p>
        </w:tc>
      </w:tr>
      <w:tr>
        <w:trPr>
          <w:cantSplit/>
        </w:trPr>
        <w:tc>
          <w:tcPr>
            <w:tcW w:type="dxa" w:w="792"/>
            <w:tcMar>
              <w:top w:w="70" w:type="dxa"/>
              <w:start w:w="75" w:type="dxa"/>
              <w:bottom w:w="70" w:type="dxa"/>
              <w:end w:w="75" w:type="dxa"/>
            </w:tcMar>
            <w:vAlign w:val="center"/>
          </w:tcPr>
          <w:p>
            <w:pPr>
              <w:spacing w:after="0" w:before="0" w:line="240" w:lineRule="auto"/>
            </w:pPr>
            <w:r>
              <w:rPr>
                <w:rFonts w:ascii="Aptos" w:hAnsi="Aptos"/>
                <w:sz w:val="16"/>
              </w:rPr>
              <w:t>HP-002</w:t>
            </w:r>
          </w:p>
        </w:tc>
        <w:tc>
          <w:tcPr>
            <w:tcW w:type="dxa" w:w="2232"/>
            <w:tcMar>
              <w:top w:w="70" w:type="dxa"/>
              <w:start w:w="75" w:type="dxa"/>
              <w:bottom w:w="70" w:type="dxa"/>
              <w:end w:w="75" w:type="dxa"/>
            </w:tcMar>
            <w:vAlign w:val="center"/>
          </w:tcPr>
          <w:p>
            <w:pPr>
              <w:spacing w:after="0" w:before="0" w:line="240" w:lineRule="auto"/>
            </w:pPr>
            <w:r>
              <w:rPr>
                <w:rFonts w:ascii="Aptos" w:hAnsi="Aptos"/>
                <w:sz w:val="16"/>
              </w:rPr>
              <w:t>Competitor/measurement limitations and bounded specialist handoffs (F-11/12; O-04/O-07)</w:t>
            </w:r>
          </w:p>
        </w:tc>
        <w:tc>
          <w:tcPr>
            <w:tcW w:type="dxa" w:w="1655"/>
            <w:tcMar>
              <w:top w:w="70" w:type="dxa"/>
              <w:start w:w="75" w:type="dxa"/>
              <w:bottom w:w="70" w:type="dxa"/>
              <w:end w:w="75" w:type="dxa"/>
            </w:tcMar>
            <w:vAlign w:val="center"/>
            <w:shd w:fill="E2F0D9"/>
          </w:tcPr>
          <w:p>
            <w:pPr>
              <w:spacing w:after="0" w:before="0" w:line="240" w:lineRule="auto"/>
            </w:pPr>
            <w:r>
              <w:rPr>
                <w:rFonts w:ascii="Aptos" w:hAnsi="Aptos"/>
                <w:sz w:val="16"/>
              </w:rPr>
              <w:t>Validated</w:t>
            </w:r>
          </w:p>
        </w:tc>
        <w:tc>
          <w:tcPr>
            <w:tcW w:type="dxa" w:w="2376"/>
            <w:tcMar>
              <w:top w:w="70" w:type="dxa"/>
              <w:start w:w="75" w:type="dxa"/>
              <w:bottom w:w="70" w:type="dxa"/>
              <w:end w:w="75" w:type="dxa"/>
            </w:tcMar>
            <w:vAlign w:val="center"/>
          </w:tcPr>
          <w:p>
            <w:pPr>
              <w:spacing w:after="0" w:before="0" w:line="240" w:lineRule="auto"/>
            </w:pPr>
            <w:r>
              <w:rPr>
                <w:rFonts w:ascii="Aptos" w:hAnsi="Aptos"/>
                <w:sz w:val="16"/>
              </w:rPr>
              <w:t>Workbook limits KaptureVR to a content-pattern observation and records unverified analytics definitions; Handbook supports Digital PR, Backlink and Brand Authority routing.</w:t>
            </w:r>
          </w:p>
        </w:tc>
        <w:tc>
          <w:tcPr>
            <w:tcW w:type="dxa" w:w="1944"/>
            <w:tcMar>
              <w:top w:w="70" w:type="dxa"/>
              <w:start w:w="75" w:type="dxa"/>
              <w:bottom w:w="70" w:type="dxa"/>
              <w:end w:w="75" w:type="dxa"/>
            </w:tcMar>
            <w:vAlign w:val="center"/>
          </w:tcPr>
          <w:p>
            <w:pPr>
              <w:spacing w:after="0" w:before="0" w:line="240" w:lineRule="auto"/>
            </w:pPr>
            <w:r>
              <w:rPr>
                <w:rFonts w:ascii="Aptos" w:hAnsi="Aptos"/>
                <w:sz w:val="16"/>
              </w:rPr>
              <w:t>None.</w:t>
            </w:r>
          </w:p>
        </w:tc>
        <w:tc>
          <w:tcPr>
            <w:tcW w:type="dxa" w:w="1944"/>
            <w:tcMar>
              <w:top w:w="70" w:type="dxa"/>
              <w:start w:w="75" w:type="dxa"/>
              <w:bottom w:w="70" w:type="dxa"/>
              <w:end w:w="75" w:type="dxa"/>
            </w:tcMar>
            <w:vAlign w:val="center"/>
          </w:tcPr>
          <w:p>
            <w:pPr>
              <w:spacing w:after="0" w:before="0" w:line="240" w:lineRule="auto"/>
            </w:pPr>
            <w:r>
              <w:rPr>
                <w:rFonts w:ascii="Aptos" w:hAnsi="Aptos"/>
                <w:sz w:val="16"/>
              </w:rPr>
              <w:t>Use competitor observation only as context; Analytics validates metrics; specialists handle deeper authority work if commissioned.</w:t>
            </w:r>
          </w:p>
        </w:tc>
      </w:tr>
      <w:tr>
        <w:trPr>
          <w:cantSplit/>
        </w:trPr>
        <w:tc>
          <w:tcPr>
            <w:tcW w:type="dxa" w:w="792"/>
            <w:tcMar>
              <w:top w:w="70" w:type="dxa"/>
              <w:start w:w="75" w:type="dxa"/>
              <w:bottom w:w="70" w:type="dxa"/>
              <w:end w:w="75" w:type="dxa"/>
            </w:tcMar>
            <w:vAlign w:val="center"/>
          </w:tcPr>
          <w:p>
            <w:pPr>
              <w:spacing w:after="0" w:before="0" w:line="240" w:lineRule="auto"/>
            </w:pPr>
            <w:r>
              <w:rPr>
                <w:rFonts w:ascii="Aptos" w:hAnsi="Aptos"/>
                <w:sz w:val="16"/>
              </w:rPr>
              <w:t>HP-002</w:t>
            </w:r>
          </w:p>
        </w:tc>
        <w:tc>
          <w:tcPr>
            <w:tcW w:type="dxa" w:w="2232"/>
            <w:tcMar>
              <w:top w:w="70" w:type="dxa"/>
              <w:start w:w="75" w:type="dxa"/>
              <w:bottom w:w="70" w:type="dxa"/>
              <w:end w:w="75" w:type="dxa"/>
            </w:tcMar>
            <w:vAlign w:val="center"/>
          </w:tcPr>
          <w:p>
            <w:pPr>
              <w:spacing w:after="0" w:before="0" w:line="240" w:lineRule="auto"/>
            </w:pPr>
            <w:r>
              <w:rPr>
                <w:rFonts w:ascii="Aptos" w:hAnsi="Aptos"/>
                <w:sz w:val="16"/>
              </w:rPr>
              <w:t>Development Readiness Status</w:t>
            </w:r>
          </w:p>
        </w:tc>
        <w:tc>
          <w:tcPr>
            <w:tcW w:type="dxa" w:w="1655"/>
            <w:tcMar>
              <w:top w:w="70" w:type="dxa"/>
              <w:start w:w="75" w:type="dxa"/>
              <w:bottom w:w="70" w:type="dxa"/>
              <w:end w:w="75" w:type="dxa"/>
            </w:tcMar>
            <w:vAlign w:val="center"/>
            <w:shd w:fill="E2F0D9"/>
          </w:tcPr>
          <w:p>
            <w:pPr>
              <w:spacing w:after="0" w:before="0" w:line="240" w:lineRule="auto"/>
            </w:pPr>
            <w:r>
              <w:rPr>
                <w:rFonts w:ascii="Aptos" w:hAnsi="Aptos"/>
                <w:sz w:val="16"/>
              </w:rPr>
              <w:t>Validated</w:t>
            </w:r>
          </w:p>
        </w:tc>
        <w:tc>
          <w:tcPr>
            <w:tcW w:type="dxa" w:w="2376"/>
            <w:tcMar>
              <w:top w:w="70" w:type="dxa"/>
              <w:start w:w="75" w:type="dxa"/>
              <w:bottom w:w="70" w:type="dxa"/>
              <w:end w:w="75" w:type="dxa"/>
            </w:tcMar>
            <w:vAlign w:val="center"/>
          </w:tcPr>
          <w:p>
            <w:pPr>
              <w:spacing w:after="0" w:before="0" w:line="240" w:lineRule="auto"/>
            </w:pPr>
            <w:r>
              <w:rPr>
                <w:rFonts w:ascii="Aptos" w:hAnsi="Aptos"/>
                <w:sz w:val="16"/>
              </w:rPr>
              <w:t>HP-002 has a defined local page job and can be structurally developed while operational statements remain conditional on owner evidence.</w:t>
            </w:r>
          </w:p>
        </w:tc>
        <w:tc>
          <w:tcPr>
            <w:tcW w:type="dxa" w:w="1944"/>
            <w:tcMar>
              <w:top w:w="70" w:type="dxa"/>
              <w:start w:w="75" w:type="dxa"/>
              <w:bottom w:w="70" w:type="dxa"/>
              <w:end w:w="75" w:type="dxa"/>
            </w:tcMar>
            <w:vAlign w:val="center"/>
          </w:tcPr>
          <w:p>
            <w:pPr>
              <w:spacing w:after="0" w:before="0" w:line="240" w:lineRule="auto"/>
            </w:pPr>
            <w:r>
              <w:rPr>
                <w:rFonts w:ascii="Aptos" w:hAnsi="Aptos"/>
                <w:sz w:val="16"/>
              </w:rPr>
              <w:t>Readiness is a handoff status only, not a DoR/publication approval.</w:t>
            </w:r>
          </w:p>
        </w:tc>
        <w:tc>
          <w:tcPr>
            <w:tcW w:type="dxa" w:w="1944"/>
            <w:tcMar>
              <w:top w:w="70" w:type="dxa"/>
              <w:start w:w="75" w:type="dxa"/>
              <w:bottom w:w="70" w:type="dxa"/>
              <w:end w:w="75" w:type="dxa"/>
            </w:tcMar>
            <w:vAlign w:val="center"/>
          </w:tcPr>
          <w:p>
            <w:pPr>
              <w:spacing w:after="0" w:before="0" w:line="240" w:lineRule="auto"/>
            </w:pPr>
            <w:r>
              <w:rPr>
                <w:rFonts w:ascii="Aptos" w:hAnsi="Aptos"/>
                <w:sz w:val="16"/>
              </w:rPr>
              <w:t>Retain: Ready for Development with Conditions — Owner Input Required.</w:t>
            </w:r>
          </w:p>
        </w:tc>
      </w:tr>
      <w:tr>
        <w:trPr>
          <w:cantSplit/>
        </w:trPr>
        <w:tc>
          <w:tcPr>
            <w:tcW w:type="dxa" w:w="792"/>
            <w:tcMar>
              <w:top w:w="70" w:type="dxa"/>
              <w:start w:w="75" w:type="dxa"/>
              <w:bottom w:w="70" w:type="dxa"/>
              <w:end w:w="75" w:type="dxa"/>
            </w:tcMar>
            <w:vAlign w:val="center"/>
          </w:tcPr>
          <w:p>
            <w:pPr>
              <w:spacing w:after="0" w:before="0" w:line="240" w:lineRule="auto"/>
            </w:pPr>
            <w:r>
              <w:rPr>
                <w:rFonts w:ascii="Aptos" w:hAnsi="Aptos"/>
                <w:sz w:val="16"/>
              </w:rPr>
              <w:t>HP-003</w:t>
            </w:r>
          </w:p>
        </w:tc>
        <w:tc>
          <w:tcPr>
            <w:tcW w:type="dxa" w:w="2232"/>
            <w:tcMar>
              <w:top w:w="70" w:type="dxa"/>
              <w:start w:w="75" w:type="dxa"/>
              <w:bottom w:w="70" w:type="dxa"/>
              <w:end w:w="75" w:type="dxa"/>
            </w:tcMar>
            <w:vAlign w:val="center"/>
          </w:tcPr>
          <w:p>
            <w:pPr>
              <w:spacing w:after="0" w:before="0" w:line="240" w:lineRule="auto"/>
            </w:pPr>
            <w:r>
              <w:rPr>
                <w:rFonts w:ascii="Aptos" w:hAnsi="Aptos"/>
                <w:sz w:val="16"/>
              </w:rPr>
              <w:t>Neutral informational comparison role and separation from HP-001 (F-01; SE-01)</w:t>
            </w:r>
          </w:p>
        </w:tc>
        <w:tc>
          <w:tcPr>
            <w:tcW w:type="dxa" w:w="1655"/>
            <w:tcMar>
              <w:top w:w="70" w:type="dxa"/>
              <w:start w:w="75" w:type="dxa"/>
              <w:bottom w:w="70" w:type="dxa"/>
              <w:end w:w="75" w:type="dxa"/>
            </w:tcMar>
            <w:vAlign w:val="center"/>
            <w:shd w:fill="E2F0D9"/>
          </w:tcPr>
          <w:p>
            <w:pPr>
              <w:spacing w:after="0" w:before="0" w:line="240" w:lineRule="auto"/>
            </w:pPr>
            <w:r>
              <w:rPr>
                <w:rFonts w:ascii="Aptos" w:hAnsi="Aptos"/>
                <w:sz w:val="16"/>
              </w:rPr>
              <w:t>Validated</w:t>
            </w:r>
          </w:p>
        </w:tc>
        <w:tc>
          <w:tcPr>
            <w:tcW w:type="dxa" w:w="2376"/>
            <w:tcMar>
              <w:top w:w="70" w:type="dxa"/>
              <w:start w:w="75" w:type="dxa"/>
              <w:bottom w:w="70" w:type="dxa"/>
              <w:end w:w="75" w:type="dxa"/>
            </w:tcMar>
            <w:vAlign w:val="center"/>
          </w:tcPr>
          <w:p>
            <w:pPr>
              <w:spacing w:after="0" w:before="0" w:line="240" w:lineRule="auto"/>
            </w:pPr>
            <w:r>
              <w:rPr>
                <w:rFonts w:ascii="Aptos" w:hAnsi="Aptos"/>
                <w:sz w:val="16"/>
              </w:rPr>
              <w:t>Architecture gives HP-003 an informational/commercial-investigation job and says the page must be useful before it sells; HP-001 remains the hosted-service commercial owner.</w:t>
            </w:r>
          </w:p>
        </w:tc>
        <w:tc>
          <w:tcPr>
            <w:tcW w:type="dxa" w:w="1944"/>
            <w:tcMar>
              <w:top w:w="70" w:type="dxa"/>
              <w:start w:w="75" w:type="dxa"/>
              <w:bottom w:w="70" w:type="dxa"/>
              <w:end w:w="75" w:type="dxa"/>
            </w:tcMar>
            <w:vAlign w:val="center"/>
          </w:tcPr>
          <w:p>
            <w:pPr>
              <w:spacing w:after="0" w:before="0" w:line="240" w:lineRule="auto"/>
            </w:pPr>
            <w:r>
              <w:rPr>
                <w:rFonts w:ascii="Aptos" w:hAnsi="Aptos"/>
                <w:sz w:val="16"/>
              </w:rPr>
              <w:t>None.</w:t>
            </w:r>
          </w:p>
        </w:tc>
        <w:tc>
          <w:tcPr>
            <w:tcW w:type="dxa" w:w="1944"/>
            <w:tcMar>
              <w:top w:w="70" w:type="dxa"/>
              <w:start w:w="75" w:type="dxa"/>
              <w:bottom w:w="70" w:type="dxa"/>
              <w:end w:w="75" w:type="dxa"/>
            </w:tcMar>
            <w:vAlign w:val="center"/>
          </w:tcPr>
          <w:p>
            <w:pPr>
              <w:spacing w:after="0" w:before="0" w:line="240" w:lineRule="auto"/>
            </w:pPr>
            <w:r>
              <w:rPr>
                <w:rFonts w:ascii="Aptos" w:hAnsi="Aptos"/>
                <w:sz w:val="16"/>
              </w:rPr>
              <w:t>Preserve neutral planning/comparison role and route qualified readers to HP-001.</w:t>
            </w:r>
          </w:p>
        </w:tc>
      </w:tr>
      <w:tr>
        <w:trPr>
          <w:cantSplit/>
        </w:trPr>
        <w:tc>
          <w:tcPr>
            <w:tcW w:type="dxa" w:w="792"/>
            <w:tcMar>
              <w:top w:w="70" w:type="dxa"/>
              <w:start w:w="75" w:type="dxa"/>
              <w:bottom w:w="70" w:type="dxa"/>
              <w:end w:w="75" w:type="dxa"/>
            </w:tcMar>
            <w:vAlign w:val="center"/>
          </w:tcPr>
          <w:p>
            <w:pPr>
              <w:spacing w:after="0" w:before="0" w:line="240" w:lineRule="auto"/>
            </w:pPr>
            <w:r>
              <w:rPr>
                <w:rFonts w:ascii="Aptos" w:hAnsi="Aptos"/>
                <w:sz w:val="16"/>
              </w:rPr>
              <w:t>HP-003</w:t>
            </w:r>
          </w:p>
        </w:tc>
        <w:tc>
          <w:tcPr>
            <w:tcW w:type="dxa" w:w="2232"/>
            <w:tcMar>
              <w:top w:w="70" w:type="dxa"/>
              <w:start w:w="75" w:type="dxa"/>
              <w:bottom w:w="70" w:type="dxa"/>
              <w:end w:w="75" w:type="dxa"/>
            </w:tcMar>
            <w:vAlign w:val="center"/>
          </w:tcPr>
          <w:p>
            <w:pPr>
              <w:spacing w:after="0" w:before="0" w:line="240" w:lineRule="auto"/>
            </w:pPr>
            <w:r>
              <w:rPr>
                <w:rFonts w:ascii="Aptos" w:hAnsi="Aptos"/>
                <w:sz w:val="16"/>
              </w:rPr>
              <w:t>Original comparison methodology and evidence basis for “best”, suitability, effort, weather, participation and budget claims (F-02; C-01/C-03-05/C-08)</w:t>
            </w:r>
          </w:p>
        </w:tc>
        <w:tc>
          <w:tcPr>
            <w:tcW w:type="dxa" w:w="1655"/>
            <w:tcMar>
              <w:top w:w="70" w:type="dxa"/>
              <w:start w:w="75" w:type="dxa"/>
              <w:bottom w:w="70" w:type="dxa"/>
              <w:end w:w="75" w:type="dxa"/>
            </w:tcMar>
            <w:vAlign w:val="center"/>
            <w:shd w:fill="FFF2CC"/>
          </w:tcPr>
          <w:p>
            <w:pPr>
              <w:spacing w:after="0" w:before="0" w:line="240" w:lineRule="auto"/>
            </w:pPr>
            <w:r>
              <w:rPr>
                <w:rFonts w:ascii="Aptos" w:hAnsi="Aptos"/>
                <w:sz w:val="16"/>
              </w:rPr>
              <w:t>Validated with Qualification</w:t>
            </w:r>
          </w:p>
        </w:tc>
        <w:tc>
          <w:tcPr>
            <w:tcW w:type="dxa" w:w="2376"/>
            <w:tcMar>
              <w:top w:w="70" w:type="dxa"/>
              <w:start w:w="75" w:type="dxa"/>
              <w:bottom w:w="70" w:type="dxa"/>
              <w:end w:w="75" w:type="dxa"/>
            </w:tcMar>
            <w:vAlign w:val="center"/>
          </w:tcPr>
          <w:p>
            <w:pPr>
              <w:spacing w:after="0" w:before="0" w:line="240" w:lineRule="auto"/>
            </w:pPr>
            <w:r>
              <w:rPr>
                <w:rFonts w:ascii="Aptos" w:hAnsi="Aptos"/>
                <w:sz w:val="16"/>
              </w:rPr>
              <w:t>Content Brief explicitly requires an original comparison methodology; AM evidence/claim criteria require traceability.</w:t>
            </w:r>
          </w:p>
        </w:tc>
        <w:tc>
          <w:tcPr>
            <w:tcW w:type="dxa" w:w="1944"/>
            <w:tcMar>
              <w:top w:w="70" w:type="dxa"/>
              <w:start w:w="75" w:type="dxa"/>
              <w:bottom w:w="70" w:type="dxa"/>
              <w:end w:w="75" w:type="dxa"/>
            </w:tcMar>
            <w:vAlign w:val="center"/>
          </w:tcPr>
          <w:p>
            <w:pPr>
              <w:spacing w:after="0" w:before="0" w:line="240" w:lineRule="auto"/>
            </w:pPr>
            <w:r>
              <w:rPr>
                <w:rFonts w:ascii="Aptos" w:hAnsi="Aptos"/>
                <w:sz w:val="16"/>
              </w:rPr>
              <w:t>The need is validated, but approved sources do not name the exact accountable owner for the methodology. Content/Strategy is the correct department route; exact owner should be confirmed.</w:t>
            </w:r>
          </w:p>
        </w:tc>
        <w:tc>
          <w:tcPr>
            <w:tcW w:type="dxa" w:w="1944"/>
            <w:tcMar>
              <w:top w:w="70" w:type="dxa"/>
              <w:start w:w="75" w:type="dxa"/>
              <w:bottom w:w="70" w:type="dxa"/>
              <w:end w:w="75" w:type="dxa"/>
            </w:tcMar>
            <w:vAlign w:val="center"/>
          </w:tcPr>
          <w:p>
            <w:pPr>
              <w:spacing w:after="0" w:before="0" w:line="240" w:lineRule="auto"/>
            </w:pPr>
            <w:r>
              <w:rPr>
                <w:rFonts w:ascii="Aptos" w:hAnsi="Aptos"/>
                <w:sz w:val="16"/>
              </w:rPr>
              <w:t>Build the methodology/evidence map before comparative claims are locked; confirm accountable Content/Strategy owner.</w:t>
            </w:r>
          </w:p>
        </w:tc>
      </w:tr>
      <w:tr>
        <w:trPr>
          <w:cantSplit/>
        </w:trPr>
        <w:tc>
          <w:tcPr>
            <w:tcW w:type="dxa" w:w="792"/>
            <w:tcMar>
              <w:top w:w="70" w:type="dxa"/>
              <w:start w:w="75" w:type="dxa"/>
              <w:bottom w:w="70" w:type="dxa"/>
              <w:end w:w="75" w:type="dxa"/>
            </w:tcMar>
            <w:vAlign w:val="center"/>
          </w:tcPr>
          <w:p>
            <w:pPr>
              <w:spacing w:after="0" w:before="0" w:line="240" w:lineRule="auto"/>
            </w:pPr>
            <w:r>
              <w:rPr>
                <w:rFonts w:ascii="Aptos" w:hAnsi="Aptos"/>
                <w:sz w:val="16"/>
              </w:rPr>
              <w:t>HP-003</w:t>
            </w:r>
          </w:p>
        </w:tc>
        <w:tc>
          <w:tcPr>
            <w:tcW w:type="dxa" w:w="2232"/>
            <w:tcMar>
              <w:top w:w="70" w:type="dxa"/>
              <w:start w:w="75" w:type="dxa"/>
              <w:bottom w:w="70" w:type="dxa"/>
              <w:end w:w="75" w:type="dxa"/>
            </w:tcMar>
            <w:vAlign w:val="center"/>
          </w:tcPr>
          <w:p>
            <w:pPr>
              <w:spacing w:after="0" w:before="0" w:line="240" w:lineRule="auto"/>
            </w:pPr>
            <w:r>
              <w:rPr>
                <w:rFonts w:ascii="Aptos" w:hAnsi="Aptos"/>
                <w:sz w:val="16"/>
              </w:rPr>
              <w:t>ViriVr event-planner input, real run sheets and tested ViriVr ranges (F-03/04; C-02/C-06/C-07)</w:t>
            </w:r>
          </w:p>
        </w:tc>
        <w:tc>
          <w:tcPr>
            <w:tcW w:type="dxa" w:w="1655"/>
            <w:tcMar>
              <w:top w:w="70" w:type="dxa"/>
              <w:start w:w="75" w:type="dxa"/>
              <w:bottom w:w="70" w:type="dxa"/>
              <w:end w:w="75" w:type="dxa"/>
            </w:tcMar>
            <w:vAlign w:val="center"/>
            <w:shd w:fill="E2F0D9"/>
          </w:tcPr>
          <w:p>
            <w:pPr>
              <w:spacing w:after="0" w:before="0" w:line="240" w:lineRule="auto"/>
            </w:pPr>
            <w:r>
              <w:rPr>
                <w:rFonts w:ascii="Aptos" w:hAnsi="Aptos"/>
                <w:sz w:val="16"/>
              </w:rPr>
              <w:t>Validated</w:t>
            </w:r>
          </w:p>
        </w:tc>
        <w:tc>
          <w:tcPr>
            <w:tcW w:type="dxa" w:w="2376"/>
            <w:tcMar>
              <w:top w:w="70" w:type="dxa"/>
              <w:start w:w="75" w:type="dxa"/>
              <w:bottom w:w="70" w:type="dxa"/>
              <w:end w:w="75" w:type="dxa"/>
            </w:tcMar>
            <w:vAlign w:val="center"/>
          </w:tcPr>
          <w:p>
            <w:pPr>
              <w:spacing w:after="0" w:before="0" w:line="240" w:lineRule="auto"/>
            </w:pPr>
            <w:r>
              <w:rPr>
                <w:rFonts w:ascii="Aptos" w:hAnsi="Aptos"/>
                <w:sz w:val="16"/>
              </w:rPr>
              <w:t>These are explicit HP-003 evidence requirements; Ajith is an approved operational evidence source for ViriVr-specific material.</w:t>
            </w:r>
          </w:p>
        </w:tc>
        <w:tc>
          <w:tcPr>
            <w:tcW w:type="dxa" w:w="1944"/>
            <w:tcMar>
              <w:top w:w="70" w:type="dxa"/>
              <w:start w:w="75" w:type="dxa"/>
              <w:bottom w:w="70" w:type="dxa"/>
              <w:end w:w="75" w:type="dxa"/>
            </w:tcMar>
            <w:vAlign w:val="center"/>
          </w:tcPr>
          <w:p>
            <w:pPr>
              <w:spacing w:after="0" w:before="0" w:line="240" w:lineRule="auto"/>
            </w:pPr>
            <w:r>
              <w:rPr>
                <w:rFonts w:ascii="Aptos" w:hAnsi="Aptos"/>
                <w:sz w:val="16"/>
              </w:rPr>
              <w:t>Ajith’s operational evidence cannot be generalised to non-ViriVr party formats.</w:t>
            </w:r>
          </w:p>
        </w:tc>
        <w:tc>
          <w:tcPr>
            <w:tcW w:type="dxa" w:w="1944"/>
            <w:tcMar>
              <w:top w:w="70" w:type="dxa"/>
              <w:start w:w="75" w:type="dxa"/>
              <w:bottom w:w="70" w:type="dxa"/>
              <w:end w:w="75" w:type="dxa"/>
            </w:tcMar>
            <w:vAlign w:val="center"/>
          </w:tcPr>
          <w:p>
            <w:pPr>
              <w:spacing w:after="0" w:before="0" w:line="240" w:lineRule="auto"/>
            </w:pPr>
            <w:r>
              <w:rPr>
                <w:rFonts w:ascii="Aptos" w:hAnsi="Aptos"/>
                <w:sz w:val="16"/>
              </w:rPr>
              <w:t>Ask Ajith to provide/identify actual operational material; keep broader comparison claims separately sourced.</w:t>
            </w:r>
          </w:p>
        </w:tc>
      </w:tr>
      <w:tr>
        <w:trPr>
          <w:cantSplit/>
        </w:trPr>
        <w:tc>
          <w:tcPr>
            <w:tcW w:type="dxa" w:w="792"/>
            <w:tcMar>
              <w:top w:w="70" w:type="dxa"/>
              <w:start w:w="75" w:type="dxa"/>
              <w:bottom w:w="70" w:type="dxa"/>
              <w:end w:w="75" w:type="dxa"/>
            </w:tcMar>
            <w:vAlign w:val="center"/>
          </w:tcPr>
          <w:p>
            <w:pPr>
              <w:spacing w:after="0" w:before="0" w:line="240" w:lineRule="auto"/>
            </w:pPr>
            <w:r>
              <w:rPr>
                <w:rFonts w:ascii="Aptos" w:hAnsi="Aptos"/>
                <w:sz w:val="16"/>
              </w:rPr>
              <w:t>HP-003</w:t>
            </w:r>
          </w:p>
        </w:tc>
        <w:tc>
          <w:tcPr>
            <w:tcW w:type="dxa" w:w="2232"/>
            <w:tcMar>
              <w:top w:w="70" w:type="dxa"/>
              <w:start w:w="75" w:type="dxa"/>
              <w:bottom w:w="70" w:type="dxa"/>
              <w:end w:w="75" w:type="dxa"/>
            </w:tcMar>
            <w:vAlign w:val="center"/>
          </w:tcPr>
          <w:p>
            <w:pPr>
              <w:spacing w:after="0" w:before="0" w:line="240" w:lineRule="auto"/>
            </w:pPr>
            <w:r>
              <w:rPr>
                <w:rFonts w:ascii="Aptos" w:hAnsi="Aptos"/>
                <w:sz w:val="16"/>
              </w:rPr>
              <w:t>Authoritative safety guidance and safety/legal ownership (F-05; C-09; O-03)</w:t>
            </w:r>
          </w:p>
        </w:tc>
        <w:tc>
          <w:tcPr>
            <w:tcW w:type="dxa" w:w="1655"/>
            <w:tcMar>
              <w:top w:w="70" w:type="dxa"/>
              <w:start w:w="75" w:type="dxa"/>
              <w:bottom w:w="70" w:type="dxa"/>
              <w:end w:w="75" w:type="dxa"/>
            </w:tcMar>
            <w:vAlign w:val="center"/>
            <w:shd w:fill="FCE4D6"/>
          </w:tcPr>
          <w:p>
            <w:pPr>
              <w:spacing w:after="0" w:before="0" w:line="240" w:lineRule="auto"/>
            </w:pPr>
            <w:r>
              <w:rPr>
                <w:rFonts w:ascii="Aptos" w:hAnsi="Aptos"/>
                <w:sz w:val="16"/>
              </w:rPr>
              <w:t>Requires Human Clarification</w:t>
            </w:r>
          </w:p>
        </w:tc>
        <w:tc>
          <w:tcPr>
            <w:tcW w:type="dxa" w:w="2376"/>
            <w:tcMar>
              <w:top w:w="70" w:type="dxa"/>
              <w:start w:w="75" w:type="dxa"/>
              <w:bottom w:w="70" w:type="dxa"/>
              <w:end w:w="75" w:type="dxa"/>
            </w:tcMar>
            <w:vAlign w:val="center"/>
          </w:tcPr>
          <w:p>
            <w:pPr>
              <w:spacing w:after="0" w:before="0" w:line="240" w:lineRule="auto"/>
            </w:pPr>
            <w:r>
              <w:rPr>
                <w:rFonts w:ascii="Aptos" w:hAnsi="Aptos"/>
                <w:sz w:val="16"/>
              </w:rPr>
              <w:t>Architecture requires links to authoritative safety guidance where relevant, but no approved source or project-specific safety/legal owner is named.</w:t>
            </w:r>
          </w:p>
        </w:tc>
        <w:tc>
          <w:tcPr>
            <w:tcW w:type="dxa" w:w="1944"/>
            <w:tcMar>
              <w:top w:w="70" w:type="dxa"/>
              <w:start w:w="75" w:type="dxa"/>
              <w:bottom w:w="70" w:type="dxa"/>
              <w:end w:w="75" w:type="dxa"/>
            </w:tcMar>
            <w:vAlign w:val="center"/>
          </w:tcPr>
          <w:p>
            <w:pPr>
              <w:spacing w:after="0" w:before="0" w:line="240" w:lineRule="auto"/>
            </w:pPr>
            <w:r>
              <w:rPr>
                <w:rFonts w:ascii="Aptos" w:hAnsi="Aptos"/>
                <w:sz w:val="16"/>
              </w:rPr>
              <w:t>Ajith’s operational-owner role does not resolve external safety-source selection or legal/specialist interpretation.</w:t>
            </w:r>
          </w:p>
        </w:tc>
        <w:tc>
          <w:tcPr>
            <w:tcW w:type="dxa" w:w="1944"/>
            <w:tcMar>
              <w:top w:w="70" w:type="dxa"/>
              <w:start w:w="75" w:type="dxa"/>
              <w:bottom w:w="70" w:type="dxa"/>
              <w:end w:w="75" w:type="dxa"/>
            </w:tcMar>
            <w:vAlign w:val="center"/>
          </w:tcPr>
          <w:p>
            <w:pPr>
              <w:spacing w:after="0" w:before="0" w:line="240" w:lineRule="auto"/>
            </w:pPr>
            <w:r>
              <w:rPr>
                <w:rFonts w:ascii="Aptos" w:hAnsi="Aptos"/>
                <w:sz w:val="16"/>
              </w:rPr>
              <w:t>Human Authority Manager should approve/clarify the source and responsible specialist owner before safety guidance is finalised.</w:t>
            </w:r>
          </w:p>
        </w:tc>
      </w:tr>
      <w:tr>
        <w:trPr>
          <w:cantSplit/>
        </w:trPr>
        <w:tc>
          <w:tcPr>
            <w:tcW w:type="dxa" w:w="792"/>
            <w:tcMar>
              <w:top w:w="70" w:type="dxa"/>
              <w:start w:w="75" w:type="dxa"/>
              <w:bottom w:w="70" w:type="dxa"/>
              <w:end w:w="75" w:type="dxa"/>
            </w:tcMar>
            <w:vAlign w:val="center"/>
          </w:tcPr>
          <w:p>
            <w:pPr>
              <w:spacing w:after="0" w:before="0" w:line="240" w:lineRule="auto"/>
            </w:pPr>
            <w:r>
              <w:rPr>
                <w:rFonts w:ascii="Aptos" w:hAnsi="Aptos"/>
                <w:sz w:val="16"/>
              </w:rPr>
              <w:t>HP-003</w:t>
            </w:r>
          </w:p>
        </w:tc>
        <w:tc>
          <w:tcPr>
            <w:tcW w:type="dxa" w:w="2232"/>
            <w:tcMar>
              <w:top w:w="70" w:type="dxa"/>
              <w:start w:w="75" w:type="dxa"/>
              <w:bottom w:w="70" w:type="dxa"/>
              <w:end w:w="75" w:type="dxa"/>
            </w:tcMar>
            <w:vAlign w:val="center"/>
          </w:tcPr>
          <w:p>
            <w:pPr>
              <w:spacing w:after="0" w:before="0" w:line="240" w:lineRule="auto"/>
            </w:pPr>
            <w:r>
              <w:rPr>
                <w:rFonts w:ascii="Aptos" w:hAnsi="Aptos"/>
                <w:sz w:val="16"/>
              </w:rPr>
              <w:t>Original party images and permission/provenance (F-06; C-10; O-04)</w:t>
            </w:r>
          </w:p>
        </w:tc>
        <w:tc>
          <w:tcPr>
            <w:tcW w:type="dxa" w:w="1655"/>
            <w:tcMar>
              <w:top w:w="70" w:type="dxa"/>
              <w:start w:w="75" w:type="dxa"/>
              <w:bottom w:w="70" w:type="dxa"/>
              <w:end w:w="75" w:type="dxa"/>
            </w:tcMar>
            <w:vAlign w:val="center"/>
            <w:shd w:fill="FFF2CC"/>
          </w:tcPr>
          <w:p>
            <w:pPr>
              <w:spacing w:after="0" w:before="0" w:line="240" w:lineRule="auto"/>
            </w:pPr>
            <w:r>
              <w:rPr>
                <w:rFonts w:ascii="Aptos" w:hAnsi="Aptos"/>
                <w:sz w:val="16"/>
              </w:rPr>
              <w:t>Validated with Qualification</w:t>
            </w:r>
          </w:p>
        </w:tc>
        <w:tc>
          <w:tcPr>
            <w:tcW w:type="dxa" w:w="2376"/>
            <w:tcMar>
              <w:top w:w="70" w:type="dxa"/>
              <w:start w:w="75" w:type="dxa"/>
              <w:bottom w:w="70" w:type="dxa"/>
              <w:end w:w="75" w:type="dxa"/>
            </w:tcMar>
            <w:vAlign w:val="center"/>
          </w:tcPr>
          <w:p>
            <w:pPr>
              <w:spacing w:after="0" w:before="0" w:line="240" w:lineRule="auto"/>
            </w:pPr>
            <w:r>
              <w:rPr>
                <w:rFonts w:ascii="Aptos" w:hAnsi="Aptos"/>
                <w:sz w:val="16"/>
              </w:rPr>
              <w:t>Architecture explicitly requires original party images; Handbook/AM safety criteria require permission controls.</w:t>
            </w:r>
          </w:p>
        </w:tc>
        <w:tc>
          <w:tcPr>
            <w:tcW w:type="dxa" w:w="1944"/>
            <w:tcMar>
              <w:top w:w="70" w:type="dxa"/>
              <w:start w:w="75" w:type="dxa"/>
              <w:bottom w:w="70" w:type="dxa"/>
              <w:end w:w="75" w:type="dxa"/>
            </w:tcMar>
            <w:vAlign w:val="center"/>
          </w:tcPr>
          <w:p>
            <w:pPr>
              <w:spacing w:after="0" w:before="0" w:line="240" w:lineRule="auto"/>
            </w:pPr>
            <w:r>
              <w:rPr>
                <w:rFonts w:ascii="Aptos" w:hAnsi="Aptos"/>
                <w:sz w:val="16"/>
              </w:rPr>
              <w:t>Ajith may identify assets, but consent/usage rights require supporting records; Brand Authority Builder should only receive approved assets.</w:t>
            </w:r>
          </w:p>
        </w:tc>
        <w:tc>
          <w:tcPr>
            <w:tcW w:type="dxa" w:w="1944"/>
            <w:tcMar>
              <w:top w:w="70" w:type="dxa"/>
              <w:start w:w="75" w:type="dxa"/>
              <w:bottom w:w="70" w:type="dxa"/>
              <w:end w:w="75" w:type="dxa"/>
            </w:tcMar>
            <w:vAlign w:val="center"/>
          </w:tcPr>
          <w:p>
            <w:pPr>
              <w:spacing w:after="0" w:before="0" w:line="240" w:lineRule="auto"/>
            </w:pPr>
            <w:r>
              <w:rPr>
                <w:rFonts w:ascii="Aptos" w:hAnsi="Aptos"/>
                <w:sz w:val="16"/>
              </w:rPr>
              <w:t>Collect provenance/permission first, then route approved proof assets for deeper authority assessment if needed.</w:t>
            </w:r>
          </w:p>
        </w:tc>
      </w:tr>
      <w:tr>
        <w:trPr>
          <w:cantSplit/>
        </w:trPr>
        <w:tc>
          <w:tcPr>
            <w:tcW w:type="dxa" w:w="792"/>
            <w:tcMar>
              <w:top w:w="70" w:type="dxa"/>
              <w:start w:w="75" w:type="dxa"/>
              <w:bottom w:w="70" w:type="dxa"/>
              <w:end w:w="75" w:type="dxa"/>
            </w:tcMar>
            <w:vAlign w:val="center"/>
          </w:tcPr>
          <w:p>
            <w:pPr>
              <w:spacing w:after="0" w:before="0" w:line="240" w:lineRule="auto"/>
            </w:pPr>
            <w:r>
              <w:rPr>
                <w:rFonts w:ascii="Aptos" w:hAnsi="Aptos"/>
                <w:sz w:val="16"/>
              </w:rPr>
              <w:t>HP-003</w:t>
            </w:r>
          </w:p>
        </w:tc>
        <w:tc>
          <w:tcPr>
            <w:tcW w:type="dxa" w:w="2232"/>
            <w:tcMar>
              <w:top w:w="70" w:type="dxa"/>
              <w:start w:w="75" w:type="dxa"/>
              <w:bottom w:w="70" w:type="dxa"/>
              <w:end w:w="75" w:type="dxa"/>
            </w:tcMar>
            <w:vAlign w:val="center"/>
          </w:tcPr>
          <w:p>
            <w:pPr>
              <w:spacing w:after="0" w:before="0" w:line="240" w:lineRule="auto"/>
            </w:pPr>
            <w:r>
              <w:rPr>
                <w:rFonts w:ascii="Aptos" w:hAnsi="Aptos"/>
                <w:sz w:val="16"/>
              </w:rPr>
              <w:t>Keyword and SERP evidence limitations (F-07; SE-03/04)</w:t>
            </w:r>
          </w:p>
        </w:tc>
        <w:tc>
          <w:tcPr>
            <w:tcW w:type="dxa" w:w="1655"/>
            <w:tcMar>
              <w:top w:w="70" w:type="dxa"/>
              <w:start w:w="75" w:type="dxa"/>
              <w:bottom w:w="70" w:type="dxa"/>
              <w:end w:w="75" w:type="dxa"/>
            </w:tcMar>
            <w:vAlign w:val="center"/>
            <w:shd w:fill="E2F0D9"/>
          </w:tcPr>
          <w:p>
            <w:pPr>
              <w:spacing w:after="0" w:before="0" w:line="240" w:lineRule="auto"/>
            </w:pPr>
            <w:r>
              <w:rPr>
                <w:rFonts w:ascii="Aptos" w:hAnsi="Aptos"/>
                <w:sz w:val="16"/>
              </w:rPr>
              <w:t>Validated</w:t>
            </w:r>
          </w:p>
        </w:tc>
        <w:tc>
          <w:tcPr>
            <w:tcW w:type="dxa" w:w="2376"/>
            <w:tcMar>
              <w:top w:w="70" w:type="dxa"/>
              <w:start w:w="75" w:type="dxa"/>
              <w:bottom w:w="70" w:type="dxa"/>
              <w:end w:w="75" w:type="dxa"/>
            </w:tcMar>
            <w:vAlign w:val="center"/>
          </w:tcPr>
          <w:p>
            <w:pPr>
              <w:spacing w:after="0" w:before="0" w:line="240" w:lineRule="auto"/>
            </w:pPr>
            <w:r>
              <w:rPr>
                <w:rFonts w:ascii="Aptos" w:hAnsi="Aptos"/>
                <w:sz w:val="16"/>
              </w:rPr>
              <w:t>“house party ideas” is mapped at 50 nominal Melbourne-segmented searches; SERP observation supports detailed informational format but not guaranteed performance.</w:t>
            </w:r>
          </w:p>
        </w:tc>
        <w:tc>
          <w:tcPr>
            <w:tcW w:type="dxa" w:w="1944"/>
            <w:tcMar>
              <w:top w:w="70" w:type="dxa"/>
              <w:start w:w="75" w:type="dxa"/>
              <w:bottom w:w="70" w:type="dxa"/>
              <w:end w:w="75" w:type="dxa"/>
            </w:tcMar>
            <w:vAlign w:val="center"/>
          </w:tcPr>
          <w:p>
            <w:pPr>
              <w:spacing w:after="0" w:before="0" w:line="240" w:lineRule="auto"/>
            </w:pPr>
            <w:r>
              <w:rPr>
                <w:rFonts w:ascii="Aptos" w:hAnsi="Aptos"/>
                <w:sz w:val="16"/>
              </w:rPr>
              <w:t>None.</w:t>
            </w:r>
          </w:p>
        </w:tc>
        <w:tc>
          <w:tcPr>
            <w:tcW w:type="dxa" w:w="1944"/>
            <w:tcMar>
              <w:top w:w="70" w:type="dxa"/>
              <w:start w:w="75" w:type="dxa"/>
              <w:bottom w:w="70" w:type="dxa"/>
              <w:end w:w="75" w:type="dxa"/>
            </w:tcMar>
            <w:vAlign w:val="center"/>
          </w:tcPr>
          <w:p>
            <w:pPr>
              <w:spacing w:after="0" w:before="0" w:line="240" w:lineRule="auto"/>
            </w:pPr>
            <w:r>
              <w:rPr>
                <w:rFonts w:ascii="Aptos" w:hAnsi="Aptos"/>
                <w:sz w:val="16"/>
              </w:rPr>
              <w:t>Use keywords unchanged as inputs; do not present 50 as national demand or SERP pattern as ranking proof.</w:t>
            </w:r>
          </w:p>
        </w:tc>
      </w:tr>
      <w:tr>
        <w:trPr>
          <w:cantSplit/>
        </w:trPr>
        <w:tc>
          <w:tcPr>
            <w:tcW w:type="dxa" w:w="792"/>
            <w:tcMar>
              <w:top w:w="70" w:type="dxa"/>
              <w:start w:w="75" w:type="dxa"/>
              <w:bottom w:w="70" w:type="dxa"/>
              <w:end w:w="75" w:type="dxa"/>
            </w:tcMar>
            <w:vAlign w:val="center"/>
          </w:tcPr>
          <w:p>
            <w:pPr>
              <w:spacing w:after="0" w:before="0" w:line="240" w:lineRule="auto"/>
            </w:pPr>
            <w:r>
              <w:rPr>
                <w:rFonts w:ascii="Aptos" w:hAnsi="Aptos"/>
                <w:sz w:val="16"/>
              </w:rPr>
              <w:t>HP-003</w:t>
            </w:r>
          </w:p>
        </w:tc>
        <w:tc>
          <w:tcPr>
            <w:tcW w:type="dxa" w:w="2232"/>
            <w:tcMar>
              <w:top w:w="70" w:type="dxa"/>
              <w:start w:w="75" w:type="dxa"/>
              <w:bottom w:w="70" w:type="dxa"/>
              <w:end w:w="75" w:type="dxa"/>
            </w:tcMar>
            <w:vAlign w:val="center"/>
          </w:tcPr>
          <w:p>
            <w:pPr>
              <w:spacing w:after="0" w:before="0" w:line="240" w:lineRule="auto"/>
            </w:pPr>
            <w:r>
              <w:rPr>
                <w:rFonts w:ascii="Aptos" w:hAnsi="Aptos"/>
                <w:sz w:val="16"/>
              </w:rPr>
              <w:t>Legacy ideas-page migration and direct redirect (F-08; SE-05)</w:t>
            </w:r>
          </w:p>
        </w:tc>
        <w:tc>
          <w:tcPr>
            <w:tcW w:type="dxa" w:w="1655"/>
            <w:tcMar>
              <w:top w:w="70" w:type="dxa"/>
              <w:start w:w="75" w:type="dxa"/>
              <w:bottom w:w="70" w:type="dxa"/>
              <w:end w:w="75" w:type="dxa"/>
            </w:tcMar>
            <w:vAlign w:val="center"/>
            <w:shd w:fill="E2F0D9"/>
          </w:tcPr>
          <w:p>
            <w:pPr>
              <w:spacing w:after="0" w:before="0" w:line="240" w:lineRule="auto"/>
            </w:pPr>
            <w:r>
              <w:rPr>
                <w:rFonts w:ascii="Aptos" w:hAnsi="Aptos"/>
                <w:sz w:val="16"/>
              </w:rPr>
              <w:t>Validated</w:t>
            </w:r>
          </w:p>
        </w:tc>
        <w:tc>
          <w:tcPr>
            <w:tcW w:type="dxa" w:w="2376"/>
            <w:tcMar>
              <w:top w:w="70" w:type="dxa"/>
              <w:start w:w="75" w:type="dxa"/>
              <w:bottom w:w="70" w:type="dxa"/>
              <w:end w:w="75" w:type="dxa"/>
            </w:tcMar>
            <w:vAlign w:val="center"/>
          </w:tcPr>
          <w:p>
            <w:pPr>
              <w:spacing w:after="0" w:before="0" w:line="240" w:lineRule="auto"/>
            </w:pPr>
            <w:r>
              <w:rPr>
                <w:rFonts w:ascii="Aptos" w:hAnsi="Aptos"/>
                <w:sz w:val="16"/>
              </w:rPr>
              <w:t>Consolidation requires archived-content review, transfer of unique useful material and a direct redirect to HP-003 after launch; legacy GA4 data is limited.</w:t>
            </w:r>
          </w:p>
        </w:tc>
        <w:tc>
          <w:tcPr>
            <w:tcW w:type="dxa" w:w="1944"/>
            <w:tcMar>
              <w:top w:w="70" w:type="dxa"/>
              <w:start w:w="75" w:type="dxa"/>
              <w:bottom w:w="70" w:type="dxa"/>
              <w:end w:w="75" w:type="dxa"/>
            </w:tcMar>
            <w:vAlign w:val="center"/>
          </w:tcPr>
          <w:p>
            <w:pPr>
              <w:spacing w:after="0" w:before="0" w:line="240" w:lineRule="auto"/>
            </w:pPr>
            <w:r>
              <w:rPr>
                <w:rFonts w:ascii="Aptos" w:hAnsi="Aptos"/>
                <w:sz w:val="16"/>
              </w:rPr>
              <w:t>None.</w:t>
            </w:r>
          </w:p>
        </w:tc>
        <w:tc>
          <w:tcPr>
            <w:tcW w:type="dxa" w:w="1944"/>
            <w:tcMar>
              <w:top w:w="70" w:type="dxa"/>
              <w:start w:w="75" w:type="dxa"/>
              <w:bottom w:w="70" w:type="dxa"/>
              <w:end w:w="75" w:type="dxa"/>
            </w:tcMar>
            <w:vAlign w:val="center"/>
          </w:tcPr>
          <w:p>
            <w:pPr>
              <w:spacing w:after="0" w:before="0" w:line="240" w:lineRule="auto"/>
            </w:pPr>
            <w:r>
              <w:rPr>
                <w:rFonts w:ascii="Aptos" w:hAnsi="Aptos"/>
                <w:sz w:val="16"/>
              </w:rPr>
              <w:t>Review retained content for currency/provenance, then Technical SEO implements the direct redirect.</w:t>
            </w:r>
          </w:p>
        </w:tc>
      </w:tr>
      <w:tr>
        <w:trPr>
          <w:cantSplit/>
        </w:trPr>
        <w:tc>
          <w:tcPr>
            <w:tcW w:type="dxa" w:w="792"/>
            <w:tcMar>
              <w:top w:w="70" w:type="dxa"/>
              <w:start w:w="75" w:type="dxa"/>
              <w:bottom w:w="70" w:type="dxa"/>
              <w:end w:w="75" w:type="dxa"/>
            </w:tcMar>
            <w:vAlign w:val="center"/>
          </w:tcPr>
          <w:p>
            <w:pPr>
              <w:spacing w:after="0" w:before="0" w:line="240" w:lineRule="auto"/>
            </w:pPr>
            <w:r>
              <w:rPr>
                <w:rFonts w:ascii="Aptos" w:hAnsi="Aptos"/>
                <w:sz w:val="16"/>
              </w:rPr>
              <w:t>HP-003</w:t>
            </w:r>
          </w:p>
        </w:tc>
        <w:tc>
          <w:tcPr>
            <w:tcW w:type="dxa" w:w="2232"/>
            <w:tcMar>
              <w:top w:w="70" w:type="dxa"/>
              <w:start w:w="75" w:type="dxa"/>
              <w:bottom w:w="70" w:type="dxa"/>
              <w:end w:w="75" w:type="dxa"/>
            </w:tcMar>
            <w:vAlign w:val="center"/>
          </w:tcPr>
          <w:p>
            <w:pPr>
              <w:spacing w:after="0" w:before="0" w:line="240" w:lineRule="auto"/>
            </w:pPr>
            <w:r>
              <w:rPr>
                <w:rFonts w:ascii="Aptos" w:hAnsi="Aptos"/>
                <w:sz w:val="16"/>
              </w:rPr>
              <w:t>Internal-link implementation (F-09; O-06)</w:t>
            </w:r>
          </w:p>
        </w:tc>
        <w:tc>
          <w:tcPr>
            <w:tcW w:type="dxa" w:w="1655"/>
            <w:tcMar>
              <w:top w:w="70" w:type="dxa"/>
              <w:start w:w="75" w:type="dxa"/>
              <w:bottom w:w="70" w:type="dxa"/>
              <w:end w:w="75" w:type="dxa"/>
            </w:tcMar>
            <w:vAlign w:val="center"/>
            <w:shd w:fill="FFF2CC"/>
          </w:tcPr>
          <w:p>
            <w:pPr>
              <w:spacing w:after="0" w:before="0" w:line="240" w:lineRule="auto"/>
            </w:pPr>
            <w:r>
              <w:rPr>
                <w:rFonts w:ascii="Aptos" w:hAnsi="Aptos"/>
                <w:sz w:val="16"/>
              </w:rPr>
              <w:t>Validated with Qualification</w:t>
            </w:r>
          </w:p>
        </w:tc>
        <w:tc>
          <w:tcPr>
            <w:tcW w:type="dxa" w:w="2376"/>
            <w:tcMar>
              <w:top w:w="70" w:type="dxa"/>
              <w:start w:w="75" w:type="dxa"/>
              <w:bottom w:w="70" w:type="dxa"/>
              <w:end w:w="75" w:type="dxa"/>
            </w:tcMar>
            <w:vAlign w:val="center"/>
          </w:tcPr>
          <w:p>
            <w:pPr>
              <w:spacing w:after="0" w:before="0" w:line="240" w:lineRule="auto"/>
            </w:pPr>
            <w:r>
              <w:rPr>
                <w:rFonts w:ascii="Aptos" w:hAnsi="Aptos"/>
                <w:sz w:val="16"/>
              </w:rPr>
              <w:t>Content Brief lists HP-001, HP-004, HP-005 and VRP-001; dedicated link table explicitly maps HP-001 &lt;-&gt; HP-003.</w:t>
            </w:r>
          </w:p>
        </w:tc>
        <w:tc>
          <w:tcPr>
            <w:tcW w:type="dxa" w:w="1944"/>
            <w:tcMar>
              <w:top w:w="70" w:type="dxa"/>
              <w:start w:w="75" w:type="dxa"/>
              <w:bottom w:w="70" w:type="dxa"/>
              <w:end w:w="75" w:type="dxa"/>
            </w:tcMar>
            <w:vAlign w:val="center"/>
          </w:tcPr>
          <w:p>
            <w:pPr>
              <w:spacing w:after="0" w:before="0" w:line="240" w:lineRule="auto"/>
            </w:pPr>
            <w:r>
              <w:rPr>
                <w:rFonts w:ascii="Aptos" w:hAnsi="Aptos"/>
                <w:sz w:val="16"/>
              </w:rPr>
              <w:t>Brief targets remain approved. The issue is implementation completeness, not a conflict between approved sources.</w:t>
            </w:r>
          </w:p>
        </w:tc>
        <w:tc>
          <w:tcPr>
            <w:tcW w:type="dxa" w:w="1944"/>
            <w:tcMar>
              <w:top w:w="70" w:type="dxa"/>
              <w:start w:w="75" w:type="dxa"/>
              <w:bottom w:w="70" w:type="dxa"/>
              <w:end w:w="75" w:type="dxa"/>
            </w:tcMar>
            <w:vAlign w:val="center"/>
          </w:tcPr>
          <w:p>
            <w:pPr>
              <w:spacing w:after="0" w:before="0" w:line="240" w:lineRule="auto"/>
            </w:pPr>
            <w:r>
              <w:rPr>
                <w:rFonts w:ascii="Aptos" w:hAnsi="Aptos"/>
                <w:sz w:val="16"/>
              </w:rPr>
              <w:t>Technical SEO/Content confirm final source-target implementation without changing page ownership.</w:t>
            </w:r>
          </w:p>
        </w:tc>
      </w:tr>
      <w:tr>
        <w:trPr>
          <w:cantSplit/>
        </w:trPr>
        <w:tc>
          <w:tcPr>
            <w:tcW w:type="dxa" w:w="792"/>
            <w:tcMar>
              <w:top w:w="70" w:type="dxa"/>
              <w:start w:w="75" w:type="dxa"/>
              <w:bottom w:w="70" w:type="dxa"/>
              <w:end w:w="75" w:type="dxa"/>
            </w:tcMar>
            <w:vAlign w:val="center"/>
          </w:tcPr>
          <w:p>
            <w:pPr>
              <w:spacing w:after="0" w:before="0" w:line="240" w:lineRule="auto"/>
            </w:pPr>
            <w:r>
              <w:rPr>
                <w:rFonts w:ascii="Aptos" w:hAnsi="Aptos"/>
                <w:sz w:val="16"/>
              </w:rPr>
              <w:t>HP-003</w:t>
            </w:r>
          </w:p>
        </w:tc>
        <w:tc>
          <w:tcPr>
            <w:tcW w:type="dxa" w:w="2232"/>
            <w:tcMar>
              <w:top w:w="70" w:type="dxa"/>
              <w:start w:w="75" w:type="dxa"/>
              <w:bottom w:w="70" w:type="dxa"/>
              <w:end w:w="75" w:type="dxa"/>
            </w:tcMar>
            <w:vAlign w:val="center"/>
          </w:tcPr>
          <w:p>
            <w:pPr>
              <w:spacing w:after="0" w:before="0" w:line="240" w:lineRule="auto"/>
            </w:pPr>
            <w:r>
              <w:rPr>
                <w:rFonts w:ascii="Aptos" w:hAnsi="Aptos"/>
                <w:sz w:val="16"/>
              </w:rPr>
              <w:t>KaptureVR/competitor observation and specialist routing (F-10; SE-08)</w:t>
            </w:r>
          </w:p>
        </w:tc>
        <w:tc>
          <w:tcPr>
            <w:tcW w:type="dxa" w:w="1655"/>
            <w:tcMar>
              <w:top w:w="70" w:type="dxa"/>
              <w:start w:w="75" w:type="dxa"/>
              <w:bottom w:w="70" w:type="dxa"/>
              <w:end w:w="75" w:type="dxa"/>
            </w:tcMar>
            <w:vAlign w:val="center"/>
            <w:shd w:fill="FFF2CC"/>
          </w:tcPr>
          <w:p>
            <w:pPr>
              <w:spacing w:after="0" w:before="0" w:line="240" w:lineRule="auto"/>
            </w:pPr>
            <w:r>
              <w:rPr>
                <w:rFonts w:ascii="Aptos" w:hAnsi="Aptos"/>
                <w:sz w:val="16"/>
              </w:rPr>
              <w:t>Validated with Qualification</w:t>
            </w:r>
          </w:p>
        </w:tc>
        <w:tc>
          <w:tcPr>
            <w:tcW w:type="dxa" w:w="2376"/>
            <w:tcMar>
              <w:top w:w="70" w:type="dxa"/>
              <w:start w:w="75" w:type="dxa"/>
              <w:bottom w:w="70" w:type="dxa"/>
              <w:end w:w="75" w:type="dxa"/>
            </w:tcMar>
            <w:vAlign w:val="center"/>
          </w:tcPr>
          <w:p>
            <w:pPr>
              <w:spacing w:after="0" w:before="0" w:line="240" w:lineRule="auto"/>
            </w:pPr>
            <w:r>
              <w:rPr>
                <w:rFonts w:ascii="Aptos" w:hAnsi="Aptos"/>
                <w:sz w:val="16"/>
              </w:rPr>
              <w:t>KaptureVR observation supports mobile-service clarity only; no competitor performance/backlink/coverage data is approved.</w:t>
            </w:r>
          </w:p>
        </w:tc>
        <w:tc>
          <w:tcPr>
            <w:tcW w:type="dxa" w:w="1944"/>
            <w:tcMar>
              <w:top w:w="70" w:type="dxa"/>
              <w:start w:w="75" w:type="dxa"/>
              <w:bottom w:w="70" w:type="dxa"/>
              <w:end w:w="75" w:type="dxa"/>
            </w:tcMar>
            <w:vAlign w:val="center"/>
          </w:tcPr>
          <w:p>
            <w:pPr>
              <w:spacing w:after="0" w:before="0" w:line="240" w:lineRule="auto"/>
            </w:pPr>
            <w:r>
              <w:rPr>
                <w:rFonts w:ascii="Aptos" w:hAnsi="Aptos"/>
                <w:sz w:val="16"/>
              </w:rPr>
              <w:t>Do not use the KaptureVR observation to substantiate HP-003 comparison judgements; it is only service-pattern context for the hosted-VR option.</w:t>
            </w:r>
          </w:p>
        </w:tc>
        <w:tc>
          <w:tcPr>
            <w:tcW w:type="dxa" w:w="1944"/>
            <w:tcMar>
              <w:top w:w="70" w:type="dxa"/>
              <w:start w:w="75" w:type="dxa"/>
              <w:bottom w:w="70" w:type="dxa"/>
              <w:end w:w="75" w:type="dxa"/>
            </w:tcMar>
            <w:vAlign w:val="center"/>
          </w:tcPr>
          <w:p>
            <w:pPr>
              <w:spacing w:after="0" w:before="0" w:line="240" w:lineRule="auto"/>
            </w:pPr>
            <w:r>
              <w:rPr>
                <w:rFonts w:ascii="Aptos" w:hAnsi="Aptos"/>
                <w:sz w:val="16"/>
              </w:rPr>
              <w:t>Route deeper competitor authority work only if needed; do not infer superiority/performance.</w:t>
            </w:r>
          </w:p>
        </w:tc>
      </w:tr>
      <w:tr>
        <w:trPr>
          <w:cantSplit/>
        </w:trPr>
        <w:tc>
          <w:tcPr>
            <w:tcW w:type="dxa" w:w="792"/>
            <w:tcMar>
              <w:top w:w="70" w:type="dxa"/>
              <w:start w:w="75" w:type="dxa"/>
              <w:bottom w:w="70" w:type="dxa"/>
              <w:end w:w="75" w:type="dxa"/>
            </w:tcMar>
            <w:vAlign w:val="center"/>
          </w:tcPr>
          <w:p>
            <w:pPr>
              <w:spacing w:after="0" w:before="0" w:line="240" w:lineRule="auto"/>
            </w:pPr>
            <w:r>
              <w:rPr>
                <w:rFonts w:ascii="Aptos" w:hAnsi="Aptos"/>
                <w:sz w:val="16"/>
              </w:rPr>
              <w:t>HP-003</w:t>
            </w:r>
          </w:p>
        </w:tc>
        <w:tc>
          <w:tcPr>
            <w:tcW w:type="dxa" w:w="2232"/>
            <w:tcMar>
              <w:top w:w="70" w:type="dxa"/>
              <w:start w:w="75" w:type="dxa"/>
              <w:bottom w:w="70" w:type="dxa"/>
              <w:end w:w="75" w:type="dxa"/>
            </w:tcMar>
            <w:vAlign w:val="center"/>
          </w:tcPr>
          <w:p>
            <w:pPr>
              <w:spacing w:after="0" w:before="0" w:line="240" w:lineRule="auto"/>
            </w:pPr>
            <w:r>
              <w:rPr>
                <w:rFonts w:ascii="Aptos" w:hAnsi="Aptos"/>
                <w:sz w:val="16"/>
              </w:rPr>
              <w:t>Post-launch measurement dependency and 10% commercial-owner rule (F-11; SE-07)</w:t>
            </w:r>
          </w:p>
        </w:tc>
        <w:tc>
          <w:tcPr>
            <w:tcW w:type="dxa" w:w="1655"/>
            <w:tcMar>
              <w:top w:w="70" w:type="dxa"/>
              <w:start w:w="75" w:type="dxa"/>
              <w:bottom w:w="70" w:type="dxa"/>
              <w:end w:w="75" w:type="dxa"/>
            </w:tcMar>
            <w:vAlign w:val="center"/>
            <w:shd w:fill="E2F0D9"/>
          </w:tcPr>
          <w:p>
            <w:pPr>
              <w:spacing w:after="0" w:before="0" w:line="240" w:lineRule="auto"/>
            </w:pPr>
            <w:r>
              <w:rPr>
                <w:rFonts w:ascii="Aptos" w:hAnsi="Aptos"/>
                <w:sz w:val="16"/>
              </w:rPr>
              <w:t>Validated</w:t>
            </w:r>
          </w:p>
        </w:tc>
        <w:tc>
          <w:tcPr>
            <w:tcW w:type="dxa" w:w="2376"/>
            <w:tcMar>
              <w:top w:w="70" w:type="dxa"/>
              <w:start w:w="75" w:type="dxa"/>
              <w:bottom w:w="70" w:type="dxa"/>
              <w:end w:w="75" w:type="dxa"/>
            </w:tcMar>
            <w:vAlign w:val="center"/>
          </w:tcPr>
          <w:p>
            <w:pPr>
              <w:spacing w:after="0" w:before="0" w:line="240" w:lineRule="auto"/>
            </w:pPr>
            <w:r>
              <w:rPr>
                <w:rFonts w:ascii="Aptos" w:hAnsi="Aptos"/>
                <w:sz w:val="16"/>
              </w:rPr>
              <w:t>Measurement Plan explicitly contains the &lt;10% continuation rule after three months and analytics caveats.</w:t>
            </w:r>
          </w:p>
        </w:tc>
        <w:tc>
          <w:tcPr>
            <w:tcW w:type="dxa" w:w="1944"/>
            <w:tcMar>
              <w:top w:w="70" w:type="dxa"/>
              <w:start w:w="75" w:type="dxa"/>
              <w:bottom w:w="70" w:type="dxa"/>
              <w:end w:w="75" w:type="dxa"/>
            </w:tcMar>
            <w:vAlign w:val="center"/>
          </w:tcPr>
          <w:p>
            <w:pPr>
              <w:spacing w:after="0" w:before="0" w:line="240" w:lineRule="auto"/>
            </w:pPr>
            <w:r>
              <w:rPr>
                <w:rFonts w:ascii="Aptos" w:hAnsi="Aptos"/>
                <w:sz w:val="16"/>
              </w:rPr>
              <w:t>None.</w:t>
            </w:r>
          </w:p>
        </w:tc>
        <w:tc>
          <w:tcPr>
            <w:tcW w:type="dxa" w:w="1944"/>
            <w:tcMar>
              <w:top w:w="70" w:type="dxa"/>
              <w:start w:w="75" w:type="dxa"/>
              <w:bottom w:w="70" w:type="dxa"/>
              <w:end w:w="75" w:type="dxa"/>
            </w:tcMar>
            <w:vAlign w:val="center"/>
          </w:tcPr>
          <w:p>
            <w:pPr>
              <w:spacing w:after="0" w:before="0" w:line="240" w:lineRule="auto"/>
            </w:pPr>
            <w:r>
              <w:rPr>
                <w:rFonts w:ascii="Aptos" w:hAnsi="Aptos"/>
                <w:sz w:val="16"/>
              </w:rPr>
              <w:t>Analytics validates governed events and measures post-launch outcomes; do not use legacy data as HP-003 performance proof.</w:t>
            </w:r>
          </w:p>
        </w:tc>
      </w:tr>
      <w:tr>
        <w:trPr>
          <w:cantSplit/>
        </w:trPr>
        <w:tc>
          <w:tcPr>
            <w:tcW w:type="dxa" w:w="792"/>
            <w:tcMar>
              <w:top w:w="70" w:type="dxa"/>
              <w:start w:w="75" w:type="dxa"/>
              <w:bottom w:w="70" w:type="dxa"/>
              <w:end w:w="75" w:type="dxa"/>
            </w:tcMar>
            <w:vAlign w:val="center"/>
          </w:tcPr>
          <w:p>
            <w:pPr>
              <w:spacing w:after="0" w:before="0" w:line="240" w:lineRule="auto"/>
            </w:pPr>
            <w:r>
              <w:rPr>
                <w:rFonts w:ascii="Aptos" w:hAnsi="Aptos"/>
                <w:sz w:val="16"/>
              </w:rPr>
              <w:t>HP-003</w:t>
            </w:r>
          </w:p>
        </w:tc>
        <w:tc>
          <w:tcPr>
            <w:tcW w:type="dxa" w:w="2232"/>
            <w:tcMar>
              <w:top w:w="70" w:type="dxa"/>
              <w:start w:w="75" w:type="dxa"/>
              <w:bottom w:w="70" w:type="dxa"/>
              <w:end w:w="75" w:type="dxa"/>
            </w:tcMar>
            <w:vAlign w:val="center"/>
          </w:tcPr>
          <w:p>
            <w:pPr>
              <w:spacing w:after="0" w:before="0" w:line="240" w:lineRule="auto"/>
            </w:pPr>
            <w:r>
              <w:rPr>
                <w:rFonts w:ascii="Aptos" w:hAnsi="Aptos"/>
                <w:sz w:val="16"/>
              </w:rPr>
              <w:t>Development Readiness Status</w:t>
            </w:r>
          </w:p>
        </w:tc>
        <w:tc>
          <w:tcPr>
            <w:tcW w:type="dxa" w:w="1655"/>
            <w:tcMar>
              <w:top w:w="70" w:type="dxa"/>
              <w:start w:w="75" w:type="dxa"/>
              <w:bottom w:w="70" w:type="dxa"/>
              <w:end w:w="75" w:type="dxa"/>
            </w:tcMar>
            <w:vAlign w:val="center"/>
            <w:shd w:fill="FFF2CC"/>
          </w:tcPr>
          <w:p>
            <w:pPr>
              <w:spacing w:after="0" w:before="0" w:line="240" w:lineRule="auto"/>
            </w:pPr>
            <w:r>
              <w:rPr>
                <w:rFonts w:ascii="Aptos" w:hAnsi="Aptos"/>
                <w:sz w:val="16"/>
              </w:rPr>
              <w:t>Validated with Qualification</w:t>
            </w:r>
          </w:p>
        </w:tc>
        <w:tc>
          <w:tcPr>
            <w:tcW w:type="dxa" w:w="2376"/>
            <w:tcMar>
              <w:top w:w="70" w:type="dxa"/>
              <w:start w:w="75" w:type="dxa"/>
              <w:bottom w:w="70" w:type="dxa"/>
              <w:end w:w="75" w:type="dxa"/>
            </w:tcMar>
            <w:vAlign w:val="center"/>
          </w:tcPr>
          <w:p>
            <w:pPr>
              <w:spacing w:after="0" w:before="0" w:line="240" w:lineRule="auto"/>
            </w:pPr>
            <w:r>
              <w:rPr>
                <w:rFonts w:ascii="Aptos" w:hAnsi="Aptos"/>
                <w:sz w:val="16"/>
              </w:rPr>
              <w:t>The page can progress structurally, but evidence-led comparative claims require methodology, operational material, proof assets and approved safety guidance.</w:t>
            </w:r>
          </w:p>
        </w:tc>
        <w:tc>
          <w:tcPr>
            <w:tcW w:type="dxa" w:w="1944"/>
            <w:tcMar>
              <w:top w:w="70" w:type="dxa"/>
              <w:start w:w="75" w:type="dxa"/>
              <w:bottom w:w="70" w:type="dxa"/>
              <w:end w:w="75" w:type="dxa"/>
            </w:tcMar>
            <w:vAlign w:val="center"/>
          </w:tcPr>
          <w:p>
            <w:pPr>
              <w:spacing w:after="0" w:before="0" w:line="240" w:lineRule="auto"/>
            </w:pPr>
            <w:r>
              <w:rPr>
                <w:rFonts w:ascii="Aptos" w:hAnsi="Aptos"/>
                <w:sz w:val="16"/>
              </w:rPr>
              <w:t>“Owner input” applies only to ViriVr operational evidence; comparison methodology, safety source and permissions have separate owners.</w:t>
            </w:r>
          </w:p>
        </w:tc>
        <w:tc>
          <w:tcPr>
            <w:tcW w:type="dxa" w:w="1944"/>
            <w:tcMar>
              <w:top w:w="70" w:type="dxa"/>
              <w:start w:w="75" w:type="dxa"/>
              <w:bottom w:w="70" w:type="dxa"/>
              <w:end w:w="75" w:type="dxa"/>
            </w:tcMar>
            <w:vAlign w:val="center"/>
          </w:tcPr>
          <w:p>
            <w:pPr>
              <w:spacing w:after="0" w:before="0" w:line="240" w:lineRule="auto"/>
            </w:pPr>
            <w:r>
              <w:rPr>
                <w:rFonts w:ascii="Aptos" w:hAnsi="Aptos"/>
                <w:sz w:val="16"/>
              </w:rPr>
              <w:t>Retain: Ready for Development with Conditions — Evidence and Owner Input Required.</w:t>
            </w:r>
          </w:p>
        </w:tc>
      </w:tr>
    </w:tbl>
    <w:p>
      <w:pPr>
        <w:pStyle w:val="Heading1"/>
      </w:pPr>
      <w:r>
        <w:t>4. Page Validation Summary</w:t>
      </w:r>
    </w:p>
    <w:tbl>
      <w:tblPr>
        <w:tblStyle w:val="TableGrid"/>
        <w:tblW w:type="auto" w:w="0"/>
        <w:jc w:val="center"/>
        <w:tblLayout w:type="fixed"/>
        <w:tblLook w:firstColumn="1" w:firstRow="1" w:lastColumn="0" w:lastRow="0" w:noHBand="0" w:noVBand="1" w:val="04A0"/>
      </w:tblPr>
      <w:tblGrid>
        <w:gridCol w:w="1563"/>
        <w:gridCol w:w="1563"/>
        <w:gridCol w:w="1563"/>
        <w:gridCol w:w="1563"/>
        <w:gridCol w:w="1563"/>
        <w:gridCol w:w="1563"/>
        <w:gridCol w:w="1563"/>
      </w:tblGrid>
      <w:tr>
        <w:trPr>
          <w:cantSplit/>
          <w:tblHeader w:val="true"/>
        </w:trPr>
        <w:tc>
          <w:tcPr>
            <w:tcW w:type="dxa" w:w="792"/>
            <w:tcMar>
              <w:top w:w="70" w:type="dxa"/>
              <w:start w:w="75" w:type="dxa"/>
              <w:bottom w:w="70" w:type="dxa"/>
              <w:end w:w="75" w:type="dxa"/>
            </w:tcMar>
            <w:vAlign w:val="center"/>
            <w:shd w:fill="17365D"/>
          </w:tcPr>
          <w:p>
            <w:pPr>
              <w:spacing w:after="0" w:before="0" w:line="240" w:lineRule="auto"/>
            </w:pPr>
            <w:r>
              <w:rPr>
                <w:rFonts w:ascii="Aptos" w:hAnsi="Aptos"/>
                <w:b/>
                <w:color w:val="FFFFFF"/>
                <w:sz w:val="16"/>
              </w:rPr>
              <w:t>Page</w:t>
            </w:r>
          </w:p>
        </w:tc>
        <w:tc>
          <w:tcPr>
            <w:tcW w:type="dxa" w:w="792"/>
            <w:tcMar>
              <w:top w:w="70" w:type="dxa"/>
              <w:start w:w="75" w:type="dxa"/>
              <w:bottom w:w="70" w:type="dxa"/>
              <w:end w:w="75" w:type="dxa"/>
            </w:tcMar>
            <w:vAlign w:val="center"/>
            <w:shd w:fill="17365D"/>
          </w:tcPr>
          <w:p>
            <w:pPr>
              <w:spacing w:after="0" w:before="0" w:line="240" w:lineRule="auto"/>
            </w:pPr>
            <w:r>
              <w:rPr>
                <w:rFonts w:ascii="Aptos" w:hAnsi="Aptos"/>
                <w:b/>
                <w:color w:val="FFFFFF"/>
                <w:sz w:val="16"/>
              </w:rPr>
              <w:t>Validated</w:t>
            </w:r>
          </w:p>
        </w:tc>
        <w:tc>
          <w:tcPr>
            <w:tcW w:type="dxa" w:w="936"/>
            <w:tcMar>
              <w:top w:w="70" w:type="dxa"/>
              <w:start w:w="75" w:type="dxa"/>
              <w:bottom w:w="70" w:type="dxa"/>
              <w:end w:w="75" w:type="dxa"/>
            </w:tcMar>
            <w:vAlign w:val="center"/>
            <w:shd w:fill="17365D"/>
          </w:tcPr>
          <w:p>
            <w:pPr>
              <w:spacing w:after="0" w:before="0" w:line="240" w:lineRule="auto"/>
            </w:pPr>
            <w:r>
              <w:rPr>
                <w:rFonts w:ascii="Aptos" w:hAnsi="Aptos"/>
                <w:b/>
                <w:color w:val="FFFFFF"/>
                <w:sz w:val="16"/>
              </w:rPr>
              <w:t>Qualified</w:t>
            </w:r>
          </w:p>
        </w:tc>
        <w:tc>
          <w:tcPr>
            <w:tcW w:type="dxa" w:w="1152"/>
            <w:tcMar>
              <w:top w:w="70" w:type="dxa"/>
              <w:start w:w="75" w:type="dxa"/>
              <w:bottom w:w="70" w:type="dxa"/>
              <w:end w:w="75" w:type="dxa"/>
            </w:tcMar>
            <w:vAlign w:val="center"/>
            <w:shd w:fill="17365D"/>
          </w:tcPr>
          <w:p>
            <w:pPr>
              <w:spacing w:after="0" w:before="0" w:line="240" w:lineRule="auto"/>
            </w:pPr>
            <w:r>
              <w:rPr>
                <w:rFonts w:ascii="Aptos" w:hAnsi="Aptos"/>
                <w:b/>
                <w:color w:val="FFFFFF"/>
                <w:sz w:val="16"/>
              </w:rPr>
              <w:t>Human clarification</w:t>
            </w:r>
          </w:p>
        </w:tc>
        <w:tc>
          <w:tcPr>
            <w:tcW w:type="dxa" w:w="936"/>
            <w:tcMar>
              <w:top w:w="70" w:type="dxa"/>
              <w:start w:w="75" w:type="dxa"/>
              <w:bottom w:w="70" w:type="dxa"/>
              <w:end w:w="75" w:type="dxa"/>
            </w:tcMar>
            <w:vAlign w:val="center"/>
            <w:shd w:fill="17365D"/>
          </w:tcPr>
          <w:p>
            <w:pPr>
              <w:spacing w:after="0" w:before="0" w:line="240" w:lineRule="auto"/>
            </w:pPr>
            <w:r>
              <w:rPr>
                <w:rFonts w:ascii="Aptos" w:hAnsi="Aptos"/>
                <w:b/>
                <w:color w:val="FFFFFF"/>
                <w:sz w:val="16"/>
              </w:rPr>
              <w:t>Not supported</w:t>
            </w:r>
          </w:p>
        </w:tc>
        <w:tc>
          <w:tcPr>
            <w:tcW w:type="dxa" w:w="3096"/>
            <w:tcMar>
              <w:top w:w="70" w:type="dxa"/>
              <w:start w:w="75" w:type="dxa"/>
              <w:bottom w:w="70" w:type="dxa"/>
              <w:end w:w="75" w:type="dxa"/>
            </w:tcMar>
            <w:vAlign w:val="center"/>
            <w:shd w:fill="17365D"/>
          </w:tcPr>
          <w:p>
            <w:pPr>
              <w:spacing w:after="0" w:before="0" w:line="240" w:lineRule="auto"/>
            </w:pPr>
            <w:r>
              <w:rPr>
                <w:rFonts w:ascii="Aptos" w:hAnsi="Aptos"/>
                <w:b/>
                <w:color w:val="FFFFFF"/>
                <w:sz w:val="16"/>
              </w:rPr>
              <w:t>Validated Development Readiness</w:t>
            </w:r>
          </w:p>
        </w:tc>
        <w:tc>
          <w:tcPr>
            <w:tcW w:type="dxa" w:w="3240"/>
            <w:tcMar>
              <w:top w:w="70" w:type="dxa"/>
              <w:start w:w="75" w:type="dxa"/>
              <w:bottom w:w="70" w:type="dxa"/>
              <w:end w:w="75" w:type="dxa"/>
            </w:tcMar>
            <w:vAlign w:val="center"/>
            <w:shd w:fill="17365D"/>
          </w:tcPr>
          <w:p>
            <w:pPr>
              <w:spacing w:after="0" w:before="0" w:line="240" w:lineRule="auto"/>
            </w:pPr>
            <w:r>
              <w:rPr>
                <w:rFonts w:ascii="Aptos" w:hAnsi="Aptos"/>
                <w:b/>
                <w:color w:val="FFFFFF"/>
                <w:sz w:val="16"/>
              </w:rPr>
              <w:t>Summary</w:t>
            </w:r>
          </w:p>
        </w:tc>
      </w:tr>
      <w:tr>
        <w:trPr>
          <w:cantSplit/>
        </w:trPr>
        <w:tc>
          <w:tcPr>
            <w:tcW w:type="dxa" w:w="792"/>
            <w:tcMar>
              <w:top w:w="70" w:type="dxa"/>
              <w:start w:w="75" w:type="dxa"/>
              <w:bottom w:w="70" w:type="dxa"/>
              <w:end w:w="75" w:type="dxa"/>
            </w:tcMar>
            <w:vAlign w:val="center"/>
          </w:tcPr>
          <w:p>
            <w:pPr>
              <w:spacing w:after="0" w:before="0" w:line="240" w:lineRule="auto"/>
            </w:pPr>
            <w:r>
              <w:rPr>
                <w:rFonts w:ascii="Aptos" w:hAnsi="Aptos"/>
                <w:sz w:val="16"/>
              </w:rPr>
              <w:t>HP-001</w:t>
            </w:r>
          </w:p>
        </w:tc>
        <w:tc>
          <w:tcPr>
            <w:tcW w:type="dxa" w:w="792"/>
            <w:tcMar>
              <w:top w:w="70" w:type="dxa"/>
              <w:start w:w="75" w:type="dxa"/>
              <w:bottom w:w="70" w:type="dxa"/>
              <w:end w:w="75" w:type="dxa"/>
            </w:tcMar>
            <w:vAlign w:val="center"/>
          </w:tcPr>
          <w:p>
            <w:pPr>
              <w:spacing w:after="0" w:before="0" w:line="240" w:lineRule="auto"/>
            </w:pPr>
            <w:r>
              <w:rPr>
                <w:rFonts w:ascii="Aptos" w:hAnsi="Aptos"/>
                <w:sz w:val="16"/>
              </w:rPr>
              <w:t>3</w:t>
            </w:r>
          </w:p>
        </w:tc>
        <w:tc>
          <w:tcPr>
            <w:tcW w:type="dxa" w:w="936"/>
            <w:tcMar>
              <w:top w:w="70" w:type="dxa"/>
              <w:start w:w="75" w:type="dxa"/>
              <w:bottom w:w="70" w:type="dxa"/>
              <w:end w:w="75" w:type="dxa"/>
            </w:tcMar>
            <w:vAlign w:val="center"/>
          </w:tcPr>
          <w:p>
            <w:pPr>
              <w:spacing w:after="0" w:before="0" w:line="240" w:lineRule="auto"/>
            </w:pPr>
            <w:r>
              <w:rPr>
                <w:rFonts w:ascii="Aptos" w:hAnsi="Aptos"/>
                <w:sz w:val="16"/>
              </w:rPr>
              <w:t>6</w:t>
            </w:r>
          </w:p>
        </w:tc>
        <w:tc>
          <w:tcPr>
            <w:tcW w:type="dxa" w:w="1152"/>
            <w:tcMar>
              <w:top w:w="70" w:type="dxa"/>
              <w:start w:w="75" w:type="dxa"/>
              <w:bottom w:w="70" w:type="dxa"/>
              <w:end w:w="75" w:type="dxa"/>
            </w:tcMar>
            <w:vAlign w:val="center"/>
          </w:tcPr>
          <w:p>
            <w:pPr>
              <w:spacing w:after="0" w:before="0" w:line="240" w:lineRule="auto"/>
            </w:pPr>
            <w:r>
              <w:rPr>
                <w:rFonts w:ascii="Aptos" w:hAnsi="Aptos"/>
                <w:sz w:val="16"/>
              </w:rPr>
              <w:t>1</w:t>
            </w:r>
          </w:p>
        </w:tc>
        <w:tc>
          <w:tcPr>
            <w:tcW w:type="dxa" w:w="936"/>
            <w:tcMar>
              <w:top w:w="70" w:type="dxa"/>
              <w:start w:w="75" w:type="dxa"/>
              <w:bottom w:w="70" w:type="dxa"/>
              <w:end w:w="75" w:type="dxa"/>
            </w:tcMar>
            <w:vAlign w:val="center"/>
          </w:tcPr>
          <w:p>
            <w:pPr>
              <w:spacing w:after="0" w:before="0" w:line="240" w:lineRule="auto"/>
            </w:pPr>
            <w:r>
              <w:rPr>
                <w:rFonts w:ascii="Aptos" w:hAnsi="Aptos"/>
                <w:sz w:val="16"/>
              </w:rPr>
              <w:t>0</w:t>
            </w:r>
          </w:p>
        </w:tc>
        <w:tc>
          <w:tcPr>
            <w:tcW w:type="dxa" w:w="3096"/>
            <w:tcMar>
              <w:top w:w="70" w:type="dxa"/>
              <w:start w:w="75" w:type="dxa"/>
              <w:bottom w:w="70" w:type="dxa"/>
              <w:end w:w="75" w:type="dxa"/>
            </w:tcMar>
            <w:vAlign w:val="center"/>
          </w:tcPr>
          <w:p>
            <w:pPr>
              <w:spacing w:after="0" w:before="0" w:line="240" w:lineRule="auto"/>
            </w:pPr>
            <w:r>
              <w:rPr>
                <w:rFonts w:ascii="Aptos" w:hAnsi="Aptos"/>
                <w:sz w:val="16"/>
              </w:rPr>
              <w:t>Ready for Development with Conditions — Owner Input and Evidence Required</w:t>
            </w:r>
          </w:p>
        </w:tc>
        <w:tc>
          <w:tcPr>
            <w:tcW w:type="dxa" w:w="3240"/>
            <w:tcMar>
              <w:top w:w="70" w:type="dxa"/>
              <w:start w:w="75" w:type="dxa"/>
              <w:bottom w:w="70" w:type="dxa"/>
              <w:end w:w="75" w:type="dxa"/>
            </w:tcMar>
            <w:vAlign w:val="center"/>
          </w:tcPr>
          <w:p>
            <w:pPr>
              <w:spacing w:after="0" w:before="0" w:line="240" w:lineRule="auto"/>
            </w:pPr>
            <w:r>
              <w:rPr>
                <w:rFonts w:ascii="Aptos" w:hAnsi="Aptos"/>
                <w:sz w:val="16"/>
              </w:rPr>
              <w:t>Original report is materially valid; ownership/readiness language updated and “authority fragmentation” narrowed to search/content ownership fragmentation.</w:t>
            </w:r>
          </w:p>
        </w:tc>
      </w:tr>
      <w:tr>
        <w:trPr>
          <w:cantSplit/>
        </w:trPr>
        <w:tc>
          <w:tcPr>
            <w:tcW w:type="dxa" w:w="792"/>
            <w:tcMar>
              <w:top w:w="70" w:type="dxa"/>
              <w:start w:w="75" w:type="dxa"/>
              <w:bottom w:w="70" w:type="dxa"/>
              <w:end w:w="75" w:type="dxa"/>
            </w:tcMar>
            <w:vAlign w:val="center"/>
          </w:tcPr>
          <w:p>
            <w:pPr>
              <w:spacing w:after="0" w:before="0" w:line="240" w:lineRule="auto"/>
            </w:pPr>
            <w:r>
              <w:rPr>
                <w:rFonts w:ascii="Aptos" w:hAnsi="Aptos"/>
                <w:sz w:val="16"/>
              </w:rPr>
              <w:t>HP-002</w:t>
            </w:r>
          </w:p>
        </w:tc>
        <w:tc>
          <w:tcPr>
            <w:tcW w:type="dxa" w:w="792"/>
            <w:tcMar>
              <w:top w:w="70" w:type="dxa"/>
              <w:start w:w="75" w:type="dxa"/>
              <w:bottom w:w="70" w:type="dxa"/>
              <w:end w:w="75" w:type="dxa"/>
            </w:tcMar>
            <w:vAlign w:val="center"/>
          </w:tcPr>
          <w:p>
            <w:pPr>
              <w:spacing w:after="0" w:before="0" w:line="240" w:lineRule="auto"/>
            </w:pPr>
            <w:r>
              <w:rPr>
                <w:rFonts w:ascii="Aptos" w:hAnsi="Aptos"/>
                <w:sz w:val="16"/>
              </w:rPr>
              <w:t>7</w:t>
            </w:r>
          </w:p>
        </w:tc>
        <w:tc>
          <w:tcPr>
            <w:tcW w:type="dxa" w:w="936"/>
            <w:tcMar>
              <w:top w:w="70" w:type="dxa"/>
              <w:start w:w="75" w:type="dxa"/>
              <w:bottom w:w="70" w:type="dxa"/>
              <w:end w:w="75" w:type="dxa"/>
            </w:tcMar>
            <w:vAlign w:val="center"/>
          </w:tcPr>
          <w:p>
            <w:pPr>
              <w:spacing w:after="0" w:before="0" w:line="240" w:lineRule="auto"/>
            </w:pPr>
            <w:r>
              <w:rPr>
                <w:rFonts w:ascii="Aptos" w:hAnsi="Aptos"/>
                <w:sz w:val="16"/>
              </w:rPr>
              <w:t>2</w:t>
            </w:r>
          </w:p>
        </w:tc>
        <w:tc>
          <w:tcPr>
            <w:tcW w:type="dxa" w:w="1152"/>
            <w:tcMar>
              <w:top w:w="70" w:type="dxa"/>
              <w:start w:w="75" w:type="dxa"/>
              <w:bottom w:w="70" w:type="dxa"/>
              <w:end w:w="75" w:type="dxa"/>
            </w:tcMar>
            <w:vAlign w:val="center"/>
          </w:tcPr>
          <w:p>
            <w:pPr>
              <w:spacing w:after="0" w:before="0" w:line="240" w:lineRule="auto"/>
            </w:pPr>
            <w:r>
              <w:rPr>
                <w:rFonts w:ascii="Aptos" w:hAnsi="Aptos"/>
                <w:sz w:val="16"/>
              </w:rPr>
              <w:t>1</w:t>
            </w:r>
          </w:p>
        </w:tc>
        <w:tc>
          <w:tcPr>
            <w:tcW w:type="dxa" w:w="936"/>
            <w:tcMar>
              <w:top w:w="70" w:type="dxa"/>
              <w:start w:w="75" w:type="dxa"/>
              <w:bottom w:w="70" w:type="dxa"/>
              <w:end w:w="75" w:type="dxa"/>
            </w:tcMar>
            <w:vAlign w:val="center"/>
          </w:tcPr>
          <w:p>
            <w:pPr>
              <w:spacing w:after="0" w:before="0" w:line="240" w:lineRule="auto"/>
            </w:pPr>
            <w:r>
              <w:rPr>
                <w:rFonts w:ascii="Aptos" w:hAnsi="Aptos"/>
                <w:sz w:val="16"/>
              </w:rPr>
              <w:t>0</w:t>
            </w:r>
          </w:p>
        </w:tc>
        <w:tc>
          <w:tcPr>
            <w:tcW w:type="dxa" w:w="3096"/>
            <w:tcMar>
              <w:top w:w="70" w:type="dxa"/>
              <w:start w:w="75" w:type="dxa"/>
              <w:bottom w:w="70" w:type="dxa"/>
              <w:end w:w="75" w:type="dxa"/>
            </w:tcMar>
            <w:vAlign w:val="center"/>
          </w:tcPr>
          <w:p>
            <w:pPr>
              <w:spacing w:after="0" w:before="0" w:line="240" w:lineRule="auto"/>
            </w:pPr>
            <w:r>
              <w:rPr>
                <w:rFonts w:ascii="Aptos" w:hAnsi="Aptos"/>
                <w:sz w:val="16"/>
              </w:rPr>
              <w:t>Ready for Development with Conditions — Owner Input Required</w:t>
            </w:r>
          </w:p>
        </w:tc>
        <w:tc>
          <w:tcPr>
            <w:tcW w:type="dxa" w:w="3240"/>
            <w:tcMar>
              <w:top w:w="70" w:type="dxa"/>
              <w:start w:w="75" w:type="dxa"/>
              <w:bottom w:w="70" w:type="dxa"/>
              <w:end w:w="75" w:type="dxa"/>
            </w:tcMar>
            <w:vAlign w:val="center"/>
          </w:tcPr>
          <w:p>
            <w:pPr>
              <w:spacing w:after="0" w:before="0" w:line="240" w:lineRule="auto"/>
            </w:pPr>
            <w:r>
              <w:rPr>
                <w:rFonts w:ascii="Aptos" w:hAnsi="Aptos"/>
                <w:sz w:val="16"/>
              </w:rPr>
              <w:t>Updated report remains appropriate; non-operational policy/insurance/consent ownership still needs confirmation where activated.</w:t>
            </w:r>
          </w:p>
        </w:tc>
      </w:tr>
      <w:tr>
        <w:trPr>
          <w:cantSplit/>
        </w:trPr>
        <w:tc>
          <w:tcPr>
            <w:tcW w:type="dxa" w:w="792"/>
            <w:tcMar>
              <w:top w:w="70" w:type="dxa"/>
              <w:start w:w="75" w:type="dxa"/>
              <w:bottom w:w="70" w:type="dxa"/>
              <w:end w:w="75" w:type="dxa"/>
            </w:tcMar>
            <w:vAlign w:val="center"/>
          </w:tcPr>
          <w:p>
            <w:pPr>
              <w:spacing w:after="0" w:before="0" w:line="240" w:lineRule="auto"/>
            </w:pPr>
            <w:r>
              <w:rPr>
                <w:rFonts w:ascii="Aptos" w:hAnsi="Aptos"/>
                <w:sz w:val="16"/>
              </w:rPr>
              <w:t>HP-003</w:t>
            </w:r>
          </w:p>
        </w:tc>
        <w:tc>
          <w:tcPr>
            <w:tcW w:type="dxa" w:w="792"/>
            <w:tcMar>
              <w:top w:w="70" w:type="dxa"/>
              <w:start w:w="75" w:type="dxa"/>
              <w:bottom w:w="70" w:type="dxa"/>
              <w:end w:w="75" w:type="dxa"/>
            </w:tcMar>
            <w:vAlign w:val="center"/>
          </w:tcPr>
          <w:p>
            <w:pPr>
              <w:spacing w:after="0" w:before="0" w:line="240" w:lineRule="auto"/>
            </w:pPr>
            <w:r>
              <w:rPr>
                <w:rFonts w:ascii="Aptos" w:hAnsi="Aptos"/>
                <w:sz w:val="16"/>
              </w:rPr>
              <w:t>5</w:t>
            </w:r>
          </w:p>
        </w:tc>
        <w:tc>
          <w:tcPr>
            <w:tcW w:type="dxa" w:w="936"/>
            <w:tcMar>
              <w:top w:w="70" w:type="dxa"/>
              <w:start w:w="75" w:type="dxa"/>
              <w:bottom w:w="70" w:type="dxa"/>
              <w:end w:w="75" w:type="dxa"/>
            </w:tcMar>
            <w:vAlign w:val="center"/>
          </w:tcPr>
          <w:p>
            <w:pPr>
              <w:spacing w:after="0" w:before="0" w:line="240" w:lineRule="auto"/>
            </w:pPr>
            <w:r>
              <w:rPr>
                <w:rFonts w:ascii="Aptos" w:hAnsi="Aptos"/>
                <w:sz w:val="16"/>
              </w:rPr>
              <w:t>5</w:t>
            </w:r>
          </w:p>
        </w:tc>
        <w:tc>
          <w:tcPr>
            <w:tcW w:type="dxa" w:w="1152"/>
            <w:tcMar>
              <w:top w:w="70" w:type="dxa"/>
              <w:start w:w="75" w:type="dxa"/>
              <w:bottom w:w="70" w:type="dxa"/>
              <w:end w:w="75" w:type="dxa"/>
            </w:tcMar>
            <w:vAlign w:val="center"/>
          </w:tcPr>
          <w:p>
            <w:pPr>
              <w:spacing w:after="0" w:before="0" w:line="240" w:lineRule="auto"/>
            </w:pPr>
            <w:r>
              <w:rPr>
                <w:rFonts w:ascii="Aptos" w:hAnsi="Aptos"/>
                <w:sz w:val="16"/>
              </w:rPr>
              <w:t>1</w:t>
            </w:r>
          </w:p>
        </w:tc>
        <w:tc>
          <w:tcPr>
            <w:tcW w:type="dxa" w:w="936"/>
            <w:tcMar>
              <w:top w:w="70" w:type="dxa"/>
              <w:start w:w="75" w:type="dxa"/>
              <w:bottom w:w="70" w:type="dxa"/>
              <w:end w:w="75" w:type="dxa"/>
            </w:tcMar>
            <w:vAlign w:val="center"/>
          </w:tcPr>
          <w:p>
            <w:pPr>
              <w:spacing w:after="0" w:before="0" w:line="240" w:lineRule="auto"/>
            </w:pPr>
            <w:r>
              <w:rPr>
                <w:rFonts w:ascii="Aptos" w:hAnsi="Aptos"/>
                <w:sz w:val="16"/>
              </w:rPr>
              <w:t>0</w:t>
            </w:r>
          </w:p>
        </w:tc>
        <w:tc>
          <w:tcPr>
            <w:tcW w:type="dxa" w:w="3096"/>
            <w:tcMar>
              <w:top w:w="70" w:type="dxa"/>
              <w:start w:w="75" w:type="dxa"/>
              <w:bottom w:w="70" w:type="dxa"/>
              <w:end w:w="75" w:type="dxa"/>
            </w:tcMar>
            <w:vAlign w:val="center"/>
          </w:tcPr>
          <w:p>
            <w:pPr>
              <w:spacing w:after="0" w:before="0" w:line="240" w:lineRule="auto"/>
            </w:pPr>
            <w:r>
              <w:rPr>
                <w:rFonts w:ascii="Aptos" w:hAnsi="Aptos"/>
                <w:sz w:val="16"/>
              </w:rPr>
              <w:t>Ready for Development with Conditions — Evidence and Owner Input Required</w:t>
            </w:r>
          </w:p>
        </w:tc>
        <w:tc>
          <w:tcPr>
            <w:tcW w:type="dxa" w:w="3240"/>
            <w:tcMar>
              <w:top w:w="70" w:type="dxa"/>
              <w:start w:w="75" w:type="dxa"/>
              <w:bottom w:w="70" w:type="dxa"/>
              <w:end w:w="75" w:type="dxa"/>
            </w:tcMar>
            <w:vAlign w:val="center"/>
          </w:tcPr>
          <w:p>
            <w:pPr>
              <w:spacing w:after="0" w:before="0" w:line="240" w:lineRule="auto"/>
            </w:pPr>
            <w:r>
              <w:rPr>
                <w:rFonts w:ascii="Aptos" w:hAnsi="Aptos"/>
                <w:sz w:val="16"/>
              </w:rPr>
              <w:t>Report remains appropriate; comparison-methodology ownership and authoritative safety-source ownership are the main qualifications.</w:t>
            </w:r>
          </w:p>
        </w:tc>
      </w:tr>
    </w:tbl>
    <w:tbl>
      <w:tblPr>
        <w:tblW w:type="auto" w:w="0"/>
        <w:jc w:val="center"/>
        <w:tblLook w:firstColumn="1" w:firstRow="1" w:lastColumn="0" w:lastRow="0" w:noHBand="0" w:noVBand="1" w:val="04A0"/>
      </w:tblPr>
      <w:tblGrid>
        <w:gridCol w:w="10944"/>
      </w:tblGrid>
      <w:tr>
        <w:tc>
          <w:tcPr>
            <w:tcW w:type="dxa" w:w="10944"/>
            <w:shd w:fill="F2F2F2"/>
            <w:tcMar>
              <w:top w:w="120" w:type="dxa"/>
              <w:start w:w="140" w:type="dxa"/>
              <w:bottom w:w="120" w:type="dxa"/>
              <w:end w:w="140" w:type="dxa"/>
            </w:tcMar>
          </w:tcPr>
          <w:p>
            <w:pPr>
              <w:spacing w:after="0"/>
            </w:pPr>
            <w:r>
              <w:rPr>
                <w:rFonts w:ascii="Aptos" w:hAnsi="Aptos"/>
                <w:b/>
                <w:sz w:val="20"/>
              </w:rPr>
              <w:t>No material finding was classified Not Supported after consolidation and qualification. This does not mean missing evidence is resolved; all Evidence Required and Human Clarification items remain outstanding until actually supplied or decided.</w:t>
            </w:r>
          </w:p>
        </w:tc>
      </w:tr>
    </w:tbl>
    <w:p>
      <w:pPr>
        <w:pStyle w:val="Heading1"/>
      </w:pPr>
      <w:r>
        <w:t>5. Final Validated Recommendations</w:t>
      </w:r>
    </w:p>
    <w:p>
      <w:pPr>
        <w:pStyle w:val="Heading2"/>
      </w:pPr>
      <w:r>
        <w:t>HP-001</w:t>
      </w:r>
    </w:p>
    <w:tbl>
      <w:tblPr>
        <w:tblStyle w:val="TableGrid"/>
        <w:tblW w:type="auto" w:w="0"/>
        <w:jc w:val="center"/>
        <w:tblLayout w:type="fixed"/>
        <w:tblLook w:firstColumn="1" w:firstRow="1" w:lastColumn="0" w:lastRow="0" w:noHBand="0" w:noVBand="1" w:val="04A0"/>
      </w:tblPr>
      <w:tblGrid>
        <w:gridCol w:w="5472"/>
        <w:gridCol w:w="5472"/>
      </w:tblGrid>
      <w:tr>
        <w:trPr>
          <w:cantSplit/>
          <w:tblHeader w:val="true"/>
        </w:trPr>
        <w:tc>
          <w:tcPr>
            <w:tcW w:type="dxa" w:w="2520"/>
            <w:tcMar>
              <w:top w:w="70" w:type="dxa"/>
              <w:start w:w="75" w:type="dxa"/>
              <w:bottom w:w="70" w:type="dxa"/>
              <w:end w:w="75" w:type="dxa"/>
            </w:tcMar>
            <w:vAlign w:val="center"/>
            <w:shd w:fill="17365D"/>
          </w:tcPr>
          <w:p>
            <w:pPr>
              <w:spacing w:after="0" w:before="0" w:line="240" w:lineRule="auto"/>
            </w:pPr>
            <w:r>
              <w:rPr>
                <w:rFonts w:ascii="Aptos" w:hAnsi="Aptos"/>
                <w:b/>
                <w:color w:val="FFFFFF"/>
                <w:sz w:val="18"/>
              </w:rPr>
              <w:t>Handoff field</w:t>
            </w:r>
          </w:p>
        </w:tc>
        <w:tc>
          <w:tcPr>
            <w:tcW w:type="dxa" w:w="8424"/>
            <w:tcMar>
              <w:top w:w="70" w:type="dxa"/>
              <w:start w:w="75" w:type="dxa"/>
              <w:bottom w:w="70" w:type="dxa"/>
              <w:end w:w="75" w:type="dxa"/>
            </w:tcMar>
            <w:vAlign w:val="center"/>
            <w:shd w:fill="17365D"/>
          </w:tcPr>
          <w:p>
            <w:pPr>
              <w:spacing w:after="0" w:before="0" w:line="240" w:lineRule="auto"/>
            </w:pPr>
            <w:r>
              <w:rPr>
                <w:rFonts w:ascii="Aptos" w:hAnsi="Aptos"/>
                <w:b/>
                <w:color w:val="FFFFFF"/>
                <w:sz w:val="18"/>
              </w:rPr>
              <w:t>Final validated recommendation</w:t>
            </w:r>
          </w:p>
        </w:tc>
      </w:tr>
      <w:tr>
        <w:trPr>
          <w:cantSplit/>
        </w:trPr>
        <w:tc>
          <w:tcPr>
            <w:tcW w:type="dxa" w:w="2520"/>
            <w:tcMar>
              <w:top w:w="70" w:type="dxa"/>
              <w:start w:w="75" w:type="dxa"/>
              <w:bottom w:w="70" w:type="dxa"/>
              <w:end w:w="75" w:type="dxa"/>
            </w:tcMar>
            <w:vAlign w:val="center"/>
          </w:tcPr>
          <w:p>
            <w:pPr>
              <w:spacing w:after="0" w:before="0" w:line="240" w:lineRule="auto"/>
            </w:pPr>
            <w:r>
              <w:rPr>
                <w:rFonts w:ascii="Aptos" w:hAnsi="Aptos"/>
                <w:sz w:val="18"/>
              </w:rPr>
              <w:t>Development Readiness</w:t>
            </w:r>
          </w:p>
        </w:tc>
        <w:tc>
          <w:tcPr>
            <w:tcW w:type="dxa" w:w="8424"/>
            <w:tcMar>
              <w:top w:w="70" w:type="dxa"/>
              <w:start w:w="75" w:type="dxa"/>
              <w:bottom w:w="70" w:type="dxa"/>
              <w:end w:w="75" w:type="dxa"/>
            </w:tcMar>
            <w:vAlign w:val="center"/>
          </w:tcPr>
          <w:p>
            <w:pPr>
              <w:spacing w:after="0" w:before="0" w:line="240" w:lineRule="auto"/>
            </w:pPr>
            <w:r>
              <w:rPr>
                <w:rFonts w:ascii="Aptos" w:hAnsi="Aptos"/>
                <w:sz w:val="18"/>
              </w:rPr>
              <w:t>Ready for Development with Conditions — Owner Input and Evidence Required. Structure and evidence-led drafting can proceed; factual operational claims remain conditional until supplied/confirmed.</w:t>
            </w:r>
          </w:p>
        </w:tc>
      </w:tr>
      <w:tr>
        <w:trPr>
          <w:cantSplit/>
        </w:trPr>
        <w:tc>
          <w:tcPr>
            <w:tcW w:type="dxa" w:w="2520"/>
            <w:tcMar>
              <w:top w:w="70" w:type="dxa"/>
              <w:start w:w="75" w:type="dxa"/>
              <w:bottom w:w="70" w:type="dxa"/>
              <w:end w:w="75" w:type="dxa"/>
            </w:tcMar>
            <w:vAlign w:val="center"/>
          </w:tcPr>
          <w:p>
            <w:pPr>
              <w:spacing w:after="0" w:before="0" w:line="240" w:lineRule="auto"/>
            </w:pPr>
            <w:r>
              <w:rPr>
                <w:rFonts w:ascii="Aptos" w:hAnsi="Aptos"/>
                <w:sz w:val="18"/>
              </w:rPr>
              <w:t>Can Use Now</w:t>
            </w:r>
          </w:p>
        </w:tc>
        <w:tc>
          <w:tcPr>
            <w:tcW w:type="dxa" w:w="8424"/>
            <w:tcMar>
              <w:top w:w="70" w:type="dxa"/>
              <w:start w:w="75" w:type="dxa"/>
              <w:bottom w:w="70" w:type="dxa"/>
              <w:end w:w="75" w:type="dxa"/>
            </w:tcMar>
            <w:vAlign w:val="center"/>
          </w:tcPr>
          <w:p>
            <w:pPr>
              <w:spacing w:after="0" w:before="0" w:line="240" w:lineRule="auto"/>
            </w:pPr>
            <w:r>
              <w:rPr>
                <w:rFonts w:ascii="Aptos" w:hAnsi="Aptos"/>
                <w:sz w:val="18"/>
              </w:rPr>
              <w:t>Approved P1 national commercial page role; URL/purpose; supplied keyword inputs; national-versus-local safeguard; planned modules/evidence categories; approved page relationships; existing GSC/GA4 limitations.</w:t>
            </w:r>
          </w:p>
        </w:tc>
      </w:tr>
      <w:tr>
        <w:trPr>
          <w:cantSplit/>
        </w:trPr>
        <w:tc>
          <w:tcPr>
            <w:tcW w:type="dxa" w:w="2520"/>
            <w:tcMar>
              <w:top w:w="70" w:type="dxa"/>
              <w:start w:w="75" w:type="dxa"/>
              <w:bottom w:w="70" w:type="dxa"/>
              <w:end w:w="75" w:type="dxa"/>
            </w:tcMar>
            <w:vAlign w:val="center"/>
          </w:tcPr>
          <w:p>
            <w:pPr>
              <w:spacing w:after="0" w:before="0" w:line="240" w:lineRule="auto"/>
            </w:pPr>
            <w:r>
              <w:rPr>
                <w:rFonts w:ascii="Aptos" w:hAnsi="Aptos"/>
                <w:sz w:val="18"/>
              </w:rPr>
              <w:t>Evidence Still Required</w:t>
            </w:r>
          </w:p>
        </w:tc>
        <w:tc>
          <w:tcPr>
            <w:tcW w:type="dxa" w:w="8424"/>
            <w:tcMar>
              <w:top w:w="70" w:type="dxa"/>
              <w:start w:w="75" w:type="dxa"/>
              <w:bottom w:w="70" w:type="dxa"/>
              <w:end w:w="75" w:type="dxa"/>
            </w:tcMar>
            <w:vAlign w:val="center"/>
          </w:tcPr>
          <w:p>
            <w:pPr>
              <w:spacing w:after="0" w:before="0" w:line="240" w:lineRule="auto"/>
            </w:pPr>
            <w:r>
              <w:rPr>
                <w:rFonts w:ascii="Aptos" w:hAnsi="Aptos"/>
                <w:sz w:val="18"/>
              </w:rPr>
              <w:t>Current package/inclusions/equipment; age/group/rotation rules; setup/pack-down; space/safety/connectivity/weather; service-area/travel rules; current pricing; response standard; optional coordination; permissioned house-party proof.</w:t>
            </w:r>
          </w:p>
        </w:tc>
      </w:tr>
      <w:tr>
        <w:trPr>
          <w:cantSplit/>
        </w:trPr>
        <w:tc>
          <w:tcPr>
            <w:tcW w:type="dxa" w:w="2520"/>
            <w:tcMar>
              <w:top w:w="70" w:type="dxa"/>
              <w:start w:w="75" w:type="dxa"/>
              <w:bottom w:w="70" w:type="dxa"/>
              <w:end w:w="75" w:type="dxa"/>
            </w:tcMar>
            <w:vAlign w:val="center"/>
          </w:tcPr>
          <w:p>
            <w:pPr>
              <w:spacing w:after="0" w:before="0" w:line="240" w:lineRule="auto"/>
            </w:pPr>
            <w:r>
              <w:rPr>
                <w:rFonts w:ascii="Aptos" w:hAnsi="Aptos"/>
                <w:sz w:val="18"/>
              </w:rPr>
              <w:t>Human Clarification Required</w:t>
            </w:r>
          </w:p>
        </w:tc>
        <w:tc>
          <w:tcPr>
            <w:tcW w:type="dxa" w:w="8424"/>
            <w:tcMar>
              <w:top w:w="70" w:type="dxa"/>
              <w:start w:w="75" w:type="dxa"/>
              <w:bottom w:w="70" w:type="dxa"/>
              <w:end w:w="75" w:type="dxa"/>
            </w:tcMar>
            <w:vAlign w:val="center"/>
          </w:tcPr>
          <w:p>
            <w:pPr>
              <w:spacing w:after="0" w:before="0" w:line="240" w:lineRule="auto"/>
            </w:pPr>
            <w:r>
              <w:rPr>
                <w:rFonts w:ascii="Aptos" w:hAnsi="Aptos"/>
                <w:sz w:val="18"/>
              </w:rPr>
              <w:t>Ajith Ratnarajah to supply/confirm ViriVr operational facts. Confirm the appropriate owner/source for insurance/public-liability wording, legal/privacy interpretation and proof-asset consent where required.</w:t>
            </w:r>
          </w:p>
        </w:tc>
      </w:tr>
      <w:tr>
        <w:trPr>
          <w:cantSplit/>
        </w:trPr>
        <w:tc>
          <w:tcPr>
            <w:tcW w:type="dxa" w:w="2520"/>
            <w:tcMar>
              <w:top w:w="70" w:type="dxa"/>
              <w:start w:w="75" w:type="dxa"/>
              <w:bottom w:w="70" w:type="dxa"/>
              <w:end w:w="75" w:type="dxa"/>
            </w:tcMar>
            <w:vAlign w:val="center"/>
          </w:tcPr>
          <w:p>
            <w:pPr>
              <w:spacing w:after="0" w:before="0" w:line="240" w:lineRule="auto"/>
            </w:pPr>
            <w:r>
              <w:rPr>
                <w:rFonts w:ascii="Aptos" w:hAnsi="Aptos"/>
                <w:sz w:val="18"/>
              </w:rPr>
              <w:t>Specialist / Department Handoffs</w:t>
            </w:r>
          </w:p>
        </w:tc>
        <w:tc>
          <w:tcPr>
            <w:tcW w:type="dxa" w:w="8424"/>
            <w:tcMar>
              <w:top w:w="70" w:type="dxa"/>
              <w:start w:w="75" w:type="dxa"/>
              <w:bottom w:w="70" w:type="dxa"/>
              <w:end w:w="75" w:type="dxa"/>
            </w:tcMar>
            <w:vAlign w:val="center"/>
          </w:tcPr>
          <w:p>
            <w:pPr>
              <w:spacing w:after="0" w:before="0" w:line="240" w:lineRule="auto"/>
            </w:pPr>
            <w:r>
              <w:rPr>
                <w:rFonts w:ascii="Aptos" w:hAnsi="Aptos"/>
                <w:sz w:val="18"/>
              </w:rPr>
              <w:t>Content drafts from approved evidence; Technical SEO implements links/schema/canonicals; Analytics validates metrics; Strategy/Search owns keyword changes; Brand Authority Builder, Backlink Auditor and Digital PR Specialist handle bounded authority work.</w:t>
            </w:r>
          </w:p>
        </w:tc>
      </w:tr>
      <w:tr>
        <w:trPr>
          <w:cantSplit/>
        </w:trPr>
        <w:tc>
          <w:tcPr>
            <w:tcW w:type="dxa" w:w="2520"/>
            <w:tcMar>
              <w:top w:w="70" w:type="dxa"/>
              <w:start w:w="75" w:type="dxa"/>
              <w:bottom w:w="70" w:type="dxa"/>
              <w:end w:w="75" w:type="dxa"/>
            </w:tcMar>
            <w:vAlign w:val="center"/>
          </w:tcPr>
          <w:p>
            <w:pPr>
              <w:spacing w:after="0" w:before="0" w:line="240" w:lineRule="auto"/>
            </w:pPr>
            <w:r>
              <w:rPr>
                <w:rFonts w:ascii="Aptos" w:hAnsi="Aptos"/>
                <w:sz w:val="18"/>
              </w:rPr>
              <w:t>Final Recommended Actions</w:t>
            </w:r>
          </w:p>
        </w:tc>
        <w:tc>
          <w:tcPr>
            <w:tcW w:type="dxa" w:w="8424"/>
            <w:tcMar>
              <w:top w:w="70" w:type="dxa"/>
              <w:start w:w="75" w:type="dxa"/>
              <w:bottom w:w="70" w:type="dxa"/>
              <w:end w:w="75" w:type="dxa"/>
            </w:tcMar>
            <w:vAlign w:val="center"/>
          </w:tcPr>
          <w:p>
            <w:pPr>
              <w:spacing w:after="0" w:before="0" w:line="240" w:lineRule="auto"/>
            </w:pPr>
            <w:r>
              <w:rPr>
                <w:rFonts w:ascii="Aptos" w:hAnsi="Aptos"/>
                <w:sz w:val="18"/>
              </w:rPr>
              <w:t>Build a dated evidence pack and claim-to-evidence map; preserve national/local distinction; avoid obsolete fixed-venue/B2B wording; use only permissioned proof; keep unverified analytics out of performance claims; route specialist work rather than completing it in Authority Management.</w:t>
            </w:r>
          </w:p>
        </w:tc>
      </w:tr>
    </w:tbl>
    <w:p>
      <w:pPr>
        <w:pStyle w:val="Heading2"/>
      </w:pPr>
      <w:r>
        <w:t>HP-002</w:t>
      </w:r>
    </w:p>
    <w:tbl>
      <w:tblPr>
        <w:tblStyle w:val="TableGrid"/>
        <w:tblW w:type="auto" w:w="0"/>
        <w:jc w:val="center"/>
        <w:tblLayout w:type="fixed"/>
        <w:tblLook w:firstColumn="1" w:firstRow="1" w:lastColumn="0" w:lastRow="0" w:noHBand="0" w:noVBand="1" w:val="04A0"/>
      </w:tblPr>
      <w:tblGrid>
        <w:gridCol w:w="5472"/>
        <w:gridCol w:w="5472"/>
      </w:tblGrid>
      <w:tr>
        <w:trPr>
          <w:cantSplit/>
          <w:tblHeader w:val="true"/>
        </w:trPr>
        <w:tc>
          <w:tcPr>
            <w:tcW w:type="dxa" w:w="2520"/>
            <w:tcMar>
              <w:top w:w="70" w:type="dxa"/>
              <w:start w:w="75" w:type="dxa"/>
              <w:bottom w:w="70" w:type="dxa"/>
              <w:end w:w="75" w:type="dxa"/>
            </w:tcMar>
            <w:vAlign w:val="center"/>
            <w:shd w:fill="17365D"/>
          </w:tcPr>
          <w:p>
            <w:pPr>
              <w:spacing w:after="0" w:before="0" w:line="240" w:lineRule="auto"/>
            </w:pPr>
            <w:r>
              <w:rPr>
                <w:rFonts w:ascii="Aptos" w:hAnsi="Aptos"/>
                <w:b/>
                <w:color w:val="FFFFFF"/>
                <w:sz w:val="18"/>
              </w:rPr>
              <w:t>Handoff field</w:t>
            </w:r>
          </w:p>
        </w:tc>
        <w:tc>
          <w:tcPr>
            <w:tcW w:type="dxa" w:w="8424"/>
            <w:tcMar>
              <w:top w:w="70" w:type="dxa"/>
              <w:start w:w="75" w:type="dxa"/>
              <w:bottom w:w="70" w:type="dxa"/>
              <w:end w:w="75" w:type="dxa"/>
            </w:tcMar>
            <w:vAlign w:val="center"/>
            <w:shd w:fill="17365D"/>
          </w:tcPr>
          <w:p>
            <w:pPr>
              <w:spacing w:after="0" w:before="0" w:line="240" w:lineRule="auto"/>
            </w:pPr>
            <w:r>
              <w:rPr>
                <w:rFonts w:ascii="Aptos" w:hAnsi="Aptos"/>
                <w:b/>
                <w:color w:val="FFFFFF"/>
                <w:sz w:val="18"/>
              </w:rPr>
              <w:t>Final validated recommendation</w:t>
            </w:r>
          </w:p>
        </w:tc>
      </w:tr>
      <w:tr>
        <w:trPr>
          <w:cantSplit/>
        </w:trPr>
        <w:tc>
          <w:tcPr>
            <w:tcW w:type="dxa" w:w="2520"/>
            <w:tcMar>
              <w:top w:w="70" w:type="dxa"/>
              <w:start w:w="75" w:type="dxa"/>
              <w:bottom w:w="70" w:type="dxa"/>
              <w:end w:w="75" w:type="dxa"/>
            </w:tcMar>
            <w:vAlign w:val="center"/>
          </w:tcPr>
          <w:p>
            <w:pPr>
              <w:spacing w:after="0" w:before="0" w:line="240" w:lineRule="auto"/>
            </w:pPr>
            <w:r>
              <w:rPr>
                <w:rFonts w:ascii="Aptos" w:hAnsi="Aptos"/>
                <w:sz w:val="18"/>
              </w:rPr>
              <w:t>Development Readiness</w:t>
            </w:r>
          </w:p>
        </w:tc>
        <w:tc>
          <w:tcPr>
            <w:tcW w:type="dxa" w:w="8424"/>
            <w:tcMar>
              <w:top w:w="70" w:type="dxa"/>
              <w:start w:w="75" w:type="dxa"/>
              <w:bottom w:w="70" w:type="dxa"/>
              <w:end w:w="75" w:type="dxa"/>
            </w:tcMar>
            <w:vAlign w:val="center"/>
          </w:tcPr>
          <w:p>
            <w:pPr>
              <w:spacing w:after="0" w:before="0" w:line="240" w:lineRule="auto"/>
            </w:pPr>
            <w:r>
              <w:rPr>
                <w:rFonts w:ascii="Aptos" w:hAnsi="Aptos"/>
                <w:sz w:val="18"/>
              </w:rPr>
              <w:t>Ready for Development with Conditions — Owner Input Required. Local structure can proceed while Melbourne operational claims remain conditional on current owner evidence.</w:t>
            </w:r>
          </w:p>
        </w:tc>
      </w:tr>
      <w:tr>
        <w:trPr>
          <w:cantSplit/>
        </w:trPr>
        <w:tc>
          <w:tcPr>
            <w:tcW w:type="dxa" w:w="2520"/>
            <w:tcMar>
              <w:top w:w="70" w:type="dxa"/>
              <w:start w:w="75" w:type="dxa"/>
              <w:bottom w:w="70" w:type="dxa"/>
              <w:end w:w="75" w:type="dxa"/>
            </w:tcMar>
            <w:vAlign w:val="center"/>
          </w:tcPr>
          <w:p>
            <w:pPr>
              <w:spacing w:after="0" w:before="0" w:line="240" w:lineRule="auto"/>
            </w:pPr>
            <w:r>
              <w:rPr>
                <w:rFonts w:ascii="Aptos" w:hAnsi="Aptos"/>
                <w:sz w:val="18"/>
              </w:rPr>
              <w:t>Can Use Now</w:t>
            </w:r>
          </w:p>
        </w:tc>
        <w:tc>
          <w:tcPr>
            <w:tcW w:type="dxa" w:w="8424"/>
            <w:tcMar>
              <w:top w:w="70" w:type="dxa"/>
              <w:start w:w="75" w:type="dxa"/>
              <w:bottom w:w="70" w:type="dxa"/>
              <w:end w:w="75" w:type="dxa"/>
            </w:tcMar>
            <w:vAlign w:val="center"/>
          </w:tcPr>
          <w:p>
            <w:pPr>
              <w:spacing w:after="0" w:before="0" w:line="240" w:lineRule="auto"/>
            </w:pPr>
            <w:r>
              <w:rPr>
                <w:rFonts w:ascii="Aptos" w:hAnsi="Aptos"/>
                <w:sz w:val="18"/>
              </w:rPr>
              <w:t>Approved P1 Melbourne-local role; supplied keywords as inputs; planned local evidence categories; CTA/modules; existing local supporting-page relationship; measurement caveats; Ajith Ratnarajah as approved operational evidence source.</w:t>
            </w:r>
          </w:p>
        </w:tc>
      </w:tr>
      <w:tr>
        <w:trPr>
          <w:cantSplit/>
        </w:trPr>
        <w:tc>
          <w:tcPr>
            <w:tcW w:type="dxa" w:w="2520"/>
            <w:tcMar>
              <w:top w:w="70" w:type="dxa"/>
              <w:start w:w="75" w:type="dxa"/>
              <w:bottom w:w="70" w:type="dxa"/>
              <w:end w:w="75" w:type="dxa"/>
            </w:tcMar>
            <w:vAlign w:val="center"/>
          </w:tcPr>
          <w:p>
            <w:pPr>
              <w:spacing w:after="0" w:before="0" w:line="240" w:lineRule="auto"/>
            </w:pPr>
            <w:r>
              <w:rPr>
                <w:rFonts w:ascii="Aptos" w:hAnsi="Aptos"/>
                <w:sz w:val="18"/>
              </w:rPr>
              <w:t>Evidence Still Required</w:t>
            </w:r>
          </w:p>
        </w:tc>
        <w:tc>
          <w:tcPr>
            <w:tcW w:type="dxa" w:w="8424"/>
            <w:tcMar>
              <w:top w:w="70" w:type="dxa"/>
              <w:start w:w="75" w:type="dxa"/>
              <w:bottom w:w="70" w:type="dxa"/>
              <w:end w:w="75" w:type="dxa"/>
            </w:tcMar>
            <w:vAlign w:val="center"/>
          </w:tcPr>
          <w:p>
            <w:pPr>
              <w:spacing w:after="0" w:before="0" w:line="240" w:lineRule="auto"/>
            </w:pPr>
            <w:r>
              <w:rPr>
                <w:rFonts w:ascii="Aptos" w:hAnsi="Aptos"/>
                <w:sz w:val="18"/>
              </w:rPr>
              <w:t>Current suburb/postcode coverage; travel rules/fees; access/parking/stairs and setup; space/capacity/host ratio; connectivity/wet-weather; pricing/inclusions; availability; current public-liability documentation; privacy/consent policy evidence; permissioned Melbourne proof assets.</w:t>
            </w:r>
          </w:p>
        </w:tc>
      </w:tr>
      <w:tr>
        <w:trPr>
          <w:cantSplit/>
        </w:trPr>
        <w:tc>
          <w:tcPr>
            <w:tcW w:type="dxa" w:w="2520"/>
            <w:tcMar>
              <w:top w:w="70" w:type="dxa"/>
              <w:start w:w="75" w:type="dxa"/>
              <w:bottom w:w="70" w:type="dxa"/>
              <w:end w:w="75" w:type="dxa"/>
            </w:tcMar>
            <w:vAlign w:val="center"/>
          </w:tcPr>
          <w:p>
            <w:pPr>
              <w:spacing w:after="0" w:before="0" w:line="240" w:lineRule="auto"/>
            </w:pPr>
            <w:r>
              <w:rPr>
                <w:rFonts w:ascii="Aptos" w:hAnsi="Aptos"/>
                <w:sz w:val="18"/>
              </w:rPr>
              <w:t>Human Clarification Required</w:t>
            </w:r>
          </w:p>
        </w:tc>
        <w:tc>
          <w:tcPr>
            <w:tcW w:type="dxa" w:w="8424"/>
            <w:tcMar>
              <w:top w:w="70" w:type="dxa"/>
              <w:start w:w="75" w:type="dxa"/>
              <w:bottom w:w="70" w:type="dxa"/>
              <w:end w:w="75" w:type="dxa"/>
            </w:tcMar>
            <w:vAlign w:val="center"/>
          </w:tcPr>
          <w:p>
            <w:pPr>
              <w:spacing w:after="0" w:before="0" w:line="240" w:lineRule="auto"/>
            </w:pPr>
            <w:r>
              <w:rPr>
                <w:rFonts w:ascii="Aptos" w:hAnsi="Aptos"/>
                <w:sz w:val="18"/>
              </w:rPr>
              <w:t>Ajith confirms ViriVr operational facts. Confirm the appropriate project owner for privacy/legal/insurance/consent matters where those controls are required.</w:t>
            </w:r>
          </w:p>
        </w:tc>
      </w:tr>
      <w:tr>
        <w:trPr>
          <w:cantSplit/>
        </w:trPr>
        <w:tc>
          <w:tcPr>
            <w:tcW w:type="dxa" w:w="2520"/>
            <w:tcMar>
              <w:top w:w="70" w:type="dxa"/>
              <w:start w:w="75" w:type="dxa"/>
              <w:bottom w:w="70" w:type="dxa"/>
              <w:end w:w="75" w:type="dxa"/>
            </w:tcMar>
            <w:vAlign w:val="center"/>
          </w:tcPr>
          <w:p>
            <w:pPr>
              <w:spacing w:after="0" w:before="0" w:line="240" w:lineRule="auto"/>
            </w:pPr>
            <w:r>
              <w:rPr>
                <w:rFonts w:ascii="Aptos" w:hAnsi="Aptos"/>
                <w:sz w:val="18"/>
              </w:rPr>
              <w:t>Specialist / Department Handoffs</w:t>
            </w:r>
          </w:p>
        </w:tc>
        <w:tc>
          <w:tcPr>
            <w:tcW w:type="dxa" w:w="8424"/>
            <w:tcMar>
              <w:top w:w="70" w:type="dxa"/>
              <w:start w:w="75" w:type="dxa"/>
              <w:bottom w:w="70" w:type="dxa"/>
              <w:end w:w="75" w:type="dxa"/>
            </w:tcMar>
            <w:vAlign w:val="center"/>
          </w:tcPr>
          <w:p>
            <w:pPr>
              <w:spacing w:after="0" w:before="0" w:line="240" w:lineRule="auto"/>
            </w:pPr>
            <w:r>
              <w:rPr>
                <w:rFonts w:ascii="Aptos" w:hAnsi="Aptos"/>
                <w:sz w:val="18"/>
              </w:rPr>
              <w:t>Brand Authority Builder for approved local proof/citation depth; Technical SEO for final link implementation; Analytics for event definitions; Strategy/Search for keyword changes; Digital PR/Backlink Auditor only for deeper authority work.</w:t>
            </w:r>
          </w:p>
        </w:tc>
      </w:tr>
      <w:tr>
        <w:trPr>
          <w:cantSplit/>
        </w:trPr>
        <w:tc>
          <w:tcPr>
            <w:tcW w:type="dxa" w:w="2520"/>
            <w:tcMar>
              <w:top w:w="70" w:type="dxa"/>
              <w:start w:w="75" w:type="dxa"/>
              <w:bottom w:w="70" w:type="dxa"/>
              <w:end w:w="75" w:type="dxa"/>
            </w:tcMar>
            <w:vAlign w:val="center"/>
          </w:tcPr>
          <w:p>
            <w:pPr>
              <w:spacing w:after="0" w:before="0" w:line="240" w:lineRule="auto"/>
            </w:pPr>
            <w:r>
              <w:rPr>
                <w:rFonts w:ascii="Aptos" w:hAnsi="Aptos"/>
                <w:sz w:val="18"/>
              </w:rPr>
              <w:t>Final Recommended Actions</w:t>
            </w:r>
          </w:p>
        </w:tc>
        <w:tc>
          <w:tcPr>
            <w:tcW w:type="dxa" w:w="8424"/>
            <w:tcMar>
              <w:top w:w="70" w:type="dxa"/>
              <w:start w:w="75" w:type="dxa"/>
              <w:bottom w:w="70" w:type="dxa"/>
              <w:end w:w="75" w:type="dxa"/>
            </w:tcMar>
            <w:vAlign w:val="center"/>
          </w:tcPr>
          <w:p>
            <w:pPr>
              <w:spacing w:after="0" w:before="0" w:line="240" w:lineRule="auto"/>
            </w:pPr>
            <w:r>
              <w:rPr>
                <w:rFonts w:ascii="Aptos" w:hAnsi="Aptos"/>
                <w:sz w:val="18"/>
              </w:rPr>
              <w:t>Collect dated Ajith confirmations; do not imply all-Melbourne coverage unless confirmed; use current pricing/travel rules only; remove obsolete venue framing; verify proof permissions; confirm link implementation; keep configured conversions out of booking claims.</w:t>
            </w:r>
          </w:p>
        </w:tc>
      </w:tr>
    </w:tbl>
    <w:p>
      <w:pPr>
        <w:pStyle w:val="Heading2"/>
      </w:pPr>
      <w:r>
        <w:t>HP-003</w:t>
      </w:r>
    </w:p>
    <w:tbl>
      <w:tblPr>
        <w:tblStyle w:val="TableGrid"/>
        <w:tblW w:type="auto" w:w="0"/>
        <w:jc w:val="center"/>
        <w:tblLayout w:type="fixed"/>
        <w:tblLook w:firstColumn="1" w:firstRow="1" w:lastColumn="0" w:lastRow="0" w:noHBand="0" w:noVBand="1" w:val="04A0"/>
      </w:tblPr>
      <w:tblGrid>
        <w:gridCol w:w="5472"/>
        <w:gridCol w:w="5472"/>
      </w:tblGrid>
      <w:tr>
        <w:trPr>
          <w:cantSplit/>
          <w:tblHeader w:val="true"/>
        </w:trPr>
        <w:tc>
          <w:tcPr>
            <w:tcW w:type="dxa" w:w="2520"/>
            <w:tcMar>
              <w:top w:w="70" w:type="dxa"/>
              <w:start w:w="75" w:type="dxa"/>
              <w:bottom w:w="70" w:type="dxa"/>
              <w:end w:w="75" w:type="dxa"/>
            </w:tcMar>
            <w:vAlign w:val="center"/>
            <w:shd w:fill="17365D"/>
          </w:tcPr>
          <w:p>
            <w:pPr>
              <w:spacing w:after="0" w:before="0" w:line="240" w:lineRule="auto"/>
            </w:pPr>
            <w:r>
              <w:rPr>
                <w:rFonts w:ascii="Aptos" w:hAnsi="Aptos"/>
                <w:b/>
                <w:color w:val="FFFFFF"/>
                <w:sz w:val="18"/>
              </w:rPr>
              <w:t>Handoff field</w:t>
            </w:r>
          </w:p>
        </w:tc>
        <w:tc>
          <w:tcPr>
            <w:tcW w:type="dxa" w:w="8424"/>
            <w:tcMar>
              <w:top w:w="70" w:type="dxa"/>
              <w:start w:w="75" w:type="dxa"/>
              <w:bottom w:w="70" w:type="dxa"/>
              <w:end w:w="75" w:type="dxa"/>
            </w:tcMar>
            <w:vAlign w:val="center"/>
            <w:shd w:fill="17365D"/>
          </w:tcPr>
          <w:p>
            <w:pPr>
              <w:spacing w:after="0" w:before="0" w:line="240" w:lineRule="auto"/>
            </w:pPr>
            <w:r>
              <w:rPr>
                <w:rFonts w:ascii="Aptos" w:hAnsi="Aptos"/>
                <w:b/>
                <w:color w:val="FFFFFF"/>
                <w:sz w:val="18"/>
              </w:rPr>
              <w:t>Final validated recommendation</w:t>
            </w:r>
          </w:p>
        </w:tc>
      </w:tr>
      <w:tr>
        <w:trPr>
          <w:cantSplit/>
        </w:trPr>
        <w:tc>
          <w:tcPr>
            <w:tcW w:type="dxa" w:w="2520"/>
            <w:tcMar>
              <w:top w:w="70" w:type="dxa"/>
              <w:start w:w="75" w:type="dxa"/>
              <w:bottom w:w="70" w:type="dxa"/>
              <w:end w:w="75" w:type="dxa"/>
            </w:tcMar>
            <w:vAlign w:val="center"/>
          </w:tcPr>
          <w:p>
            <w:pPr>
              <w:spacing w:after="0" w:before="0" w:line="240" w:lineRule="auto"/>
            </w:pPr>
            <w:r>
              <w:rPr>
                <w:rFonts w:ascii="Aptos" w:hAnsi="Aptos"/>
                <w:sz w:val="18"/>
              </w:rPr>
              <w:t>Development Readiness</w:t>
            </w:r>
          </w:p>
        </w:tc>
        <w:tc>
          <w:tcPr>
            <w:tcW w:type="dxa" w:w="8424"/>
            <w:tcMar>
              <w:top w:w="70" w:type="dxa"/>
              <w:start w:w="75" w:type="dxa"/>
              <w:bottom w:w="70" w:type="dxa"/>
              <w:end w:w="75" w:type="dxa"/>
            </w:tcMar>
            <w:vAlign w:val="center"/>
          </w:tcPr>
          <w:p>
            <w:pPr>
              <w:spacing w:after="0" w:before="0" w:line="240" w:lineRule="auto"/>
            </w:pPr>
            <w:r>
              <w:rPr>
                <w:rFonts w:ascii="Aptos" w:hAnsi="Aptos"/>
                <w:sz w:val="18"/>
              </w:rPr>
              <w:t>Ready for Development with Conditions — Evidence and Owner Input Required. Structure can proceed; comparative conclusions must wait for the methodology and supporting evidence.</w:t>
            </w:r>
          </w:p>
        </w:tc>
      </w:tr>
      <w:tr>
        <w:trPr>
          <w:cantSplit/>
        </w:trPr>
        <w:tc>
          <w:tcPr>
            <w:tcW w:type="dxa" w:w="2520"/>
            <w:tcMar>
              <w:top w:w="70" w:type="dxa"/>
              <w:start w:w="75" w:type="dxa"/>
              <w:bottom w:w="70" w:type="dxa"/>
              <w:end w:w="75" w:type="dxa"/>
            </w:tcMar>
            <w:vAlign w:val="center"/>
          </w:tcPr>
          <w:p>
            <w:pPr>
              <w:spacing w:after="0" w:before="0" w:line="240" w:lineRule="auto"/>
            </w:pPr>
            <w:r>
              <w:rPr>
                <w:rFonts w:ascii="Aptos" w:hAnsi="Aptos"/>
                <w:sz w:val="18"/>
              </w:rPr>
              <w:t>Can Use Now</w:t>
            </w:r>
          </w:p>
        </w:tc>
        <w:tc>
          <w:tcPr>
            <w:tcW w:type="dxa" w:w="8424"/>
            <w:tcMar>
              <w:top w:w="70" w:type="dxa"/>
              <w:start w:w="75" w:type="dxa"/>
              <w:bottom w:w="70" w:type="dxa"/>
              <w:end w:w="75" w:type="dxa"/>
            </w:tcMar>
            <w:vAlign w:val="center"/>
          </w:tcPr>
          <w:p>
            <w:pPr>
              <w:spacing w:after="0" w:before="0" w:line="240" w:lineRule="auto"/>
            </w:pPr>
            <w:r>
              <w:rPr>
                <w:rFonts w:ascii="Aptos" w:hAnsi="Aptos"/>
                <w:sz w:val="18"/>
              </w:rPr>
              <w:t>Approved P2 editorial role; neutral/useful-before-selling requirement; supplied keyword inputs; comparison dimensions and AEO questions; HP-001 commercial relationship; legacy migration instruction; approved measurement rule.</w:t>
            </w:r>
          </w:p>
        </w:tc>
      </w:tr>
      <w:tr>
        <w:trPr>
          <w:cantSplit/>
        </w:trPr>
        <w:tc>
          <w:tcPr>
            <w:tcW w:type="dxa" w:w="2520"/>
            <w:tcMar>
              <w:top w:w="70" w:type="dxa"/>
              <w:start w:w="75" w:type="dxa"/>
              <w:bottom w:w="70" w:type="dxa"/>
              <w:end w:w="75" w:type="dxa"/>
            </w:tcMar>
            <w:vAlign w:val="center"/>
          </w:tcPr>
          <w:p>
            <w:pPr>
              <w:spacing w:after="0" w:before="0" w:line="240" w:lineRule="auto"/>
            </w:pPr>
            <w:r>
              <w:rPr>
                <w:rFonts w:ascii="Aptos" w:hAnsi="Aptos"/>
                <w:sz w:val="18"/>
              </w:rPr>
              <w:t>Evidence Still Required</w:t>
            </w:r>
          </w:p>
        </w:tc>
        <w:tc>
          <w:tcPr>
            <w:tcW w:type="dxa" w:w="8424"/>
            <w:tcMar>
              <w:top w:w="70" w:type="dxa"/>
              <w:start w:w="75" w:type="dxa"/>
              <w:bottom w:w="70" w:type="dxa"/>
              <w:end w:w="75" w:type="dxa"/>
            </w:tcMar>
            <w:vAlign w:val="center"/>
          </w:tcPr>
          <w:p>
            <w:pPr>
              <w:spacing w:after="0" w:before="0" w:line="240" w:lineRule="auto"/>
            </w:pPr>
            <w:r>
              <w:rPr>
                <w:rFonts w:ascii="Aptos" w:hAnsi="Aptos"/>
                <w:sz w:val="18"/>
              </w:rPr>
              <w:t>Original comparison methodology; ViriVr event-planner input; real run sheets; tested space/group-size ranges; evidence for age/space/budget/effort/weather/participation comparisons; permissioned original images; approved authoritative safety guidance where relevant.</w:t>
            </w:r>
          </w:p>
        </w:tc>
      </w:tr>
      <w:tr>
        <w:trPr>
          <w:cantSplit/>
        </w:trPr>
        <w:tc>
          <w:tcPr>
            <w:tcW w:type="dxa" w:w="2520"/>
            <w:tcMar>
              <w:top w:w="70" w:type="dxa"/>
              <w:start w:w="75" w:type="dxa"/>
              <w:bottom w:w="70" w:type="dxa"/>
              <w:end w:w="75" w:type="dxa"/>
            </w:tcMar>
            <w:vAlign w:val="center"/>
          </w:tcPr>
          <w:p>
            <w:pPr>
              <w:spacing w:after="0" w:before="0" w:line="240" w:lineRule="auto"/>
            </w:pPr>
            <w:r>
              <w:rPr>
                <w:rFonts w:ascii="Aptos" w:hAnsi="Aptos"/>
                <w:sz w:val="18"/>
              </w:rPr>
              <w:t>Human Clarification Required</w:t>
            </w:r>
          </w:p>
        </w:tc>
        <w:tc>
          <w:tcPr>
            <w:tcW w:type="dxa" w:w="8424"/>
            <w:tcMar>
              <w:top w:w="70" w:type="dxa"/>
              <w:start w:w="75" w:type="dxa"/>
              <w:bottom w:w="70" w:type="dxa"/>
              <w:end w:w="75" w:type="dxa"/>
            </w:tcMar>
            <w:vAlign w:val="center"/>
          </w:tcPr>
          <w:p>
            <w:pPr>
              <w:spacing w:after="0" w:before="0" w:line="240" w:lineRule="auto"/>
            </w:pPr>
            <w:r>
              <w:rPr>
                <w:rFonts w:ascii="Aptos" w:hAnsi="Aptos"/>
                <w:sz w:val="18"/>
              </w:rPr>
              <w:t>Confirm the accountable Content/Strategy owner for the comparison methodology. Human Authority Manager must approve/clarify the authoritative safety source and responsible safety/legal specialist where needed. Ajith supplies only ViriVr operational evidence.</w:t>
            </w:r>
          </w:p>
        </w:tc>
      </w:tr>
      <w:tr>
        <w:trPr>
          <w:cantSplit/>
        </w:trPr>
        <w:tc>
          <w:tcPr>
            <w:tcW w:type="dxa" w:w="2520"/>
            <w:tcMar>
              <w:top w:w="70" w:type="dxa"/>
              <w:start w:w="75" w:type="dxa"/>
              <w:bottom w:w="70" w:type="dxa"/>
              <w:end w:w="75" w:type="dxa"/>
            </w:tcMar>
            <w:vAlign w:val="center"/>
          </w:tcPr>
          <w:p>
            <w:pPr>
              <w:spacing w:after="0" w:before="0" w:line="240" w:lineRule="auto"/>
            </w:pPr>
            <w:r>
              <w:rPr>
                <w:rFonts w:ascii="Aptos" w:hAnsi="Aptos"/>
                <w:sz w:val="18"/>
              </w:rPr>
              <w:t>Specialist / Department Handoffs</w:t>
            </w:r>
          </w:p>
        </w:tc>
        <w:tc>
          <w:tcPr>
            <w:tcW w:type="dxa" w:w="8424"/>
            <w:tcMar>
              <w:top w:w="70" w:type="dxa"/>
              <w:start w:w="75" w:type="dxa"/>
              <w:bottom w:w="70" w:type="dxa"/>
              <w:end w:w="75" w:type="dxa"/>
            </w:tcMar>
            <w:vAlign w:val="center"/>
          </w:tcPr>
          <w:p>
            <w:pPr>
              <w:spacing w:after="0" w:before="0" w:line="240" w:lineRule="auto"/>
            </w:pPr>
            <w:r>
              <w:rPr>
                <w:rFonts w:ascii="Aptos" w:hAnsi="Aptos"/>
                <w:sz w:val="18"/>
              </w:rPr>
              <w:t>Content/Strategy owns methodology and comparative content; Technical SEO handles redirect/link implementation; Analytics measures post-launch; Brand Authority Builder handles approved proof assets; Digital PR/Backlink Auditor only if deeper competitor authority analysis is required.</w:t>
            </w:r>
          </w:p>
        </w:tc>
      </w:tr>
      <w:tr>
        <w:trPr>
          <w:cantSplit/>
        </w:trPr>
        <w:tc>
          <w:tcPr>
            <w:tcW w:type="dxa" w:w="2520"/>
            <w:tcMar>
              <w:top w:w="70" w:type="dxa"/>
              <w:start w:w="75" w:type="dxa"/>
              <w:bottom w:w="70" w:type="dxa"/>
              <w:end w:w="75" w:type="dxa"/>
            </w:tcMar>
            <w:vAlign w:val="center"/>
          </w:tcPr>
          <w:p>
            <w:pPr>
              <w:spacing w:after="0" w:before="0" w:line="240" w:lineRule="auto"/>
            </w:pPr>
            <w:r>
              <w:rPr>
                <w:rFonts w:ascii="Aptos" w:hAnsi="Aptos"/>
                <w:sz w:val="18"/>
              </w:rPr>
              <w:t>Final Recommended Actions</w:t>
            </w:r>
          </w:p>
        </w:tc>
        <w:tc>
          <w:tcPr>
            <w:tcW w:type="dxa" w:w="8424"/>
            <w:tcMar>
              <w:top w:w="70" w:type="dxa"/>
              <w:start w:w="75" w:type="dxa"/>
              <w:bottom w:w="70" w:type="dxa"/>
              <w:end w:w="75" w:type="dxa"/>
            </w:tcMar>
            <w:vAlign w:val="center"/>
          </w:tcPr>
          <w:p>
            <w:pPr>
              <w:spacing w:after="0" w:before="0" w:line="240" w:lineRule="auto"/>
            </w:pPr>
            <w:r>
              <w:rPr>
                <w:rFonts w:ascii="Aptos" w:hAnsi="Aptos"/>
                <w:sz w:val="18"/>
              </w:rPr>
              <w:t>Create the methodology/evidence map first; separate ViriVr operational claims from general-party advice; avoid unsupported “best,” “safe,” engagement or cost claims; review legacy content before reuse; keep service detail on HP-001; retain keyword and analytics limitations.</w:t>
            </w:r>
          </w:p>
        </w:tc>
      </w:tr>
    </w:tbl>
    <w:p>
      <w:pPr>
        <w:pStyle w:val="Heading1"/>
      </w:pPr>
      <w:r>
        <w:t>6. Cross-Page Dependencies</w:t>
      </w:r>
    </w:p>
    <w:tbl>
      <w:tblPr>
        <w:tblStyle w:val="TableGrid"/>
        <w:tblW w:type="auto" w:w="0"/>
        <w:jc w:val="center"/>
        <w:tblLayout w:type="fixed"/>
        <w:tblLook w:firstColumn="1" w:firstRow="1" w:lastColumn="0" w:lastRow="0" w:noHBand="0" w:noVBand="1" w:val="04A0"/>
      </w:tblPr>
      <w:tblGrid>
        <w:gridCol w:w="3648"/>
        <w:gridCol w:w="3648"/>
        <w:gridCol w:w="3648"/>
      </w:tblGrid>
      <w:tr>
        <w:trPr>
          <w:cantSplit/>
          <w:tblHeader w:val="true"/>
        </w:trPr>
        <w:tc>
          <w:tcPr>
            <w:tcW w:type="dxa" w:w="2520"/>
            <w:tcMar>
              <w:top w:w="70" w:type="dxa"/>
              <w:start w:w="75" w:type="dxa"/>
              <w:bottom w:w="70" w:type="dxa"/>
              <w:end w:w="75" w:type="dxa"/>
            </w:tcMar>
            <w:vAlign w:val="center"/>
            <w:shd w:fill="17365D"/>
          </w:tcPr>
          <w:p>
            <w:pPr>
              <w:spacing w:after="0" w:before="0" w:line="240" w:lineRule="auto"/>
            </w:pPr>
            <w:r>
              <w:rPr>
                <w:rFonts w:ascii="Aptos" w:hAnsi="Aptos"/>
                <w:b/>
                <w:color w:val="FFFFFF"/>
                <w:sz w:val="17"/>
              </w:rPr>
              <w:t>Dependency</w:t>
            </w:r>
          </w:p>
        </w:tc>
        <w:tc>
          <w:tcPr>
            <w:tcW w:type="dxa" w:w="4320"/>
            <w:tcMar>
              <w:top w:w="70" w:type="dxa"/>
              <w:start w:w="75" w:type="dxa"/>
              <w:bottom w:w="70" w:type="dxa"/>
              <w:end w:w="75" w:type="dxa"/>
            </w:tcMar>
            <w:vAlign w:val="center"/>
            <w:shd w:fill="17365D"/>
          </w:tcPr>
          <w:p>
            <w:pPr>
              <w:spacing w:after="0" w:before="0" w:line="240" w:lineRule="auto"/>
            </w:pPr>
            <w:r>
              <w:rPr>
                <w:rFonts w:ascii="Aptos" w:hAnsi="Aptos"/>
                <w:b/>
                <w:color w:val="FFFFFF"/>
                <w:sz w:val="17"/>
              </w:rPr>
              <w:t>Validated position</w:t>
            </w:r>
          </w:p>
        </w:tc>
        <w:tc>
          <w:tcPr>
            <w:tcW w:type="dxa" w:w="4104"/>
            <w:tcMar>
              <w:top w:w="70" w:type="dxa"/>
              <w:start w:w="75" w:type="dxa"/>
              <w:bottom w:w="70" w:type="dxa"/>
              <w:end w:w="75" w:type="dxa"/>
            </w:tcMar>
            <w:vAlign w:val="center"/>
            <w:shd w:fill="17365D"/>
          </w:tcPr>
          <w:p>
            <w:pPr>
              <w:spacing w:after="0" w:before="0" w:line="240" w:lineRule="auto"/>
            </w:pPr>
            <w:r>
              <w:rPr>
                <w:rFonts w:ascii="Aptos" w:hAnsi="Aptos"/>
                <w:b/>
                <w:color w:val="FFFFFF"/>
                <w:sz w:val="17"/>
              </w:rPr>
              <w:t>Implementation control</w:t>
            </w:r>
          </w:p>
        </w:tc>
      </w:tr>
      <w:tr>
        <w:trPr>
          <w:cantSplit/>
        </w:trPr>
        <w:tc>
          <w:tcPr>
            <w:tcW w:type="dxa" w:w="2520"/>
            <w:tcMar>
              <w:top w:w="70" w:type="dxa"/>
              <w:start w:w="75" w:type="dxa"/>
              <w:bottom w:w="70" w:type="dxa"/>
              <w:end w:w="75" w:type="dxa"/>
            </w:tcMar>
            <w:vAlign w:val="center"/>
          </w:tcPr>
          <w:p>
            <w:pPr>
              <w:spacing w:after="0" w:before="0" w:line="240" w:lineRule="auto"/>
            </w:pPr>
            <w:r>
              <w:rPr>
                <w:rFonts w:ascii="Aptos" w:hAnsi="Aptos"/>
                <w:sz w:val="17"/>
              </w:rPr>
              <w:t>Operational evidence owner</w:t>
            </w:r>
          </w:p>
        </w:tc>
        <w:tc>
          <w:tcPr>
            <w:tcW w:type="dxa" w:w="4320"/>
            <w:tcMar>
              <w:top w:w="70" w:type="dxa"/>
              <w:start w:w="75" w:type="dxa"/>
              <w:bottom w:w="70" w:type="dxa"/>
              <w:end w:w="75" w:type="dxa"/>
            </w:tcMar>
            <w:vAlign w:val="center"/>
          </w:tcPr>
          <w:p>
            <w:pPr>
              <w:spacing w:after="0" w:before="0" w:line="240" w:lineRule="auto"/>
            </w:pPr>
            <w:r>
              <w:rPr>
                <w:rFonts w:ascii="Aptos" w:hAnsi="Aptos"/>
                <w:sz w:val="17"/>
              </w:rPr>
              <w:t>Ajith Ratnarajah is the approved source/owner for ViriVr operational evidence across all three pages.</w:t>
            </w:r>
          </w:p>
        </w:tc>
        <w:tc>
          <w:tcPr>
            <w:tcW w:type="dxa" w:w="4104"/>
            <w:tcMar>
              <w:top w:w="70" w:type="dxa"/>
              <w:start w:w="75" w:type="dxa"/>
              <w:bottom w:w="70" w:type="dxa"/>
              <w:end w:w="75" w:type="dxa"/>
            </w:tcMar>
            <w:vAlign w:val="center"/>
          </w:tcPr>
          <w:p>
            <w:pPr>
              <w:spacing w:after="0" w:before="0" w:line="240" w:lineRule="auto"/>
            </w:pPr>
            <w:r>
              <w:rPr>
                <w:rFonts w:ascii="Aptos" w:hAnsi="Aptos"/>
                <w:sz w:val="17"/>
              </w:rPr>
              <w:t>Record exact confirmation/source/date. Unsupplied facts remain Evidence Required.</w:t>
            </w:r>
          </w:p>
        </w:tc>
      </w:tr>
      <w:tr>
        <w:trPr>
          <w:cantSplit/>
        </w:trPr>
        <w:tc>
          <w:tcPr>
            <w:tcW w:type="dxa" w:w="2520"/>
            <w:tcMar>
              <w:top w:w="70" w:type="dxa"/>
              <w:start w:w="75" w:type="dxa"/>
              <w:bottom w:w="70" w:type="dxa"/>
              <w:end w:w="75" w:type="dxa"/>
            </w:tcMar>
            <w:vAlign w:val="center"/>
          </w:tcPr>
          <w:p>
            <w:pPr>
              <w:spacing w:after="0" w:before="0" w:line="240" w:lineRule="auto"/>
            </w:pPr>
            <w:r>
              <w:rPr>
                <w:rFonts w:ascii="Aptos" w:hAnsi="Aptos"/>
                <w:sz w:val="17"/>
              </w:rPr>
              <w:t>Page ownership</w:t>
            </w:r>
          </w:p>
        </w:tc>
        <w:tc>
          <w:tcPr>
            <w:tcW w:type="dxa" w:w="4320"/>
            <w:tcMar>
              <w:top w:w="70" w:type="dxa"/>
              <w:start w:w="75" w:type="dxa"/>
              <w:bottom w:w="70" w:type="dxa"/>
              <w:end w:w="75" w:type="dxa"/>
            </w:tcMar>
            <w:vAlign w:val="center"/>
          </w:tcPr>
          <w:p>
            <w:pPr>
              <w:spacing w:after="0" w:before="0" w:line="240" w:lineRule="auto"/>
            </w:pPr>
            <w:r>
              <w:rPr>
                <w:rFonts w:ascii="Aptos" w:hAnsi="Aptos"/>
                <w:sz w:val="17"/>
              </w:rPr>
              <w:t>HP-001 = national hosted-house-party service owner; HP-002 = Melbourne operational execution; HP-003 = neutral broad ideas/comparison guide.</w:t>
            </w:r>
          </w:p>
        </w:tc>
        <w:tc>
          <w:tcPr>
            <w:tcW w:type="dxa" w:w="4104"/>
            <w:tcMar>
              <w:top w:w="70" w:type="dxa"/>
              <w:start w:w="75" w:type="dxa"/>
              <w:bottom w:w="70" w:type="dxa"/>
              <w:end w:w="75" w:type="dxa"/>
            </w:tcMar>
            <w:vAlign w:val="center"/>
          </w:tcPr>
          <w:p>
            <w:pPr>
              <w:spacing w:after="0" w:before="0" w:line="240" w:lineRule="auto"/>
            </w:pPr>
            <w:r>
              <w:rPr>
                <w:rFonts w:ascii="Aptos" w:hAnsi="Aptos"/>
                <w:sz w:val="17"/>
              </w:rPr>
              <w:t>Preserve these boundaries in copy, links and redirects; any strategic ownership change belongs to Strategy/Search/Content governance.</w:t>
            </w:r>
          </w:p>
        </w:tc>
      </w:tr>
      <w:tr>
        <w:trPr>
          <w:cantSplit/>
        </w:trPr>
        <w:tc>
          <w:tcPr>
            <w:tcW w:type="dxa" w:w="2520"/>
            <w:tcMar>
              <w:top w:w="70" w:type="dxa"/>
              <w:start w:w="75" w:type="dxa"/>
              <w:bottom w:w="70" w:type="dxa"/>
              <w:end w:w="75" w:type="dxa"/>
            </w:tcMar>
            <w:vAlign w:val="center"/>
          </w:tcPr>
          <w:p>
            <w:pPr>
              <w:spacing w:after="0" w:before="0" w:line="240" w:lineRule="auto"/>
            </w:pPr>
            <w:r>
              <w:rPr>
                <w:rFonts w:ascii="Aptos" w:hAnsi="Aptos"/>
                <w:sz w:val="17"/>
              </w:rPr>
              <w:t>Proof and permissions</w:t>
            </w:r>
          </w:p>
        </w:tc>
        <w:tc>
          <w:tcPr>
            <w:tcW w:type="dxa" w:w="4320"/>
            <w:tcMar>
              <w:top w:w="70" w:type="dxa"/>
              <w:start w:w="75" w:type="dxa"/>
              <w:bottom w:w="70" w:type="dxa"/>
              <w:end w:w="75" w:type="dxa"/>
            </w:tcMar>
            <w:vAlign w:val="center"/>
          </w:tcPr>
          <w:p>
            <w:pPr>
              <w:spacing w:after="0" w:before="0" w:line="240" w:lineRule="auto"/>
            </w:pPr>
            <w:r>
              <w:rPr>
                <w:rFonts w:ascii="Aptos" w:hAnsi="Aptos"/>
                <w:sz w:val="17"/>
              </w:rPr>
              <w:t>Photos, testimonials, case studies and customer examples require provenance and permission before use.</w:t>
            </w:r>
          </w:p>
        </w:tc>
        <w:tc>
          <w:tcPr>
            <w:tcW w:type="dxa" w:w="4104"/>
            <w:tcMar>
              <w:top w:w="70" w:type="dxa"/>
              <w:start w:w="75" w:type="dxa"/>
              <w:bottom w:w="70" w:type="dxa"/>
              <w:end w:w="75" w:type="dxa"/>
            </w:tcMar>
            <w:vAlign w:val="center"/>
          </w:tcPr>
          <w:p>
            <w:pPr>
              <w:spacing w:after="0" w:before="0" w:line="240" w:lineRule="auto"/>
            </w:pPr>
            <w:r>
              <w:rPr>
                <w:rFonts w:ascii="Aptos" w:hAnsi="Aptos"/>
                <w:sz w:val="17"/>
              </w:rPr>
              <w:t>Ajith may identify operational assets; consent/rights remain documentary requirements; Brand Authority Builder reviews approved proof where needed.</w:t>
            </w:r>
          </w:p>
        </w:tc>
      </w:tr>
      <w:tr>
        <w:trPr>
          <w:cantSplit/>
        </w:trPr>
        <w:tc>
          <w:tcPr>
            <w:tcW w:type="dxa" w:w="2520"/>
            <w:tcMar>
              <w:top w:w="70" w:type="dxa"/>
              <w:start w:w="75" w:type="dxa"/>
              <w:bottom w:w="70" w:type="dxa"/>
              <w:end w:w="75" w:type="dxa"/>
            </w:tcMar>
            <w:vAlign w:val="center"/>
          </w:tcPr>
          <w:p>
            <w:pPr>
              <w:spacing w:after="0" w:before="0" w:line="240" w:lineRule="auto"/>
            </w:pPr>
            <w:r>
              <w:rPr>
                <w:rFonts w:ascii="Aptos" w:hAnsi="Aptos"/>
                <w:sz w:val="17"/>
              </w:rPr>
              <w:t>Safety / insurance / privacy</w:t>
            </w:r>
          </w:p>
        </w:tc>
        <w:tc>
          <w:tcPr>
            <w:tcW w:type="dxa" w:w="4320"/>
            <w:tcMar>
              <w:top w:w="70" w:type="dxa"/>
              <w:start w:w="75" w:type="dxa"/>
              <w:bottom w:w="70" w:type="dxa"/>
              <w:end w:w="75" w:type="dxa"/>
            </w:tcMar>
            <w:vAlign w:val="center"/>
          </w:tcPr>
          <w:p>
            <w:pPr>
              <w:spacing w:after="0" w:before="0" w:line="240" w:lineRule="auto"/>
            </w:pPr>
            <w:r>
              <w:rPr>
                <w:rFonts w:ascii="Aptos" w:hAnsi="Aptos"/>
                <w:sz w:val="17"/>
              </w:rPr>
              <w:t>Operational safety facts may come from Ajith, but insurance/public-liability, privacy/legal interpretation and consent controls need their applicable documentary/authorised sources.</w:t>
            </w:r>
          </w:p>
        </w:tc>
        <w:tc>
          <w:tcPr>
            <w:tcW w:type="dxa" w:w="4104"/>
            <w:tcMar>
              <w:top w:w="70" w:type="dxa"/>
              <w:start w:w="75" w:type="dxa"/>
              <w:bottom w:w="70" w:type="dxa"/>
              <w:end w:w="75" w:type="dxa"/>
            </w:tcMar>
            <w:vAlign w:val="center"/>
          </w:tcPr>
          <w:p>
            <w:pPr>
              <w:spacing w:after="0" w:before="0" w:line="240" w:lineRule="auto"/>
            </w:pPr>
            <w:r>
              <w:rPr>
                <w:rFonts w:ascii="Aptos" w:hAnsi="Aptos"/>
                <w:sz w:val="17"/>
              </w:rPr>
              <w:t>Do not infer these responsibilities from Ajith’s operational-owner status; escalate exact ownership where unclear.</w:t>
            </w:r>
          </w:p>
        </w:tc>
      </w:tr>
      <w:tr>
        <w:trPr>
          <w:cantSplit/>
        </w:trPr>
        <w:tc>
          <w:tcPr>
            <w:tcW w:type="dxa" w:w="2520"/>
            <w:tcMar>
              <w:top w:w="70" w:type="dxa"/>
              <w:start w:w="75" w:type="dxa"/>
              <w:bottom w:w="70" w:type="dxa"/>
              <w:end w:w="75" w:type="dxa"/>
            </w:tcMar>
            <w:vAlign w:val="center"/>
          </w:tcPr>
          <w:p>
            <w:pPr>
              <w:spacing w:after="0" w:before="0" w:line="240" w:lineRule="auto"/>
            </w:pPr>
            <w:r>
              <w:rPr>
                <w:rFonts w:ascii="Aptos" w:hAnsi="Aptos"/>
                <w:sz w:val="17"/>
              </w:rPr>
              <w:t>Keywords and demand</w:t>
            </w:r>
          </w:p>
        </w:tc>
        <w:tc>
          <w:tcPr>
            <w:tcW w:type="dxa" w:w="4320"/>
            <w:tcMar>
              <w:top w:w="70" w:type="dxa"/>
              <w:start w:w="75" w:type="dxa"/>
              <w:bottom w:w="70" w:type="dxa"/>
              <w:end w:w="75" w:type="dxa"/>
            </w:tcMar>
            <w:vAlign w:val="center"/>
          </w:tcPr>
          <w:p>
            <w:pPr>
              <w:spacing w:after="0" w:before="0" w:line="240" w:lineRule="auto"/>
            </w:pPr>
            <w:r>
              <w:rPr>
                <w:rFonts w:ascii="Aptos" w:hAnsi="Aptos"/>
                <w:sz w:val="17"/>
              </w:rPr>
              <w:t>Supplied keyword inputs may be used; Melbourne-segmented/overlapping volumes are not national market demand.</w:t>
            </w:r>
          </w:p>
        </w:tc>
        <w:tc>
          <w:tcPr>
            <w:tcW w:type="dxa" w:w="4104"/>
            <w:tcMar>
              <w:top w:w="70" w:type="dxa"/>
              <w:start w:w="75" w:type="dxa"/>
              <w:bottom w:w="70" w:type="dxa"/>
              <w:end w:w="75" w:type="dxa"/>
            </w:tcMar>
            <w:vAlign w:val="center"/>
          </w:tcPr>
          <w:p>
            <w:pPr>
              <w:spacing w:after="0" w:before="0" w:line="240" w:lineRule="auto"/>
            </w:pPr>
            <w:r>
              <w:rPr>
                <w:rFonts w:ascii="Aptos" w:hAnsi="Aptos"/>
                <w:sz w:val="17"/>
              </w:rPr>
              <w:t>Do not change keyword strategy within Authority Management; route changes/revalidation to Strategy/Search.</w:t>
            </w:r>
          </w:p>
        </w:tc>
      </w:tr>
      <w:tr>
        <w:trPr>
          <w:cantSplit/>
        </w:trPr>
        <w:tc>
          <w:tcPr>
            <w:tcW w:type="dxa" w:w="2520"/>
            <w:tcMar>
              <w:top w:w="70" w:type="dxa"/>
              <w:start w:w="75" w:type="dxa"/>
              <w:bottom w:w="70" w:type="dxa"/>
              <w:end w:w="75" w:type="dxa"/>
            </w:tcMar>
            <w:vAlign w:val="center"/>
          </w:tcPr>
          <w:p>
            <w:pPr>
              <w:spacing w:after="0" w:before="0" w:line="240" w:lineRule="auto"/>
            </w:pPr>
            <w:r>
              <w:rPr>
                <w:rFonts w:ascii="Aptos" w:hAnsi="Aptos"/>
                <w:sz w:val="17"/>
              </w:rPr>
              <w:t>Analytics</w:t>
            </w:r>
          </w:p>
        </w:tc>
        <w:tc>
          <w:tcPr>
            <w:tcW w:type="dxa" w:w="4320"/>
            <w:tcMar>
              <w:top w:w="70" w:type="dxa"/>
              <w:start w:w="75" w:type="dxa"/>
              <w:bottom w:w="70" w:type="dxa"/>
              <w:end w:w="75" w:type="dxa"/>
            </w:tcMar>
            <w:vAlign w:val="center"/>
          </w:tcPr>
          <w:p>
            <w:pPr>
              <w:spacing w:after="0" w:before="0" w:line="240" w:lineRule="auto"/>
            </w:pPr>
            <w:r>
              <w:rPr>
                <w:rFonts w:ascii="Aptos" w:hAnsi="Aptos"/>
                <w:sz w:val="17"/>
              </w:rPr>
              <w:t>Configured GA4 conversions are not verified as leads/bookings; legacy/site data is not proof of future HP-page performance.</w:t>
            </w:r>
          </w:p>
        </w:tc>
        <w:tc>
          <w:tcPr>
            <w:tcW w:type="dxa" w:w="4104"/>
            <w:tcMar>
              <w:top w:w="70" w:type="dxa"/>
              <w:start w:w="75" w:type="dxa"/>
              <w:bottom w:w="70" w:type="dxa"/>
              <w:end w:w="75" w:type="dxa"/>
            </w:tcMar>
            <w:vAlign w:val="center"/>
          </w:tcPr>
          <w:p>
            <w:pPr>
              <w:spacing w:after="0" w:before="0" w:line="240" w:lineRule="auto"/>
            </w:pPr>
            <w:r>
              <w:rPr>
                <w:rFonts w:ascii="Aptos" w:hAnsi="Aptos"/>
                <w:sz w:val="17"/>
              </w:rPr>
              <w:t>Analytics validates event definitions and post-launch reporting before performance claims.</w:t>
            </w:r>
          </w:p>
        </w:tc>
      </w:tr>
      <w:tr>
        <w:trPr>
          <w:cantSplit/>
        </w:trPr>
        <w:tc>
          <w:tcPr>
            <w:tcW w:type="dxa" w:w="2520"/>
            <w:tcMar>
              <w:top w:w="70" w:type="dxa"/>
              <w:start w:w="75" w:type="dxa"/>
              <w:bottom w:w="70" w:type="dxa"/>
              <w:end w:w="75" w:type="dxa"/>
            </w:tcMar>
            <w:vAlign w:val="center"/>
          </w:tcPr>
          <w:p>
            <w:pPr>
              <w:spacing w:after="0" w:before="0" w:line="240" w:lineRule="auto"/>
            </w:pPr>
            <w:r>
              <w:rPr>
                <w:rFonts w:ascii="Aptos" w:hAnsi="Aptos"/>
                <w:sz w:val="17"/>
              </w:rPr>
              <w:t>Technical implementation</w:t>
            </w:r>
          </w:p>
        </w:tc>
        <w:tc>
          <w:tcPr>
            <w:tcW w:type="dxa" w:w="4320"/>
            <w:tcMar>
              <w:top w:w="70" w:type="dxa"/>
              <w:start w:w="75" w:type="dxa"/>
              <w:bottom w:w="70" w:type="dxa"/>
              <w:end w:w="75" w:type="dxa"/>
            </w:tcMar>
            <w:vAlign w:val="center"/>
          </w:tcPr>
          <w:p>
            <w:pPr>
              <w:spacing w:after="0" w:before="0" w:line="240" w:lineRule="auto"/>
            </w:pPr>
            <w:r>
              <w:rPr>
                <w:rFonts w:ascii="Aptos" w:hAnsi="Aptos"/>
                <w:sz w:val="17"/>
              </w:rPr>
              <w:t>Approved page relationships and consolidation instructions exist, but final links, redirects, canonicals and schema are Technical SEO responsibilities.</w:t>
            </w:r>
          </w:p>
        </w:tc>
        <w:tc>
          <w:tcPr>
            <w:tcW w:type="dxa" w:w="4104"/>
            <w:tcMar>
              <w:top w:w="70" w:type="dxa"/>
              <w:start w:w="75" w:type="dxa"/>
              <w:bottom w:w="70" w:type="dxa"/>
              <w:end w:w="75" w:type="dxa"/>
            </w:tcMar>
            <w:vAlign w:val="center"/>
          </w:tcPr>
          <w:p>
            <w:pPr>
              <w:spacing w:after="0" w:before="0" w:line="240" w:lineRule="auto"/>
            </w:pPr>
            <w:r>
              <w:rPr>
                <w:rFonts w:ascii="Aptos" w:hAnsi="Aptos"/>
                <w:sz w:val="17"/>
              </w:rPr>
              <w:t>Authority Manager checks alignment/evidence and routes implementation; it does not design or execute Technical SEO.</w:t>
            </w:r>
          </w:p>
        </w:tc>
      </w:tr>
      <w:tr>
        <w:trPr>
          <w:cantSplit/>
        </w:trPr>
        <w:tc>
          <w:tcPr>
            <w:tcW w:type="dxa" w:w="2520"/>
            <w:tcMar>
              <w:top w:w="70" w:type="dxa"/>
              <w:start w:w="75" w:type="dxa"/>
              <w:bottom w:w="70" w:type="dxa"/>
              <w:end w:w="75" w:type="dxa"/>
            </w:tcMar>
            <w:vAlign w:val="center"/>
          </w:tcPr>
          <w:p>
            <w:pPr>
              <w:spacing w:after="0" w:before="0" w:line="240" w:lineRule="auto"/>
            </w:pPr>
            <w:r>
              <w:rPr>
                <w:rFonts w:ascii="Aptos" w:hAnsi="Aptos"/>
                <w:sz w:val="17"/>
              </w:rPr>
              <w:t>Authority specialists</w:t>
            </w:r>
          </w:p>
        </w:tc>
        <w:tc>
          <w:tcPr>
            <w:tcW w:type="dxa" w:w="4320"/>
            <w:tcMar>
              <w:top w:w="70" w:type="dxa"/>
              <w:start w:w="75" w:type="dxa"/>
              <w:bottom w:w="70" w:type="dxa"/>
              <w:end w:w="75" w:type="dxa"/>
            </w:tcMar>
            <w:vAlign w:val="center"/>
          </w:tcPr>
          <w:p>
            <w:pPr>
              <w:spacing w:after="0" w:before="0" w:line="240" w:lineRule="auto"/>
            </w:pPr>
            <w:r>
              <w:rPr>
                <w:rFonts w:ascii="Aptos" w:hAnsi="Aptos"/>
                <w:sz w:val="17"/>
              </w:rPr>
              <w:t>Detailed PR, link-profile/backlink, and proof/citation/presence analysis remain bounded specialist work.</w:t>
            </w:r>
          </w:p>
        </w:tc>
        <w:tc>
          <w:tcPr>
            <w:tcW w:type="dxa" w:w="4104"/>
            <w:tcMar>
              <w:top w:w="70" w:type="dxa"/>
              <w:start w:w="75" w:type="dxa"/>
              <w:bottom w:w="70" w:type="dxa"/>
              <w:end w:w="75" w:type="dxa"/>
            </w:tcMar>
            <w:vAlign w:val="center"/>
          </w:tcPr>
          <w:p>
            <w:pPr>
              <w:spacing w:after="0" w:before="0" w:line="240" w:lineRule="auto"/>
            </w:pPr>
            <w:r>
              <w:rPr>
                <w:rFonts w:ascii="Aptos" w:hAnsi="Aptos"/>
                <w:sz w:val="17"/>
              </w:rPr>
              <w:t>Authority Manager prepares the work package, reviews outputs, records evidence and escalates unresolved conflicts.</w:t>
            </w:r>
          </w:p>
        </w:tc>
      </w:tr>
      <w:tr>
        <w:trPr>
          <w:cantSplit/>
        </w:trPr>
        <w:tc>
          <w:tcPr>
            <w:tcW w:type="dxa" w:w="2520"/>
            <w:tcMar>
              <w:top w:w="70" w:type="dxa"/>
              <w:start w:w="75" w:type="dxa"/>
              <w:bottom w:w="70" w:type="dxa"/>
              <w:end w:w="75" w:type="dxa"/>
            </w:tcMar>
            <w:vAlign w:val="center"/>
          </w:tcPr>
          <w:p>
            <w:pPr>
              <w:spacing w:after="0" w:before="0" w:line="240" w:lineRule="auto"/>
            </w:pPr>
            <w:r>
              <w:rPr>
                <w:rFonts w:ascii="Aptos" w:hAnsi="Aptos"/>
                <w:sz w:val="17"/>
              </w:rPr>
              <w:t>Readiness status</w:t>
            </w:r>
          </w:p>
        </w:tc>
        <w:tc>
          <w:tcPr>
            <w:tcW w:type="dxa" w:w="4320"/>
            <w:tcMar>
              <w:top w:w="70" w:type="dxa"/>
              <w:start w:w="75" w:type="dxa"/>
              <w:bottom w:w="70" w:type="dxa"/>
              <w:end w:w="75" w:type="dxa"/>
            </w:tcMar>
            <w:vAlign w:val="center"/>
          </w:tcPr>
          <w:p>
            <w:pPr>
              <w:spacing w:after="0" w:before="0" w:line="240" w:lineRule="auto"/>
            </w:pPr>
            <w:r>
              <w:rPr>
                <w:rFonts w:ascii="Aptos" w:hAnsi="Aptos"/>
                <w:sz w:val="17"/>
              </w:rPr>
              <w:t>All three pages may proceed into development with stated conditions.</w:t>
            </w:r>
          </w:p>
        </w:tc>
        <w:tc>
          <w:tcPr>
            <w:tcW w:type="dxa" w:w="4104"/>
            <w:tcMar>
              <w:top w:w="70" w:type="dxa"/>
              <w:start w:w="75" w:type="dxa"/>
              <w:bottom w:w="70" w:type="dxa"/>
              <w:end w:w="75" w:type="dxa"/>
            </w:tcMar>
            <w:vAlign w:val="center"/>
          </w:tcPr>
          <w:p>
            <w:pPr>
              <w:spacing w:after="0" w:before="0" w:line="240" w:lineRule="auto"/>
            </w:pPr>
            <w:r>
              <w:rPr>
                <w:rFonts w:ascii="Aptos" w:hAnsi="Aptos"/>
                <w:sz w:val="17"/>
              </w:rPr>
              <w:t>These are operational handoff statuses only; they do not constitute formal DoR, publication approval or specialist sign-off.</w:t>
            </w:r>
          </w:p>
        </w:tc>
      </w:tr>
    </w:tbl>
    <w:p>
      <w:pPr>
        <w:pStyle w:val="Heading1"/>
      </w:pPr>
      <w:r>
        <w:t>7. Final Handoff Summary</w:t>
      </w:r>
    </w:p>
    <w:tbl>
      <w:tblPr>
        <w:tblStyle w:val="TableGrid"/>
        <w:tblW w:type="auto" w:w="0"/>
        <w:jc w:val="center"/>
        <w:tblLayout w:type="fixed"/>
        <w:tblLook w:firstColumn="1" w:firstRow="1" w:lastColumn="0" w:lastRow="0" w:noHBand="0" w:noVBand="1" w:val="04A0"/>
      </w:tblPr>
      <w:tblGrid>
        <w:gridCol w:w="5472"/>
        <w:gridCol w:w="5472"/>
      </w:tblGrid>
      <w:tr>
        <w:trPr>
          <w:cantSplit/>
          <w:tblHeader w:val="true"/>
        </w:trPr>
        <w:tc>
          <w:tcPr>
            <w:tcW w:type="dxa" w:w="2520"/>
            <w:tcMar>
              <w:top w:w="70" w:type="dxa"/>
              <w:start w:w="75" w:type="dxa"/>
              <w:bottom w:w="70" w:type="dxa"/>
              <w:end w:w="75" w:type="dxa"/>
            </w:tcMar>
            <w:vAlign w:val="center"/>
            <w:shd w:fill="17365D"/>
          </w:tcPr>
          <w:p>
            <w:pPr>
              <w:spacing w:after="0" w:before="0" w:line="240" w:lineRule="auto"/>
            </w:pPr>
            <w:r>
              <w:rPr>
                <w:rFonts w:ascii="Aptos" w:hAnsi="Aptos"/>
                <w:b/>
                <w:color w:val="FFFFFF"/>
                <w:sz w:val="18"/>
              </w:rPr>
              <w:t>Handoff question</w:t>
            </w:r>
          </w:p>
        </w:tc>
        <w:tc>
          <w:tcPr>
            <w:tcW w:type="dxa" w:w="8424"/>
            <w:tcMar>
              <w:top w:w="70" w:type="dxa"/>
              <w:start w:w="75" w:type="dxa"/>
              <w:bottom w:w="70" w:type="dxa"/>
              <w:end w:w="75" w:type="dxa"/>
            </w:tcMar>
            <w:vAlign w:val="center"/>
            <w:shd w:fill="17365D"/>
          </w:tcPr>
          <w:p>
            <w:pPr>
              <w:spacing w:after="0" w:before="0" w:line="240" w:lineRule="auto"/>
            </w:pPr>
            <w:r>
              <w:rPr>
                <w:rFonts w:ascii="Aptos" w:hAnsi="Aptos"/>
                <w:b/>
                <w:color w:val="FFFFFF"/>
                <w:sz w:val="18"/>
              </w:rPr>
              <w:t>Validated answer</w:t>
            </w:r>
          </w:p>
        </w:tc>
      </w:tr>
      <w:tr>
        <w:trPr>
          <w:cantSplit/>
        </w:trPr>
        <w:tc>
          <w:tcPr>
            <w:tcW w:type="dxa" w:w="2520"/>
            <w:tcMar>
              <w:top w:w="70" w:type="dxa"/>
              <w:start w:w="75" w:type="dxa"/>
              <w:bottom w:w="70" w:type="dxa"/>
              <w:end w:w="75" w:type="dxa"/>
            </w:tcMar>
            <w:vAlign w:val="center"/>
          </w:tcPr>
          <w:p>
            <w:pPr>
              <w:spacing w:after="0" w:before="0" w:line="240" w:lineRule="auto"/>
            </w:pPr>
            <w:r>
              <w:rPr>
                <w:rFonts w:ascii="Aptos" w:hAnsi="Aptos"/>
                <w:sz w:val="18"/>
              </w:rPr>
              <w:t>What can proceed now</w:t>
            </w:r>
          </w:p>
        </w:tc>
        <w:tc>
          <w:tcPr>
            <w:tcW w:type="dxa" w:w="8424"/>
            <w:tcMar>
              <w:top w:w="70" w:type="dxa"/>
              <w:start w:w="75" w:type="dxa"/>
              <w:bottom w:w="70" w:type="dxa"/>
              <w:end w:w="75" w:type="dxa"/>
            </w:tcMar>
            <w:vAlign w:val="center"/>
          </w:tcPr>
          <w:p>
            <w:pPr>
              <w:spacing w:after="0" w:before="0" w:line="240" w:lineRule="auto"/>
            </w:pPr>
            <w:r>
              <w:rPr>
                <w:rFonts w:ascii="Aptos" w:hAnsi="Aptos"/>
                <w:sz w:val="18"/>
              </w:rPr>
              <w:t>Page structure, approved scope/intent, approved keyword inputs, evidence-led drafting, planned relationships and non-factual modules can proceed for HP-001, HP-002 and HP-003 within the validated boundaries.</w:t>
            </w:r>
          </w:p>
        </w:tc>
      </w:tr>
      <w:tr>
        <w:trPr>
          <w:cantSplit/>
        </w:trPr>
        <w:tc>
          <w:tcPr>
            <w:tcW w:type="dxa" w:w="2520"/>
            <w:tcMar>
              <w:top w:w="70" w:type="dxa"/>
              <w:start w:w="75" w:type="dxa"/>
              <w:bottom w:w="70" w:type="dxa"/>
              <w:end w:w="75" w:type="dxa"/>
            </w:tcMar>
            <w:vAlign w:val="center"/>
          </w:tcPr>
          <w:p>
            <w:pPr>
              <w:spacing w:after="0" w:before="0" w:line="240" w:lineRule="auto"/>
            </w:pPr>
            <w:r>
              <w:rPr>
                <w:rFonts w:ascii="Aptos" w:hAnsi="Aptos"/>
                <w:sz w:val="18"/>
              </w:rPr>
              <w:t>What remains outstanding</w:t>
            </w:r>
          </w:p>
        </w:tc>
        <w:tc>
          <w:tcPr>
            <w:tcW w:type="dxa" w:w="8424"/>
            <w:tcMar>
              <w:top w:w="70" w:type="dxa"/>
              <w:start w:w="75" w:type="dxa"/>
              <w:bottom w:w="70" w:type="dxa"/>
              <w:end w:w="75" w:type="dxa"/>
            </w:tcMar>
            <w:vAlign w:val="center"/>
          </w:tcPr>
          <w:p>
            <w:pPr>
              <w:spacing w:after="0" w:before="0" w:line="240" w:lineRule="auto"/>
            </w:pPr>
            <w:r>
              <w:rPr>
                <w:rFonts w:ascii="Aptos" w:hAnsi="Aptos"/>
                <w:sz w:val="18"/>
              </w:rPr>
              <w:t>Operational evidence/owner confirmation for HP-001/002; HP-003 comparison methodology and supporting evidence; safety/insurance/privacy/consent records where applicable; permissioned proof assets; governed analytics definitions; final technical implementation details.</w:t>
            </w:r>
          </w:p>
        </w:tc>
      </w:tr>
      <w:tr>
        <w:trPr>
          <w:cantSplit/>
        </w:trPr>
        <w:tc>
          <w:tcPr>
            <w:tcW w:type="dxa" w:w="2520"/>
            <w:tcMar>
              <w:top w:w="70" w:type="dxa"/>
              <w:start w:w="75" w:type="dxa"/>
              <w:bottom w:w="70" w:type="dxa"/>
              <w:end w:w="75" w:type="dxa"/>
            </w:tcMar>
            <w:vAlign w:val="center"/>
          </w:tcPr>
          <w:p>
            <w:pPr>
              <w:spacing w:after="0" w:before="0" w:line="240" w:lineRule="auto"/>
            </w:pPr>
            <w:r>
              <w:rPr>
                <w:rFonts w:ascii="Aptos" w:hAnsi="Aptos"/>
                <w:sz w:val="18"/>
              </w:rPr>
              <w:t>Who owns it</w:t>
            </w:r>
          </w:p>
        </w:tc>
        <w:tc>
          <w:tcPr>
            <w:tcW w:type="dxa" w:w="8424"/>
            <w:tcMar>
              <w:top w:w="70" w:type="dxa"/>
              <w:start w:w="75" w:type="dxa"/>
              <w:bottom w:w="70" w:type="dxa"/>
              <w:end w:w="75" w:type="dxa"/>
            </w:tcMar>
            <w:vAlign w:val="center"/>
          </w:tcPr>
          <w:p>
            <w:pPr>
              <w:spacing w:after="0" w:before="0" w:line="240" w:lineRule="auto"/>
            </w:pPr>
            <w:r>
              <w:rPr>
                <w:rFonts w:ascii="Aptos" w:hAnsi="Aptos"/>
                <w:sz w:val="18"/>
              </w:rPr>
              <w:t>Ajith Ratnarajah for ViriVr operational evidence; Content/Strategy for HP-003 methodology; Technical SEO for links/redirects/schema; Analytics for metrics; appropriate privacy/legal/insurance/consent owner for those records; Authority specialists for bounded authority work.</w:t>
            </w:r>
          </w:p>
        </w:tc>
      </w:tr>
      <w:tr>
        <w:trPr>
          <w:cantSplit/>
        </w:trPr>
        <w:tc>
          <w:tcPr>
            <w:tcW w:type="dxa" w:w="2520"/>
            <w:tcMar>
              <w:top w:w="70" w:type="dxa"/>
              <w:start w:w="75" w:type="dxa"/>
              <w:bottom w:w="70" w:type="dxa"/>
              <w:end w:w="75" w:type="dxa"/>
            </w:tcMar>
            <w:vAlign w:val="center"/>
          </w:tcPr>
          <w:p>
            <w:pPr>
              <w:spacing w:after="0" w:before="0" w:line="240" w:lineRule="auto"/>
            </w:pPr>
            <w:r>
              <w:rPr>
                <w:rFonts w:ascii="Aptos" w:hAnsi="Aptos"/>
                <w:sz w:val="18"/>
              </w:rPr>
              <w:t>What happens next</w:t>
            </w:r>
          </w:p>
        </w:tc>
        <w:tc>
          <w:tcPr>
            <w:tcW w:type="dxa" w:w="8424"/>
            <w:tcMar>
              <w:top w:w="70" w:type="dxa"/>
              <w:start w:w="75" w:type="dxa"/>
              <w:bottom w:w="70" w:type="dxa"/>
              <w:end w:w="75" w:type="dxa"/>
            </w:tcMar>
            <w:vAlign w:val="center"/>
          </w:tcPr>
          <w:p>
            <w:pPr>
              <w:spacing w:after="0" w:before="0" w:line="240" w:lineRule="auto"/>
            </w:pPr>
            <w:r>
              <w:rPr>
                <w:rFonts w:ascii="Aptos" w:hAnsi="Aptos"/>
                <w:sz w:val="18"/>
              </w:rPr>
              <w:t>Downstream teams implement from the validated handoffs, keep unresolved claims conditional, collect/record evidence with provenance, route specialist tasks, and return completed outputs to the Authority Manager for later quality/authority review under the existing governance workflow.</w:t>
            </w:r>
          </w:p>
        </w:tc>
      </w:tr>
    </w:tbl>
    <w:p>
      <w:pPr>
        <w:pStyle w:val="Heading1"/>
      </w:pPr>
      <w:r>
        <w:t>8. Validation Conclusion</w:t>
      </w:r>
    </w:p>
    <w:p>
      <w:r>
        <w:rPr>
          <w:b/>
        </w:rPr>
        <w:t xml:space="preserve">Overall validation result. </w:t>
      </w:r>
      <w:r>
        <w:t>The material findings in the three pre-development reports are suitable to carry forward once the qualifications in this report are applied. The dominant unresolved issue is evidence completion, not unsupported page strategy: HP-001 and HP-002 require current ViriVr operational evidence, while HP-003 additionally requires a defined comparison methodology and approved supporting evidence for comparative and safety claims.</w:t>
      </w:r>
    </w:p>
    <w:p>
      <w:r>
        <w:rPr>
          <w:b/>
        </w:rPr>
        <w:t xml:space="preserve">Governance position. </w:t>
      </w:r>
      <w:r>
        <w:t>Ajith Ratnarajah is the authorised operational owner and approved source for ViriVr operational evidence. His role resolves who should supply or confirm operational facts, but it does not verify facts that have not yet been supplied and does not automatically assign privacy, legal, insurance or consent responsibilities. Specialist and department boundaries remain unchanged.</w:t>
      </w:r>
    </w:p>
    <w:p>
      <w:r>
        <w:rPr>
          <w:b/>
        </w:rPr>
        <w:t xml:space="preserve">Next control point. </w:t>
      </w:r>
      <w:r>
        <w:t>Downstream implementation should proceed only within the validated handoffs above, with unresolved claims kept conditional and all evidence/owner confirmations retained with provenance for later Authority Manager review.</w:t>
      </w:r>
    </w:p>
    <w:sectPr w:rsidR="00FC693F" w:rsidRPr="0006063C" w:rsidSect="00034616">
      <w:footerReference w:type="default" r:id="rId9"/>
      <w:pgSz w:w="12240" w:h="15840"/>
      <w:pgMar w:top="792" w:right="648" w:bottom="792"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787878"/>
        <w:sz w:val="16"/>
      </w:rPr>
      <w:t>ViriVr | Authority Manager Validation Report | 22 September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Aptos Display" w:hAnsi="Aptos Display"/>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120" w:after="80"/>
      <w:outlineLvl w:val="1"/>
    </w:pPr>
    <w:rPr>
      <w:rFonts w:asciiTheme="majorHAnsi" w:eastAsiaTheme="majorEastAsia" w:hAnsiTheme="majorHAnsi" w:cstheme="majorBidi" w:ascii="Aptos Display" w:hAnsi="Aptos Display"/>
      <w:b/>
      <w:bCs/>
      <w:color w:val="1F4E78"/>
      <w:sz w:val="24"/>
      <w:szCs w:val="26"/>
    </w:rPr>
  </w:style>
  <w:style w:type="paragraph" w:styleId="Heading3">
    <w:name w:val="heading 3"/>
    <w:basedOn w:val="Normal"/>
    <w:next w:val="Normal"/>
    <w:link w:val="Heading3Char"/>
    <w:uiPriority w:val="9"/>
    <w:unhideWhenUsed/>
    <w:qFormat/>
    <w:rsid w:val="00FC693F"/>
    <w:pPr>
      <w:keepNext/>
      <w:keepLines/>
      <w:spacing w:before="120" w:after="80"/>
      <w:outlineLvl w:val="2"/>
    </w:pPr>
    <w:rPr>
      <w:rFonts w:asciiTheme="majorHAnsi" w:eastAsiaTheme="majorEastAsia" w:hAnsiTheme="majorHAnsi" w:cstheme="majorBidi" w:ascii="Aptos Display" w:hAnsi="Aptos Display"/>
      <w:b/>
      <w:bCs/>
      <w:color w:val="2F559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Authority Manager Validation Report</dc:title>
  <dc:subject>Validation of HP-001, HP-002 and HP-003 pre-development Authority findings and final validated recommendations</dc:subject>
  <dc:creator>ViriVr Authority Manager AI Agent</dc:creator>
  <cp:keywords/>
  <dc:description>generated by python-docx</dc:description>
  <cp:lastModifiedBy/>
  <cp:revision>1</cp:revision>
  <dcterms:created xsi:type="dcterms:W3CDTF">2013-12-23T23:15:00Z</dcterms:created>
  <dcterms:modified xsi:type="dcterms:W3CDTF">2013-12-23T23:15:00Z</dcterms:modified>
  <cp:category/>
</cp:coreProperties>
</file>