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="300" w:lineRule="auto"/>
        <w:rPr>
          <w:sz w:val="44"/>
          <w:szCs w:val="44"/>
        </w:rPr>
      </w:pPr>
      <w:bookmarkStart w:colFirst="0" w:colLast="0" w:name="_hqzf2xq4wkud" w:id="0"/>
      <w:bookmarkEnd w:id="0"/>
      <w:r w:rsidDel="00000000" w:rsidR="00000000" w:rsidRPr="00000000">
        <w:rPr>
          <w:sz w:val="44"/>
          <w:szCs w:val="44"/>
          <w:rtl w:val="0"/>
        </w:rPr>
        <w:t xml:space="preserve">HP-001 Answer-First &amp; AEO Requirements    Research Findings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100" w:line="300" w:lineRule="auto"/>
        <w:rPr>
          <w:sz w:val="29"/>
          <w:szCs w:val="29"/>
        </w:rPr>
      </w:pPr>
      <w:bookmarkStart w:colFirst="0" w:colLast="0" w:name="_5zorp573qpt4" w:id="1"/>
      <w:bookmarkEnd w:id="1"/>
      <w:r w:rsidDel="00000000" w:rsidR="00000000" w:rsidRPr="00000000">
        <w:rPr>
          <w:sz w:val="29"/>
          <w:szCs w:val="29"/>
          <w:rtl w:val="0"/>
        </w:rPr>
        <w:t xml:space="preserve">1. Likely user questions</w:t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Grouped by the decision a visitor is actually trying to make. The three questions already logged as "AEO question 1–3" in Content Briefs are marked (brief); the rest are inferred from the Architecture "Content focus" column, the Evidence SERP notes and the competitor pattern (kapturevr.com.au).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Suitability &amp; how it works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How does a hosted VR house party work? (brief)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Is this suitable for young kids, or is it really for teens/adults?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Do I need any VR experience, or does Viri VR run everything?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What's the difference between a house party, a partner venue, and private venue hire? (this is the PVH-001/HP-001 boundary question    must be answered explicitly, not implied)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Space, group size &amp; logistics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How much space and equipment does a VR house party need? (brief)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How many people can join a VR party at home? (brief)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How does the group rotate through headsets if not everyone can play at once?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Do I need a certain ceiling height / clear floor area / Wi-Fi?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What happens if my house isn't big enough?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Booking, price &amp; availability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How much does a house party cost, and what's included?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Is my suburb/postcode serviceable? (feeds directly into HP-002)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How far in advance do I need to book?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Is there a travel fee?</w:t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Safety &amp; contingency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Is it safe    what supervision is provided?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What happens if the internet/power drops during setup?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What's the wet-weather or space-fallback plan?</w:t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Comparison / next step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What if I'd rather have it at a venue instead of my home? (routes to PVH-001)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Can I combine it with other party activities? (routes to HP-003)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Is this different from a normal birthday VR package? (routes to BDY-001)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0" w:before="100" w:line="300" w:lineRule="auto"/>
        <w:rPr>
          <w:sz w:val="29"/>
          <w:szCs w:val="29"/>
        </w:rPr>
      </w:pPr>
      <w:bookmarkStart w:colFirst="0" w:colLast="0" w:name="_rtuq6bkrt5t1" w:id="2"/>
      <w:bookmarkEnd w:id="2"/>
      <w:r w:rsidDel="00000000" w:rsidR="00000000" w:rsidRPr="00000000">
        <w:rPr>
          <w:sz w:val="29"/>
          <w:szCs w:val="29"/>
          <w:rtl w:val="0"/>
        </w:rPr>
        <w:t xml:space="preserve">2. Search intent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12.5070422535214"/>
        <w:gridCol w:w="1858.8169014084508"/>
        <w:gridCol w:w="1634.7042253521126"/>
        <w:gridCol w:w="3453.971830985916"/>
        <w:tblGridChange w:id="0">
          <w:tblGrid>
            <w:gridCol w:w="2412.5070422535214"/>
            <w:gridCol w:w="1858.8169014084508"/>
            <w:gridCol w:w="1634.7042253521126"/>
            <w:gridCol w:w="3453.971830985916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Keyword group (from Keyword Map)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Funnel stage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Evidence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VR party at home / house party VR / hosted house party entertainment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Commercial investigation   -&gt; Transactional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Consideration   -&gt; Decision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GSC: 11 impressions split across homepage, </w:t>
            </w:r>
            <w:r w:rsidDel="00000000" w:rsidR="00000000" w:rsidRPr="00000000">
              <w:rPr>
                <w:rFonts w:ascii="Courier New" w:cs="Courier New" w:eastAsia="Courier New" w:hAnsi="Courier New"/>
                <w:sz w:val="19"/>
                <w:szCs w:val="19"/>
                <w:rtl w:val="0"/>
              </w:rPr>
              <w:t xml:space="preserve">/vr-party/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, and a redirected legacy article    no single owner, 0 clicks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house party ideas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Informational (broad)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Live SERP is dominated by long-form idea guides, not sales pages    belongs on HP-003, not HP-001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birthday-at-home variants (5 phrases)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Informational leaning commercial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Discovery   -&gt; Consideration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Belongs on HP-004, not HP-001    same job, different phrasing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teenage party ideas at 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Informational leaning commercial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Discovery   -&gt; Consideration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Belongs on HP-005, not HP-001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sz w:val="21"/>
          <w:szCs w:val="21"/>
          <w:rtl w:val="0"/>
        </w:rPr>
        <w:t xml:space="preserve">Implication for HP-001 specifically: it should be the only page competing for the </w:t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transactional</w:t>
      </w:r>
      <w:r w:rsidDel="00000000" w:rsidR="00000000" w:rsidRPr="00000000">
        <w:rPr>
          <w:sz w:val="21"/>
          <w:szCs w:val="21"/>
          <w:rtl w:val="0"/>
        </w:rPr>
        <w:t xml:space="preserve"> commercial-investigation queries (VR party at home, house party VR). The informational/idea-comparison queries are correctly routed away to HP-003/HP-004/HP-005    HP-001 should not try to also rank as a listicle. The Evidence tab's SERP pattern note means HP-001 needs to look and read like an operational service page.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0" w:before="100" w:line="300" w:lineRule="auto"/>
        <w:rPr>
          <w:sz w:val="29"/>
          <w:szCs w:val="29"/>
        </w:rPr>
      </w:pPr>
      <w:bookmarkStart w:colFirst="0" w:colLast="0" w:name="_gf3jxruas5jc" w:id="3"/>
      <w:bookmarkEnd w:id="3"/>
      <w:r w:rsidDel="00000000" w:rsidR="00000000" w:rsidRPr="00000000">
        <w:rPr>
          <w:sz w:val="29"/>
          <w:szCs w:val="29"/>
          <w:rtl w:val="0"/>
        </w:rPr>
        <w:t xml:space="preserve">3. Answer-first requirements (HP-001 specifically)</w:t>
      </w:r>
    </w:p>
    <w:p w:rsidR="00000000" w:rsidDel="00000000" w:rsidP="00000000" w:rsidRDefault="00000000" w:rsidRPr="00000000" w14:paraId="0000003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Per Architecture's content-focus column, the page must open with a direct answer, then move through this order: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Direct-answer paragraph (≤50 words): what a hosted VR house party is, and that Viri VR brings everything to the customer's home or chosen space.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Who it suits + age guidance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Min/max group size and how rotation works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Space and safety requirements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Experience categories (link out to EXP-001 rather than duplicating game descriptions)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Inclusions and verified current pricing only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House party vs. partner venue vs. private venue hire explicit differentiation (link PVH-001)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sz w:val="21"/>
          <w:szCs w:val="21"/>
          <w:rtl w:val="0"/>
        </w:rPr>
        <w:t xml:space="preserve">This ordering matters for AEO as well as UX: items 1–4 are what an AI answer engine is most likely to lift into a summary.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0" w:before="100" w:line="300" w:lineRule="auto"/>
        <w:rPr>
          <w:sz w:val="29"/>
          <w:szCs w:val="29"/>
        </w:rPr>
      </w:pPr>
      <w:bookmarkStart w:colFirst="0" w:colLast="0" w:name="_7ij2q1ht8wjh" w:id="4"/>
      <w:bookmarkEnd w:id="4"/>
      <w:r w:rsidDel="00000000" w:rsidR="00000000" w:rsidRPr="00000000">
        <w:rPr>
          <w:sz w:val="29"/>
          <w:szCs w:val="29"/>
          <w:rtl w:val="0"/>
        </w:rPr>
        <w:t xml:space="preserve">4. Important entities / topics</w:t>
      </w:r>
    </w:p>
    <w:p w:rsidR="00000000" w:rsidDel="00000000" w:rsidP="00000000" w:rsidRDefault="00000000" w:rsidRPr="00000000" w14:paraId="0000003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the Content Briefs "Recommended semantic relationships" plus the broader Architecture fields: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Viri VR (Organization)   -&gt; brings   -&gt; hosted VR entertainment   -&gt; to   -&gt; customer's home / chosen private space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Group size   -&gt; determines   -&gt; headset rotation format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Available floor space   -&gt; affects   -&gt; safe play-zone design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Postcode and date   -&gt; determine   -&gt; operational availability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Supporting entities: headset/equipment count, host (staff), public liability/safety process, power/Wi-Fi requirement, occasion types (birthday, teen, bucks, hens), partner venue, private venue hire, Melbourne (as the first operational location, not the whole market)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0" w:before="100" w:line="300" w:lineRule="auto"/>
        <w:rPr>
          <w:sz w:val="29"/>
          <w:szCs w:val="29"/>
        </w:rPr>
      </w:pPr>
      <w:bookmarkStart w:colFirst="0" w:colLast="0" w:name="_owcfgiris5g9" w:id="5"/>
      <w:bookmarkEnd w:id="5"/>
      <w:r w:rsidDel="00000000" w:rsidR="00000000" w:rsidRPr="00000000">
        <w:rPr>
          <w:sz w:val="29"/>
          <w:szCs w:val="29"/>
          <w:rtl w:val="0"/>
        </w:rPr>
        <w:t xml:space="preserve">5. Citation &amp; evidence opportunities</w:t>
      </w:r>
    </w:p>
    <w:p w:rsidR="00000000" w:rsidDel="00000000" w:rsidP="00000000" w:rsidRDefault="00000000" w:rsidRPr="00000000" w14:paraId="0000004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Structured data (from Architecture): Service, BreadcrumbList, FAQPage, Organization schema on HP-001.</w:t>
      </w:r>
    </w:p>
    <w:p w:rsidR="00000000" w:rsidDel="00000000" w:rsidP="00000000" w:rsidRDefault="00000000" w:rsidRPr="00000000" w14:paraId="0000004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Primary evidence required before publish (from Content Briefs), all currently unverified/unconfirmed: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Current package sheet and confirmed minimum age/group size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Equipment/headset count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Setup and pack-down times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Public liability and safety process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Power/Wi-Fi/offline requirements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Service-area and travel-fee rules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Original photos and house-party customer quotes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Current pricing approval    flagged in Measurement Plan as a hard publish-blocker until audited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  <w:rPr>
          <w:sz w:val="21"/>
          <w:szCs w:val="2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0" w:before="100" w:line="300" w:lineRule="auto"/>
        <w:rPr>
          <w:sz w:val="29"/>
          <w:szCs w:val="29"/>
        </w:rPr>
      </w:pPr>
      <w:bookmarkStart w:colFirst="0" w:colLast="0" w:name="_t1sh2ihehagz" w:id="6"/>
      <w:bookmarkEnd w:id="6"/>
      <w:r w:rsidDel="00000000" w:rsidR="00000000" w:rsidRPr="00000000">
        <w:rPr>
          <w:sz w:val="29"/>
          <w:szCs w:val="29"/>
          <w:rtl w:val="0"/>
        </w:rPr>
        <w:t xml:space="preserve">6. Question coverage    gaps against current evidence</w:t>
      </w:r>
    </w:p>
    <w:tbl>
      <w:tblPr>
        <w:tblStyle w:val="Table2"/>
        <w:tblW w:w="10440.0" w:type="dxa"/>
        <w:jc w:val="left"/>
        <w:tblInd w:w="-10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35"/>
        <w:gridCol w:w="2970"/>
        <w:gridCol w:w="3735"/>
        <w:tblGridChange w:id="0">
          <w:tblGrid>
            <w:gridCol w:w="3735"/>
            <w:gridCol w:w="2970"/>
            <w:gridCol w:w="37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Covered by content plan?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Evidence status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How it works / who it suits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Yes    content focus + AEO Q1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OK to write now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Space/equipment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Yes    AEO Q2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OK to write now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Group size / rotation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Yes    AEO Q3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OK to write now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Price / inclusions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Planned, but no verified pricing yet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Blocking    flagged explicitly in Measurement Plan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Safety/supervision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Planned (safety requirements in content focus)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Blocking    public liability/safety process not yet confirmed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Postcode/availability (Melbourne)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Deferred to HP-002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HP-001 must state model only, not claim bookability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House party vs. venue vs. private hire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Planned (differentiation requirement explicit in brief)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Needs PVH-001 alignment so the two pages don't contradict each other</w:t>
            </w:r>
          </w:p>
        </w:tc>
      </w:tr>
    </w:tbl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0" w:before="100" w:line="300" w:lineRule="auto"/>
        <w:rPr>
          <w:sz w:val="29"/>
          <w:szCs w:val="29"/>
        </w:rPr>
      </w:pPr>
      <w:bookmarkStart w:colFirst="0" w:colLast="0" w:name="_gr8exsdoovt5" w:id="7"/>
      <w:bookmarkEnd w:id="7"/>
      <w:r w:rsidDel="00000000" w:rsidR="00000000" w:rsidRPr="00000000">
        <w:rPr>
          <w:sz w:val="29"/>
          <w:szCs w:val="29"/>
          <w:rtl w:val="0"/>
        </w:rPr>
        <w:t xml:space="preserve">7. AEO requirements checklist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Direct-answer paragraph at the top, ≤50 words, self-contained (doesn't require scrolling to make sense out of context)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 FAQPage schema markup matching the visible on-page Q&amp;A exactly (no schema/content mismatch)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 HP-001 owns one clear entity cluster; no overlapping claims with HP-002/003/004/005/VRP-001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 Semantic triples from Section 4 represented in prose, not just schema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 Visible "last updated" / freshness signal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 No unverified pricing, safety, or service-area claims published (per Measurement Plan content-quality gate)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 Named reviewer / evidence register maintained per the Editorial review + customer evidence register process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 Feed into monthly AI-answer visibility testing (Measurement Plan stage 7) once live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0" w:before="100" w:line="300" w:lineRule="auto"/>
        <w:rPr>
          <w:sz w:val="29"/>
          <w:szCs w:val="29"/>
        </w:rPr>
      </w:pPr>
      <w:bookmarkStart w:colFirst="0" w:colLast="0" w:name="_iqciwaayacj8" w:id="8"/>
      <w:bookmarkEnd w:id="8"/>
      <w:r w:rsidDel="00000000" w:rsidR="00000000" w:rsidRPr="00000000">
        <w:rPr>
          <w:sz w:val="29"/>
          <w:szCs w:val="29"/>
          <w:rtl w:val="0"/>
        </w:rPr>
        <w:t xml:space="preserve">8. Prioritised HP-001 requirements</w:t>
      </w:r>
    </w:p>
    <w:p w:rsidR="00000000" w:rsidDel="00000000" w:rsidP="00000000" w:rsidRDefault="00000000" w:rsidRPr="00000000" w14:paraId="0000007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P1    blocking, must resolve before build/publish: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Verified current pricing and inclusions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Confirmed minimum age / group size policy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Confirmed safety and public liability process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Service-area logic wording that doesn't overstate bookability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Above-fold enquiry form (postcode, date, group size, age range)    this is the primary conversion mechanism per the CRO module list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0" w:before="100" w:line="300" w:lineRule="auto"/>
        <w:rPr>
          <w:sz w:val="29"/>
          <w:szCs w:val="29"/>
        </w:rPr>
      </w:pPr>
      <w:bookmarkStart w:colFirst="0" w:colLast="0" w:name="_x0f5pdn9mudh" w:id="9"/>
      <w:bookmarkEnd w:id="9"/>
      <w:r w:rsidDel="00000000" w:rsidR="00000000" w:rsidRPr="00000000">
        <w:rPr>
          <w:sz w:val="29"/>
          <w:szCs w:val="29"/>
          <w:rtl w:val="0"/>
        </w:rPr>
        <w:t xml:space="preserve">Evidence caveats to carry forward (per Summary/Evidence tabs)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The 400 nominal average-monthly-searches figure is a sum of 8 overlapping phrase variants in a Melbourne-segmented export    not unique national demand.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GA4 "configured conversions" (185 across the party cluster, 70 on </w:t>
      </w: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/vr-party/</w:t>
      </w:r>
      <w:r w:rsidDel="00000000" w:rsidR="00000000" w:rsidRPr="00000000">
        <w:rPr>
          <w:sz w:val="21"/>
          <w:szCs w:val="21"/>
          <w:rtl w:val="0"/>
        </w:rPr>
        <w:t xml:space="preserve">) are unverified event definitions, not confirmed leads or bookings.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1"/>
          <w:szCs w:val="21"/>
          <w:rtl w:val="0"/>
        </w:rPr>
        <w:t xml:space="preserve">Any AI-visibility claims must be logged as "observations," not guaranteed rankings/citations    do not fabricate citation counts.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