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38" w:rsidRPr="00F73981" w:rsidRDefault="00F73981" w:rsidP="00F73981">
      <w:pPr>
        <w:spacing w:after="0" w:line="480" w:lineRule="auto"/>
        <w:ind w:left="360" w:hanging="360"/>
        <w:jc w:val="center"/>
        <w:rPr>
          <w:sz w:val="28"/>
          <w:szCs w:val="28"/>
        </w:rPr>
      </w:pPr>
      <w:r w:rsidRPr="00F73981">
        <w:rPr>
          <w:sz w:val="28"/>
          <w:szCs w:val="28"/>
        </w:rPr>
        <w:t xml:space="preserve">Appendix S1 Output of </w:t>
      </w:r>
      <w:proofErr w:type="spellStart"/>
      <w:r w:rsidRPr="00F73981">
        <w:rPr>
          <w:sz w:val="28"/>
          <w:szCs w:val="28"/>
        </w:rPr>
        <w:t>MCMCglmm</w:t>
      </w:r>
      <w:proofErr w:type="spellEnd"/>
      <w:r w:rsidRPr="00F73981">
        <w:rPr>
          <w:sz w:val="28"/>
          <w:szCs w:val="28"/>
        </w:rPr>
        <w:t xml:space="preserve"> models testing for correlation between circannual deviation and survival rates</w:t>
      </w:r>
      <w:r>
        <w:rPr>
          <w:sz w:val="28"/>
          <w:szCs w:val="28"/>
        </w:rPr>
        <w:t>,</w:t>
      </w:r>
      <w:r w:rsidRPr="00F73981">
        <w:rPr>
          <w:sz w:val="28"/>
          <w:szCs w:val="28"/>
        </w:rPr>
        <w:t xml:space="preserve"> </w:t>
      </w:r>
      <w:r>
        <w:rPr>
          <w:sz w:val="28"/>
          <w:szCs w:val="28"/>
        </w:rPr>
        <w:t>accounting and not accounting for phylogenetic effect</w:t>
      </w:r>
    </w:p>
    <w:p w:rsidR="00BC2B38" w:rsidRDefault="00BC2B38" w:rsidP="008804E9">
      <w:pPr>
        <w:spacing w:after="0" w:line="480" w:lineRule="auto"/>
        <w:rPr>
          <w:sz w:val="28"/>
          <w:szCs w:val="28"/>
        </w:rPr>
      </w:pPr>
    </w:p>
    <w:p w:rsidR="00BC2B38" w:rsidRDefault="008804E9" w:rsidP="008804E9">
      <w:pPr>
        <w:spacing w:after="0" w:line="480" w:lineRule="auto"/>
        <w:rPr>
          <w:sz w:val="24"/>
          <w:szCs w:val="24"/>
        </w:rPr>
      </w:pPr>
      <w:r w:rsidRPr="00F73981">
        <w:rPr>
          <w:sz w:val="24"/>
          <w:szCs w:val="24"/>
        </w:rPr>
        <w:t xml:space="preserve">Table </w:t>
      </w:r>
      <w:r w:rsidR="00FC1CD9" w:rsidRPr="00F73981">
        <w:rPr>
          <w:sz w:val="24"/>
          <w:szCs w:val="24"/>
        </w:rPr>
        <w:t>S</w:t>
      </w:r>
      <w:r w:rsidR="00F73981" w:rsidRPr="00F73981">
        <w:rPr>
          <w:sz w:val="24"/>
          <w:szCs w:val="24"/>
        </w:rPr>
        <w:t>7</w:t>
      </w:r>
      <w:r w:rsidRPr="00F73981">
        <w:rPr>
          <w:sz w:val="24"/>
          <w:szCs w:val="24"/>
        </w:rPr>
        <w:t xml:space="preserve">. Relationship between </w:t>
      </w:r>
      <w:r w:rsidR="000334EC" w:rsidRPr="00F73981">
        <w:rPr>
          <w:sz w:val="24"/>
          <w:szCs w:val="24"/>
        </w:rPr>
        <w:t>circannual deviations and</w:t>
      </w:r>
      <w:r w:rsidRPr="00F73981">
        <w:rPr>
          <w:sz w:val="24"/>
          <w:szCs w:val="24"/>
        </w:rPr>
        <w:t xml:space="preserve"> species-specifi</w:t>
      </w:r>
      <w:r w:rsidR="000334EC" w:rsidRPr="00F73981">
        <w:rPr>
          <w:sz w:val="24"/>
          <w:szCs w:val="24"/>
        </w:rPr>
        <w:t>c annual survival probabilities</w:t>
      </w:r>
      <w:r w:rsidRPr="00F73981">
        <w:rPr>
          <w:sz w:val="24"/>
          <w:szCs w:val="24"/>
        </w:rPr>
        <w:t xml:space="preserve">, accounting and not </w:t>
      </w:r>
      <w:proofErr w:type="gramStart"/>
      <w:r w:rsidRPr="00F73981">
        <w:rPr>
          <w:sz w:val="24"/>
          <w:szCs w:val="24"/>
        </w:rPr>
        <w:t>accounting</w:t>
      </w:r>
      <w:proofErr w:type="gramEnd"/>
      <w:r w:rsidRPr="00F73981">
        <w:rPr>
          <w:sz w:val="24"/>
          <w:szCs w:val="24"/>
        </w:rPr>
        <w:t xml:space="preserve"> f</w:t>
      </w:r>
      <w:r w:rsidR="00254146" w:rsidRPr="00F73981">
        <w:rPr>
          <w:sz w:val="24"/>
          <w:szCs w:val="24"/>
        </w:rPr>
        <w:t xml:space="preserve">or the phylogenetic effect. </w:t>
      </w:r>
      <w:r w:rsidR="00BC2B38" w:rsidRPr="00F73981">
        <w:rPr>
          <w:sz w:val="24"/>
          <w:szCs w:val="24"/>
        </w:rPr>
        <w:t>B</w:t>
      </w:r>
      <w:r w:rsidRPr="00F73981">
        <w:rPr>
          <w:sz w:val="24"/>
          <w:szCs w:val="24"/>
        </w:rPr>
        <w:t>oth variables we</w:t>
      </w:r>
      <w:r w:rsidR="00254146" w:rsidRPr="00F73981">
        <w:rPr>
          <w:sz w:val="24"/>
          <w:szCs w:val="24"/>
        </w:rPr>
        <w:t xml:space="preserve">re adjusted to </w:t>
      </w:r>
      <w:proofErr w:type="gramStart"/>
      <w:r w:rsidR="00254146" w:rsidRPr="00F73981">
        <w:rPr>
          <w:sz w:val="24"/>
          <w:szCs w:val="24"/>
        </w:rPr>
        <w:t>log(</w:t>
      </w:r>
      <w:proofErr w:type="gramEnd"/>
      <w:r w:rsidR="00254146" w:rsidRPr="00F73981">
        <w:rPr>
          <w:sz w:val="24"/>
          <w:szCs w:val="24"/>
        </w:rPr>
        <w:t>BMR)</w:t>
      </w:r>
      <w:r w:rsidRPr="00F73981">
        <w:rPr>
          <w:sz w:val="24"/>
          <w:szCs w:val="24"/>
        </w:rPr>
        <w:t xml:space="preserve">. </w:t>
      </w:r>
      <w:r w:rsidR="00FD14DB" w:rsidRPr="00F73981">
        <w:rPr>
          <w:sz w:val="24"/>
          <w:szCs w:val="24"/>
        </w:rPr>
        <w:t>The</w:t>
      </w:r>
      <w:r w:rsidRPr="00F73981">
        <w:rPr>
          <w:sz w:val="24"/>
          <w:szCs w:val="24"/>
        </w:rPr>
        <w:t xml:space="preserve"> explanatory variable Cycle was included to account for the possible effect of the cycles being fully (</w:t>
      </w:r>
      <w:proofErr w:type="spellStart"/>
      <w:proofErr w:type="gramStart"/>
      <w:r w:rsidRPr="00F73981">
        <w:rPr>
          <w:sz w:val="24"/>
          <w:szCs w:val="24"/>
        </w:rPr>
        <w:t>Cycle</w:t>
      </w:r>
      <w:r w:rsidRPr="00F73981">
        <w:rPr>
          <w:sz w:val="24"/>
          <w:szCs w:val="24"/>
          <w:vertAlign w:val="subscript"/>
        </w:rPr>
        <w:t>full</w:t>
      </w:r>
      <w:proofErr w:type="spellEnd"/>
      <w:r w:rsidRPr="00F73981">
        <w:rPr>
          <w:sz w:val="24"/>
          <w:szCs w:val="24"/>
          <w:vertAlign w:val="subscript"/>
        </w:rPr>
        <w:t xml:space="preserve"> </w:t>
      </w:r>
      <w:r w:rsidRPr="00F73981">
        <w:rPr>
          <w:sz w:val="24"/>
          <w:szCs w:val="24"/>
        </w:rPr>
        <w:t>)</w:t>
      </w:r>
      <w:proofErr w:type="gramEnd"/>
      <w:r w:rsidRPr="00F73981">
        <w:rPr>
          <w:sz w:val="24"/>
          <w:szCs w:val="24"/>
        </w:rPr>
        <w:t xml:space="preserve"> or partly (</w:t>
      </w:r>
      <w:proofErr w:type="spellStart"/>
      <w:r w:rsidRPr="00F73981">
        <w:rPr>
          <w:sz w:val="24"/>
          <w:szCs w:val="24"/>
        </w:rPr>
        <w:t>Cycle</w:t>
      </w:r>
      <w:r w:rsidRPr="00F73981">
        <w:rPr>
          <w:sz w:val="24"/>
          <w:szCs w:val="24"/>
          <w:vertAlign w:val="subscript"/>
        </w:rPr>
        <w:t>transitory</w:t>
      </w:r>
      <w:proofErr w:type="spellEnd"/>
      <w:r w:rsidRPr="00F73981">
        <w:rPr>
          <w:sz w:val="24"/>
          <w:szCs w:val="24"/>
        </w:rPr>
        <w:t xml:space="preserve">) undergone in unvarying </w:t>
      </w:r>
      <w:proofErr w:type="spellStart"/>
      <w:r w:rsidRPr="00F73981">
        <w:rPr>
          <w:sz w:val="24"/>
          <w:szCs w:val="24"/>
        </w:rPr>
        <w:t>photoregime</w:t>
      </w:r>
      <w:proofErr w:type="spellEnd"/>
      <w:r w:rsidRPr="00F73981">
        <w:rPr>
          <w:sz w:val="24"/>
          <w:szCs w:val="24"/>
        </w:rPr>
        <w:t xml:space="preserve">. </w:t>
      </w:r>
      <w:r w:rsidR="00E749E9" w:rsidRPr="00F73981">
        <w:rPr>
          <w:sz w:val="24"/>
          <w:szCs w:val="24"/>
        </w:rPr>
        <w:t>The posterior estimates (means) of the effect sizes with the highest posterior density intervals (</w:t>
      </w:r>
      <w:r w:rsidR="00254146" w:rsidRPr="00F73981">
        <w:rPr>
          <w:sz w:val="24"/>
          <w:szCs w:val="24"/>
        </w:rPr>
        <w:t>95% credible interval, limited by lower and upper CI</w:t>
      </w:r>
      <w:r w:rsidR="00E749E9" w:rsidRPr="00F73981">
        <w:rPr>
          <w:sz w:val="24"/>
          <w:szCs w:val="24"/>
        </w:rPr>
        <w:t xml:space="preserve">) for the models accounting for phylogenetic effects are calculated from the joint posterior distribution of 100 separate runs each with one of 100 separate phylogenetic trees from http://birdtree.org. </w:t>
      </w:r>
      <w:proofErr w:type="spellStart"/>
      <w:proofErr w:type="gramStart"/>
      <w:r w:rsidR="003B6C32" w:rsidRPr="00F73981">
        <w:rPr>
          <w:iCs/>
          <w:sz w:val="24"/>
          <w:szCs w:val="24"/>
        </w:rPr>
        <w:t>pMCMC</w:t>
      </w:r>
      <w:proofErr w:type="spellEnd"/>
      <w:proofErr w:type="gramEnd"/>
      <w:r w:rsidR="003B6C32" w:rsidRPr="00F73981">
        <w:rPr>
          <w:iCs/>
          <w:sz w:val="24"/>
          <w:szCs w:val="24"/>
        </w:rPr>
        <w:t xml:space="preserve"> is the two times the smaller of the two quantities: MCMC estimates of </w:t>
      </w:r>
      <w:proofErr w:type="spellStart"/>
      <w:r w:rsidR="003B6C32" w:rsidRPr="00F73981">
        <w:rPr>
          <w:iCs/>
          <w:sz w:val="24"/>
          <w:szCs w:val="24"/>
        </w:rPr>
        <w:t>i</w:t>
      </w:r>
      <w:proofErr w:type="spellEnd"/>
      <w:r w:rsidR="003B6C32" w:rsidRPr="00F73981">
        <w:rPr>
          <w:iCs/>
          <w:sz w:val="24"/>
          <w:szCs w:val="24"/>
        </w:rPr>
        <w:t xml:space="preserve">) the probability that a&lt;0 or ii) the probability that a&gt;0, where a is the parameter value. </w:t>
      </w:r>
      <w:r w:rsidR="00C80800" w:rsidRPr="00F73981">
        <w:rPr>
          <w:sz w:val="24"/>
          <w:szCs w:val="24"/>
        </w:rPr>
        <w:t xml:space="preserve">The MCMC chains ran for 1 300 000 iterations with a burn-in of 30 000 and a thinning interval of 50. Each model generated ~1,100 independent samples of model parameters. Tests for autocorrelation were applied to assess for independence of samples in the Markov chain. </w:t>
      </w:r>
    </w:p>
    <w:p w:rsidR="00F73981" w:rsidRDefault="00F73981" w:rsidP="008804E9">
      <w:pPr>
        <w:spacing w:after="0" w:line="480" w:lineRule="auto"/>
        <w:rPr>
          <w:sz w:val="24"/>
          <w:szCs w:val="24"/>
        </w:rPr>
      </w:pPr>
    </w:p>
    <w:p w:rsidR="00F73981" w:rsidRPr="00F73981" w:rsidRDefault="00F73981" w:rsidP="008804E9">
      <w:pPr>
        <w:spacing w:after="0" w:line="480" w:lineRule="auto"/>
        <w:rPr>
          <w:sz w:val="24"/>
          <w:szCs w:val="24"/>
        </w:rPr>
      </w:pPr>
    </w:p>
    <w:tbl>
      <w:tblPr>
        <w:tblW w:w="19879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1710"/>
        <w:gridCol w:w="990"/>
        <w:gridCol w:w="990"/>
        <w:gridCol w:w="1019"/>
        <w:gridCol w:w="1771"/>
        <w:gridCol w:w="990"/>
        <w:gridCol w:w="990"/>
        <w:gridCol w:w="1081"/>
        <w:gridCol w:w="1919"/>
        <w:gridCol w:w="1829"/>
        <w:gridCol w:w="2095"/>
      </w:tblGrid>
      <w:tr w:rsidR="00F643EE" w:rsidRPr="003F496E" w:rsidTr="0066470A">
        <w:trPr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no phylogeny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</w:p>
        </w:tc>
        <w:tc>
          <w:tcPr>
            <w:tcW w:w="6751" w:type="dxa"/>
            <w:gridSpan w:val="5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 xml:space="preserve">with phylogeny (on 100 phylogenetic trees in </w:t>
            </w:r>
            <w:proofErr w:type="spellStart"/>
            <w:r w:rsidRPr="003F496E">
              <w:rPr>
                <w:b/>
                <w:sz w:val="24"/>
                <w:szCs w:val="24"/>
              </w:rPr>
              <w:t>mulTree</w:t>
            </w:r>
            <w:proofErr w:type="spellEnd"/>
            <w:r w:rsidRPr="003F496E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29" w:type="dxa"/>
            <w:vAlign w:val="bottom"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</w:p>
        </w:tc>
        <w:tc>
          <w:tcPr>
            <w:tcW w:w="2095" w:type="dxa"/>
            <w:vAlign w:val="bottom"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fixed terms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Estimate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lower CI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upper CI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proofErr w:type="spellStart"/>
            <w:r w:rsidRPr="003F496E">
              <w:rPr>
                <w:b/>
                <w:sz w:val="24"/>
                <w:szCs w:val="24"/>
              </w:rPr>
              <w:t>pM</w:t>
            </w:r>
            <w:bookmarkStart w:id="0" w:name="_GoBack"/>
            <w:bookmarkEnd w:id="0"/>
            <w:r w:rsidRPr="003F496E">
              <w:rPr>
                <w:b/>
                <w:sz w:val="24"/>
                <w:szCs w:val="24"/>
              </w:rPr>
              <w:t>CMC</w:t>
            </w:r>
            <w:proofErr w:type="spellEnd"/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posterior mean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lower CI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upper CI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F643E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proofErr w:type="spellStart"/>
            <w:r w:rsidRPr="003F496E">
              <w:rPr>
                <w:b/>
                <w:sz w:val="24"/>
                <w:szCs w:val="24"/>
              </w:rPr>
              <w:t>pMCMC</w:t>
            </w:r>
            <w:proofErr w:type="spellEnd"/>
            <w:r w:rsidRPr="003F496E">
              <w:rPr>
                <w:b/>
                <w:sz w:val="24"/>
                <w:szCs w:val="24"/>
              </w:rPr>
              <w:t>,</w:t>
            </w:r>
          </w:p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 xml:space="preserve"> mean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F643EE" w:rsidRDefault="003F496E" w:rsidP="00F643EE">
            <w:pPr>
              <w:ind w:right="-540"/>
              <w:rPr>
                <w:b/>
                <w:sz w:val="24"/>
                <w:szCs w:val="24"/>
              </w:rPr>
            </w:pPr>
            <w:proofErr w:type="spellStart"/>
            <w:r w:rsidRPr="003F496E">
              <w:rPr>
                <w:b/>
                <w:sz w:val="24"/>
                <w:szCs w:val="24"/>
              </w:rPr>
              <w:t>pMCMC</w:t>
            </w:r>
            <w:proofErr w:type="spellEnd"/>
            <w:r w:rsidRPr="003F496E">
              <w:rPr>
                <w:b/>
                <w:sz w:val="24"/>
                <w:szCs w:val="24"/>
              </w:rPr>
              <w:t>,</w:t>
            </w:r>
          </w:p>
          <w:p w:rsidR="003F496E" w:rsidRPr="003F496E" w:rsidRDefault="003F496E" w:rsidP="00F643E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 xml:space="preserve"> range</w:t>
            </w: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intercept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-6.4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-40.8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26.6 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0.699 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-8.9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-63.0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44.3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proofErr w:type="spellStart"/>
            <w:r w:rsidRPr="003F496E">
              <w:rPr>
                <w:sz w:val="24"/>
                <w:szCs w:val="24"/>
              </w:rPr>
              <w:t>Cycle</w:t>
            </w:r>
            <w:r w:rsidRPr="003F496E">
              <w:rPr>
                <w:sz w:val="24"/>
                <w:szCs w:val="24"/>
                <w:vertAlign w:val="subscript"/>
              </w:rPr>
              <w:t>full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10.4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1.5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19.2 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0.021 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10.2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19.1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0.025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0.006 - 0.053</w:t>
            </w: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F643EE">
            <w:pPr>
              <w:ind w:right="-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slope </w:t>
            </w:r>
            <w:r w:rsidR="00F643EE">
              <w:rPr>
                <w:sz w:val="24"/>
                <w:szCs w:val="24"/>
              </w:rPr>
              <w:t xml:space="preserve">of </w:t>
            </w:r>
            <w:proofErr w:type="spellStart"/>
            <w:r w:rsidR="00F643EE">
              <w:rPr>
                <w:sz w:val="24"/>
                <w:szCs w:val="24"/>
              </w:rPr>
              <w:t>Deviation</w:t>
            </w:r>
            <w:r w:rsidR="00F643EE" w:rsidRPr="003F496E">
              <w:rPr>
                <w:sz w:val="24"/>
                <w:szCs w:val="24"/>
                <w:vertAlign w:val="subscript"/>
              </w:rPr>
              <w:t>BMR</w:t>
            </w:r>
            <w:proofErr w:type="spellEnd"/>
            <w:r w:rsidR="00F643EE">
              <w:rPr>
                <w:sz w:val="24"/>
                <w:szCs w:val="24"/>
                <w:vertAlign w:val="subscript"/>
              </w:rPr>
              <w:t xml:space="preserve"> </w:t>
            </w:r>
            <w:r w:rsidR="00F643EE" w:rsidRPr="00F643EE">
              <w:rPr>
                <w:sz w:val="24"/>
                <w:szCs w:val="24"/>
              </w:rPr>
              <w:t>on</w:t>
            </w:r>
            <w:r w:rsidR="00F643EE">
              <w:rPr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3F496E">
              <w:rPr>
                <w:sz w:val="24"/>
                <w:szCs w:val="24"/>
              </w:rPr>
              <w:t>Survival</w:t>
            </w:r>
            <w:r w:rsidRPr="003F496E">
              <w:rPr>
                <w:sz w:val="24"/>
                <w:szCs w:val="24"/>
                <w:vertAlign w:val="subscript"/>
              </w:rPr>
              <w:t>BMR</w:t>
            </w:r>
            <w:proofErr w:type="spellEnd"/>
            <w:r w:rsidRPr="003F496E">
              <w:rPr>
                <w:sz w:val="24"/>
                <w:szCs w:val="24"/>
              </w:rPr>
              <w:t xml:space="preserve"> </w:t>
            </w:r>
            <w:r w:rsidR="00F643E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cycle 0</w:t>
            </w:r>
            <w:r w:rsidR="00F643EE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196.1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71.4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325.5 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0.003 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211.3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61.6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363.6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0.008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0.001 - 0.024</w:t>
            </w:r>
          </w:p>
        </w:tc>
      </w:tr>
      <w:tr w:rsidR="00F643EE" w:rsidRPr="003F496E" w:rsidTr="003A1ADE">
        <w:trPr>
          <w:gridAfter w:val="2"/>
          <w:wAfter w:w="3924" w:type="dxa"/>
          <w:trHeight w:val="503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slope of </w:t>
            </w:r>
            <w:proofErr w:type="spellStart"/>
            <w:r>
              <w:rPr>
                <w:sz w:val="24"/>
                <w:szCs w:val="24"/>
              </w:rPr>
              <w:t>Deviation</w:t>
            </w:r>
            <w:r w:rsidRPr="003F496E">
              <w:rPr>
                <w:sz w:val="24"/>
                <w:szCs w:val="24"/>
                <w:vertAlign w:val="subscript"/>
              </w:rPr>
              <w:t>BMR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 w:rsidRPr="00F643EE">
              <w:rPr>
                <w:sz w:val="24"/>
                <w:szCs w:val="24"/>
              </w:rPr>
              <w:t>on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3F496E">
              <w:rPr>
                <w:sz w:val="24"/>
                <w:szCs w:val="24"/>
              </w:rPr>
              <w:t>Survival</w:t>
            </w:r>
            <w:r w:rsidRPr="003F496E">
              <w:rPr>
                <w:sz w:val="24"/>
                <w:szCs w:val="24"/>
                <w:vertAlign w:val="subscript"/>
              </w:rPr>
              <w:t>BMR</w:t>
            </w:r>
            <w:proofErr w:type="spellEnd"/>
            <w:r w:rsidRPr="003F49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(cycle 1)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119.0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-1.8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239.4 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0.052 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132.5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-13.7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279.2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0.074</w:t>
            </w: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F643EE" w:rsidRPr="003F496E" w:rsidRDefault="00F643EE" w:rsidP="00F643E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0.035 - 0.122</w:t>
            </w: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</w:p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random terms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posterior mean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lower CI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upper CI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posterior mean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lower CI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b/>
                <w:sz w:val="24"/>
                <w:szCs w:val="24"/>
              </w:rPr>
            </w:pPr>
            <w:r w:rsidRPr="003F496E">
              <w:rPr>
                <w:b/>
                <w:sz w:val="24"/>
                <w:szCs w:val="24"/>
              </w:rPr>
              <w:t>upper CI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</w:tr>
      <w:tr w:rsidR="00F643EE" w:rsidRPr="003F496E" w:rsidTr="0066470A">
        <w:trPr>
          <w:gridAfter w:val="2"/>
          <w:wAfter w:w="3924" w:type="dxa"/>
          <w:trHeight w:val="468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bird ID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558.7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262.2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880.8 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560.9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284.4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923.8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life-cycle stage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1077.0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263.0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2375.0 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1099.0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376.9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2870.6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study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1379.0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199.4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3129.0 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1297.0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309.1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3705.1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species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670.9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112.9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1566 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716.9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190.5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2107.8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phylogenetic variance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1175.0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233.6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4065.7 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</w:tr>
      <w:tr w:rsidR="00F643EE" w:rsidRPr="003F496E" w:rsidTr="0066470A">
        <w:trPr>
          <w:gridAfter w:val="2"/>
          <w:wAfter w:w="3924" w:type="dxa"/>
          <w:trHeight w:val="312"/>
        </w:trPr>
        <w:tc>
          <w:tcPr>
            <w:tcW w:w="4495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>residual variance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1282.0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1059.0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1520.0 </w:t>
            </w:r>
          </w:p>
        </w:tc>
        <w:tc>
          <w:tcPr>
            <w:tcW w:w="1019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1281.0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1066.4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  <w:r w:rsidRPr="003F496E">
              <w:rPr>
                <w:sz w:val="24"/>
                <w:szCs w:val="24"/>
              </w:rPr>
              <w:t xml:space="preserve">1534.5 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  <w:noWrap/>
            <w:vAlign w:val="bottom"/>
          </w:tcPr>
          <w:p w:rsidR="003F496E" w:rsidRPr="003F496E" w:rsidRDefault="003F496E" w:rsidP="003F496E">
            <w:pPr>
              <w:ind w:right="-540"/>
              <w:rPr>
                <w:sz w:val="24"/>
                <w:szCs w:val="24"/>
              </w:rPr>
            </w:pPr>
          </w:p>
        </w:tc>
      </w:tr>
    </w:tbl>
    <w:p w:rsidR="00B76527" w:rsidRDefault="00B76527" w:rsidP="003F496E">
      <w:pPr>
        <w:ind w:right="-540"/>
        <w:rPr>
          <w:sz w:val="24"/>
          <w:szCs w:val="24"/>
        </w:rPr>
      </w:pPr>
    </w:p>
    <w:p w:rsidR="0009546E" w:rsidRDefault="0009546E" w:rsidP="003F496E">
      <w:pPr>
        <w:ind w:right="-540"/>
        <w:rPr>
          <w:sz w:val="24"/>
          <w:szCs w:val="24"/>
        </w:rPr>
      </w:pPr>
    </w:p>
    <w:p w:rsidR="0009546E" w:rsidRPr="003F496E" w:rsidRDefault="0009546E" w:rsidP="003F496E">
      <w:pPr>
        <w:ind w:right="-540"/>
        <w:rPr>
          <w:sz w:val="24"/>
          <w:szCs w:val="24"/>
        </w:rPr>
      </w:pPr>
    </w:p>
    <w:sectPr w:rsidR="0009546E" w:rsidRPr="003F496E" w:rsidSect="00227506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5DF" w:rsidRDefault="00D955DF" w:rsidP="00C74C12">
      <w:pPr>
        <w:spacing w:after="0" w:line="240" w:lineRule="auto"/>
      </w:pPr>
      <w:r>
        <w:separator/>
      </w:r>
    </w:p>
  </w:endnote>
  <w:endnote w:type="continuationSeparator" w:id="0">
    <w:p w:rsidR="00D955DF" w:rsidRDefault="00D955DF" w:rsidP="00C74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46E" w:rsidRDefault="0009546E" w:rsidP="0009546E">
    <w:pPr>
      <w:spacing w:after="0" w:line="480" w:lineRule="auto"/>
      <w:rPr>
        <w:sz w:val="24"/>
        <w:szCs w:val="24"/>
      </w:rPr>
    </w:pPr>
    <w:r w:rsidRPr="0009546E">
      <w:rPr>
        <w:i/>
        <w:iCs/>
        <w:sz w:val="24"/>
        <w:szCs w:val="24"/>
      </w:rPr>
      <w:t xml:space="preserve">Annual </w:t>
    </w:r>
    <w:proofErr w:type="spellStart"/>
    <w:r w:rsidRPr="0009546E">
      <w:rPr>
        <w:i/>
        <w:iCs/>
        <w:sz w:val="24"/>
        <w:szCs w:val="24"/>
      </w:rPr>
      <w:t>chronotypes</w:t>
    </w:r>
    <w:proofErr w:type="spellEnd"/>
    <w:r w:rsidRPr="0009546E">
      <w:rPr>
        <w:i/>
        <w:iCs/>
        <w:sz w:val="24"/>
        <w:szCs w:val="24"/>
      </w:rPr>
      <w:t xml:space="preserve"> functionally link life histories and life cycles in birds</w:t>
    </w:r>
    <w:r>
      <w:rPr>
        <w:i/>
        <w:iCs/>
        <w:sz w:val="24"/>
        <w:szCs w:val="24"/>
      </w:rPr>
      <w:t xml:space="preserve"> </w:t>
    </w:r>
    <w:proofErr w:type="spellStart"/>
    <w:r w:rsidRPr="0009546E">
      <w:rPr>
        <w:i/>
        <w:iCs/>
        <w:sz w:val="24"/>
        <w:szCs w:val="24"/>
      </w:rPr>
      <w:t>Karagicheva</w:t>
    </w:r>
    <w:proofErr w:type="spellEnd"/>
    <w:r w:rsidRPr="0009546E">
      <w:rPr>
        <w:i/>
        <w:iCs/>
        <w:sz w:val="24"/>
        <w:szCs w:val="24"/>
      </w:rPr>
      <w:t xml:space="preserve"> et al.</w:t>
    </w:r>
  </w:p>
  <w:p w:rsidR="0009546E" w:rsidRDefault="0009546E">
    <w:pPr>
      <w:pStyle w:val="Footer"/>
    </w:pPr>
  </w:p>
  <w:p w:rsidR="0009546E" w:rsidRDefault="00095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5DF" w:rsidRDefault="00D955DF" w:rsidP="00C74C12">
      <w:pPr>
        <w:spacing w:after="0" w:line="240" w:lineRule="auto"/>
      </w:pPr>
      <w:r>
        <w:separator/>
      </w:r>
    </w:p>
  </w:footnote>
  <w:footnote w:type="continuationSeparator" w:id="0">
    <w:p w:rsidR="00D955DF" w:rsidRDefault="00D955DF" w:rsidP="00C74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46E" w:rsidRPr="0009546E" w:rsidRDefault="0009546E">
    <w:pPr>
      <w:pStyle w:val="Header"/>
      <w:rPr>
        <w:i/>
        <w:sz w:val="24"/>
        <w:szCs w:val="24"/>
      </w:rPr>
    </w:pPr>
    <w:r w:rsidRPr="0009546E">
      <w:rPr>
        <w:i/>
        <w:sz w:val="24"/>
        <w:szCs w:val="24"/>
      </w:rPr>
      <w:t>Functional Ecology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06"/>
    <w:rsid w:val="00020738"/>
    <w:rsid w:val="000334EC"/>
    <w:rsid w:val="0009546E"/>
    <w:rsid w:val="000D03EA"/>
    <w:rsid w:val="000F7619"/>
    <w:rsid w:val="001B5319"/>
    <w:rsid w:val="001C2349"/>
    <w:rsid w:val="001C593B"/>
    <w:rsid w:val="001C7F94"/>
    <w:rsid w:val="001F13B7"/>
    <w:rsid w:val="00227506"/>
    <w:rsid w:val="00235C98"/>
    <w:rsid w:val="00254146"/>
    <w:rsid w:val="0036550C"/>
    <w:rsid w:val="003A1ADE"/>
    <w:rsid w:val="003A456F"/>
    <w:rsid w:val="003B6C32"/>
    <w:rsid w:val="003F496E"/>
    <w:rsid w:val="00473499"/>
    <w:rsid w:val="004D0C08"/>
    <w:rsid w:val="00507E12"/>
    <w:rsid w:val="005141B5"/>
    <w:rsid w:val="0053483F"/>
    <w:rsid w:val="00560626"/>
    <w:rsid w:val="0066470A"/>
    <w:rsid w:val="006B40B8"/>
    <w:rsid w:val="007072AF"/>
    <w:rsid w:val="007148A8"/>
    <w:rsid w:val="007424D9"/>
    <w:rsid w:val="00745E1E"/>
    <w:rsid w:val="007A761C"/>
    <w:rsid w:val="007F1EA7"/>
    <w:rsid w:val="00805FD9"/>
    <w:rsid w:val="00806598"/>
    <w:rsid w:val="008804E9"/>
    <w:rsid w:val="00896BA5"/>
    <w:rsid w:val="008C6D8F"/>
    <w:rsid w:val="008D4140"/>
    <w:rsid w:val="008F5503"/>
    <w:rsid w:val="00A33C04"/>
    <w:rsid w:val="00A57419"/>
    <w:rsid w:val="00A81AC7"/>
    <w:rsid w:val="00A86F2A"/>
    <w:rsid w:val="00AA5C60"/>
    <w:rsid w:val="00AF14E3"/>
    <w:rsid w:val="00B76527"/>
    <w:rsid w:val="00BC2B38"/>
    <w:rsid w:val="00BF6B53"/>
    <w:rsid w:val="00C279EB"/>
    <w:rsid w:val="00C74C12"/>
    <w:rsid w:val="00C75292"/>
    <w:rsid w:val="00C80800"/>
    <w:rsid w:val="00CF16FD"/>
    <w:rsid w:val="00D556F8"/>
    <w:rsid w:val="00D955DF"/>
    <w:rsid w:val="00DA0309"/>
    <w:rsid w:val="00DC3954"/>
    <w:rsid w:val="00E432BF"/>
    <w:rsid w:val="00E749E9"/>
    <w:rsid w:val="00E8396C"/>
    <w:rsid w:val="00EC646D"/>
    <w:rsid w:val="00EF5F03"/>
    <w:rsid w:val="00F5092D"/>
    <w:rsid w:val="00F641A2"/>
    <w:rsid w:val="00F643EE"/>
    <w:rsid w:val="00F73981"/>
    <w:rsid w:val="00FB5624"/>
    <w:rsid w:val="00FC1CD9"/>
    <w:rsid w:val="00FD14DB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F8E7-20BD-4062-AF9E-59EA4292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4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12"/>
  </w:style>
  <w:style w:type="paragraph" w:styleId="Footer">
    <w:name w:val="footer"/>
    <w:basedOn w:val="Normal"/>
    <w:link w:val="FooterChar"/>
    <w:uiPriority w:val="99"/>
    <w:unhideWhenUsed/>
    <w:rsid w:val="00C74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2018-02-20T10:48:00Z</dcterms:created>
  <dcterms:modified xsi:type="dcterms:W3CDTF">2018-02-21T12:28:00Z</dcterms:modified>
</cp:coreProperties>
</file>