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E9" w:rsidRPr="006B40B8" w:rsidRDefault="008804E9" w:rsidP="008804E9">
      <w:pPr>
        <w:spacing w:after="0" w:line="480" w:lineRule="auto"/>
        <w:rPr>
          <w:b/>
          <w:sz w:val="18"/>
          <w:szCs w:val="18"/>
        </w:rPr>
      </w:pPr>
      <w:r>
        <w:rPr>
          <w:sz w:val="24"/>
          <w:szCs w:val="24"/>
        </w:rPr>
        <w:t>T</w:t>
      </w:r>
      <w:r w:rsidRPr="008C33FF">
        <w:rPr>
          <w:sz w:val="24"/>
          <w:szCs w:val="24"/>
        </w:rPr>
        <w:t xml:space="preserve">able </w:t>
      </w:r>
      <w:r w:rsidR="00FC1CD9">
        <w:rPr>
          <w:sz w:val="24"/>
          <w:szCs w:val="24"/>
        </w:rPr>
        <w:t>S2</w:t>
      </w:r>
      <w:r w:rsidRPr="008C33FF">
        <w:rPr>
          <w:sz w:val="24"/>
          <w:szCs w:val="24"/>
        </w:rPr>
        <w:t>. Relationship between the length of a subjective year (</w:t>
      </w:r>
      <w:r w:rsidR="008F5503">
        <w:rPr>
          <w:sz w:val="24"/>
          <w:szCs w:val="24"/>
        </w:rPr>
        <w:t>phase difference between</w:t>
      </w:r>
      <w:r w:rsidRPr="008C33FF">
        <w:rPr>
          <w:sz w:val="24"/>
          <w:szCs w:val="24"/>
        </w:rPr>
        <w:t xml:space="preserve"> </w:t>
      </w:r>
      <w:r w:rsidR="008F5503">
        <w:rPr>
          <w:sz w:val="24"/>
          <w:szCs w:val="24"/>
        </w:rPr>
        <w:t>subjective and environmental annual cycles</w:t>
      </w:r>
      <w:r w:rsidRPr="008C33FF">
        <w:rPr>
          <w:sz w:val="24"/>
          <w:szCs w:val="24"/>
        </w:rPr>
        <w:t>, in days) species-specifi</w:t>
      </w:r>
      <w:r w:rsidR="00254146">
        <w:rPr>
          <w:sz w:val="24"/>
          <w:szCs w:val="24"/>
        </w:rPr>
        <w:t>c annual survival probability (m</w:t>
      </w:r>
      <w:r w:rsidRPr="008C33FF">
        <w:rPr>
          <w:sz w:val="24"/>
          <w:szCs w:val="24"/>
        </w:rPr>
        <w:t>ode</w:t>
      </w:r>
      <w:r w:rsidR="00254146">
        <w:rPr>
          <w:sz w:val="24"/>
          <w:szCs w:val="24"/>
        </w:rPr>
        <w:t>l 1) and species-specific BMR (m</w:t>
      </w:r>
      <w:r w:rsidRPr="008C33FF">
        <w:rPr>
          <w:sz w:val="24"/>
          <w:szCs w:val="24"/>
        </w:rPr>
        <w:t>odel 2), accounting and not accounting f</w:t>
      </w:r>
      <w:r w:rsidR="00254146">
        <w:rPr>
          <w:sz w:val="24"/>
          <w:szCs w:val="24"/>
        </w:rPr>
        <w:t>or the phylogenetic effect. In m</w:t>
      </w:r>
      <w:r w:rsidRPr="008C33FF">
        <w:rPr>
          <w:sz w:val="24"/>
          <w:szCs w:val="24"/>
        </w:rPr>
        <w:t>odel 1 both variables we</w:t>
      </w:r>
      <w:r w:rsidR="00254146">
        <w:rPr>
          <w:sz w:val="24"/>
          <w:szCs w:val="24"/>
        </w:rPr>
        <w:t>re adjusted to log(BMR) and in m</w:t>
      </w:r>
      <w:r w:rsidRPr="008C33FF">
        <w:rPr>
          <w:sz w:val="24"/>
          <w:szCs w:val="24"/>
        </w:rPr>
        <w:t>odel 2 to log(Survival). In both models, an explanatory variable Cycle was included to account for the possible effect of the cycles being fully (Cycle</w:t>
      </w:r>
      <w:r w:rsidRPr="008C33FF">
        <w:rPr>
          <w:sz w:val="24"/>
          <w:szCs w:val="24"/>
          <w:vertAlign w:val="subscript"/>
        </w:rPr>
        <w:t xml:space="preserve">full </w:t>
      </w:r>
      <w:r w:rsidRPr="008C33FF">
        <w:rPr>
          <w:sz w:val="24"/>
          <w:szCs w:val="24"/>
        </w:rPr>
        <w:t>) or partly (Cycle</w:t>
      </w:r>
      <w:r w:rsidRPr="008C33FF">
        <w:rPr>
          <w:sz w:val="24"/>
          <w:szCs w:val="24"/>
          <w:vertAlign w:val="subscript"/>
        </w:rPr>
        <w:t>transitory</w:t>
      </w:r>
      <w:r w:rsidRPr="008C33FF">
        <w:rPr>
          <w:sz w:val="24"/>
          <w:szCs w:val="24"/>
        </w:rPr>
        <w:t xml:space="preserve">) undergone in unvarying photoregime. </w:t>
      </w:r>
      <w:r w:rsidR="00E749E9" w:rsidRPr="00E749E9">
        <w:rPr>
          <w:sz w:val="24"/>
          <w:szCs w:val="24"/>
        </w:rPr>
        <w:t>The posterior estimates (</w:t>
      </w:r>
      <w:r w:rsidR="00E749E9">
        <w:rPr>
          <w:sz w:val="24"/>
          <w:szCs w:val="24"/>
        </w:rPr>
        <w:t>means</w:t>
      </w:r>
      <w:r w:rsidR="00E749E9" w:rsidRPr="00E749E9">
        <w:rPr>
          <w:sz w:val="24"/>
          <w:szCs w:val="24"/>
        </w:rPr>
        <w:t>) of the effect sizes with the highest posterior density i</w:t>
      </w:r>
      <w:r w:rsidR="00E749E9">
        <w:rPr>
          <w:sz w:val="24"/>
          <w:szCs w:val="24"/>
        </w:rPr>
        <w:t>ntervals (</w:t>
      </w:r>
      <w:r w:rsidR="00254146">
        <w:rPr>
          <w:sz w:val="24"/>
          <w:szCs w:val="24"/>
        </w:rPr>
        <w:t>95% credible interval, limited by lower and upper CI</w:t>
      </w:r>
      <w:r w:rsidR="00E749E9">
        <w:rPr>
          <w:sz w:val="24"/>
          <w:szCs w:val="24"/>
        </w:rPr>
        <w:t>) for the models accounting for phylogenetic effects are calculated</w:t>
      </w:r>
      <w:r w:rsidR="00E749E9" w:rsidRPr="00E749E9">
        <w:rPr>
          <w:sz w:val="24"/>
          <w:szCs w:val="24"/>
        </w:rPr>
        <w:t xml:space="preserve"> from the joint posterior distribution of 100 separate runs each with one of 100 separate phylogenetic trees from http://birdtree.org</w:t>
      </w:r>
      <w:r w:rsidR="00E749E9">
        <w:rPr>
          <w:sz w:val="24"/>
          <w:szCs w:val="24"/>
        </w:rPr>
        <w:t>.</w:t>
      </w:r>
      <w:r w:rsidR="00E749E9" w:rsidRPr="00E749E9">
        <w:rPr>
          <w:sz w:val="24"/>
          <w:szCs w:val="24"/>
        </w:rPr>
        <w:t xml:space="preserve"> </w:t>
      </w:r>
      <w:r w:rsidR="003B6C32" w:rsidRPr="003B6C32">
        <w:rPr>
          <w:iCs/>
          <w:sz w:val="24"/>
          <w:szCs w:val="24"/>
        </w:rPr>
        <w:t>pMCMC is the two times the smaller of the two quantities: MCMC estimates of i) the probability that a&lt;0 or ii) the probability that a&gt;0, where a is the parameter value.</w:t>
      </w:r>
      <w:r w:rsidR="003B6C32">
        <w:rPr>
          <w:iCs/>
          <w:sz w:val="24"/>
          <w:szCs w:val="24"/>
        </w:rPr>
        <w:t xml:space="preserve"> </w:t>
      </w:r>
      <w:r w:rsidR="00E749E9">
        <w:rPr>
          <w:sz w:val="24"/>
          <w:szCs w:val="24"/>
        </w:rPr>
        <w:t>The output parameters</w:t>
      </w:r>
      <w:r w:rsidRPr="008C33FF">
        <w:rPr>
          <w:sz w:val="24"/>
          <w:szCs w:val="24"/>
        </w:rPr>
        <w:t xml:space="preserve"> of the models of the same structure, with shorebirds excluded from the sample, are presented in brackets.</w:t>
      </w:r>
      <w:r w:rsidR="00C80800">
        <w:rPr>
          <w:sz w:val="24"/>
          <w:szCs w:val="24"/>
        </w:rPr>
        <w:t xml:space="preserve"> </w:t>
      </w:r>
      <w:r w:rsidR="00C80800" w:rsidRPr="00C80800">
        <w:rPr>
          <w:sz w:val="24"/>
          <w:szCs w:val="24"/>
        </w:rPr>
        <w:t xml:space="preserve">The MCMC chains ran for 1 300 000 iterations with a burn-in of 30 000 and a thinning interval of 50. Each model generated ~1,100 independent samples of model parameters. Tests for autocorrelation were applied to assess for independence of samples in the Markov chain. </w:t>
      </w:r>
      <w:r w:rsidRPr="007F1EA7">
        <w:rPr>
          <w:sz w:val="18"/>
          <w:szCs w:val="18"/>
        </w:rPr>
        <w:fldChar w:fldCharType="begin"/>
      </w:r>
      <w:r w:rsidRPr="007F1EA7">
        <w:rPr>
          <w:sz w:val="18"/>
          <w:szCs w:val="18"/>
        </w:rPr>
        <w:instrText xml:space="preserve"> LINK </w:instrText>
      </w:r>
      <w:r w:rsidR="00254146">
        <w:rPr>
          <w:sz w:val="18"/>
          <w:szCs w:val="18"/>
        </w:rPr>
        <w:instrText xml:space="preserve">Excel.Sheet.12 D:\\job\\Sciense\\AnnualCycles_wrk\\ms\\Cycle_Length\\Tables_model_output__bmr_surv_phyl_clean.xlsx Sheet1!R1:R1048576 </w:instrText>
      </w:r>
      <w:r w:rsidRPr="007F1EA7">
        <w:rPr>
          <w:sz w:val="18"/>
          <w:szCs w:val="18"/>
        </w:rPr>
        <w:instrText xml:space="preserve">\a \f 4 \h  \* MERGEFORMAT </w:instrText>
      </w:r>
      <w:r w:rsidRPr="007F1EA7">
        <w:rPr>
          <w:sz w:val="18"/>
          <w:szCs w:val="18"/>
        </w:rPr>
        <w:fldChar w:fldCharType="separate"/>
      </w:r>
    </w:p>
    <w:p w:rsidR="008804E9" w:rsidRPr="007F1EA7" w:rsidRDefault="008804E9" w:rsidP="008804E9">
      <w:pPr>
        <w:rPr>
          <w:sz w:val="18"/>
          <w:szCs w:val="18"/>
        </w:rPr>
      </w:pPr>
      <w:r w:rsidRPr="007F1EA7">
        <w:rPr>
          <w:sz w:val="18"/>
          <w:szCs w:val="18"/>
        </w:rPr>
        <w:fldChar w:fldCharType="end"/>
      </w:r>
    </w:p>
    <w:tbl>
      <w:tblPr>
        <w:tblW w:w="15840" w:type="dxa"/>
        <w:tblInd w:w="-1440" w:type="dxa"/>
        <w:tblLook w:val="04A0" w:firstRow="1" w:lastRow="0" w:firstColumn="1" w:lastColumn="0" w:noHBand="0" w:noVBand="1"/>
      </w:tblPr>
      <w:tblGrid>
        <w:gridCol w:w="1890"/>
        <w:gridCol w:w="1440"/>
        <w:gridCol w:w="1440"/>
        <w:gridCol w:w="1440"/>
        <w:gridCol w:w="1530"/>
        <w:gridCol w:w="1440"/>
        <w:gridCol w:w="1440"/>
        <w:gridCol w:w="1440"/>
        <w:gridCol w:w="1350"/>
        <w:gridCol w:w="2430"/>
      </w:tblGrid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no phylogeny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with phylogeny (</w:t>
            </w:r>
            <w:r w:rsidR="00E749E9">
              <w:rPr>
                <w:b/>
                <w:sz w:val="18"/>
                <w:szCs w:val="18"/>
              </w:rPr>
              <w:t>on 100 phylogenetic trees in mulTree</w:t>
            </w:r>
            <w:r w:rsidRPr="00436AF0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254146" w:rsidP="00B765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  <w:r w:rsidR="008804E9" w:rsidRPr="00436AF0">
              <w:rPr>
                <w:b/>
                <w:sz w:val="18"/>
                <w:szCs w:val="18"/>
              </w:rPr>
              <w:t>odel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fixed terms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Estimate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F641A2" w:rsidP="00B765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pMCMC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posterior 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1C593B" w:rsidP="00B765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pMCMC</w:t>
            </w:r>
            <w:r w:rsidR="008804E9" w:rsidRPr="00436AF0">
              <w:rPr>
                <w:b/>
                <w:sz w:val="18"/>
                <w:szCs w:val="18"/>
              </w:rPr>
              <w:t>, mean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1C593B" w:rsidP="00B765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pMCMC</w:t>
            </w:r>
            <w:r w:rsidR="008804E9" w:rsidRPr="00436AF0">
              <w:rPr>
                <w:b/>
                <w:sz w:val="18"/>
                <w:szCs w:val="18"/>
              </w:rPr>
              <w:t>, range</w:t>
            </w: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intercept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-6.4</w:t>
            </w:r>
            <w:r>
              <w:rPr>
                <w:sz w:val="18"/>
                <w:szCs w:val="18"/>
              </w:rPr>
              <w:t xml:space="preserve"> (</w:t>
            </w:r>
            <w:r w:rsidRPr="00026EB7">
              <w:rPr>
                <w:sz w:val="18"/>
                <w:szCs w:val="18"/>
              </w:rPr>
              <w:t>-11.2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 xml:space="preserve">-40.8 </w:t>
            </w:r>
            <w:r>
              <w:rPr>
                <w:sz w:val="18"/>
                <w:szCs w:val="18"/>
              </w:rPr>
              <w:t>(</w:t>
            </w:r>
            <w:r w:rsidRPr="00026EB7">
              <w:rPr>
                <w:sz w:val="18"/>
                <w:szCs w:val="18"/>
              </w:rPr>
              <w:t>-54.0</w:t>
            </w:r>
            <w:r w:rsidRPr="00436AF0">
              <w:rPr>
                <w:sz w:val="18"/>
                <w:szCs w:val="18"/>
              </w:rPr>
              <w:t xml:space="preserve">)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26.6 (</w:t>
            </w:r>
            <w:r w:rsidRPr="00026EB7">
              <w:rPr>
                <w:sz w:val="18"/>
                <w:szCs w:val="18"/>
              </w:rPr>
              <w:t>30.6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0.699 (</w:t>
            </w:r>
            <w:r w:rsidRPr="00097141">
              <w:rPr>
                <w:sz w:val="18"/>
                <w:szCs w:val="18"/>
              </w:rPr>
              <w:t>0.584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745E1E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-</w:t>
            </w:r>
            <w:r w:rsidR="00A33C04">
              <w:rPr>
                <w:sz w:val="18"/>
                <w:szCs w:val="18"/>
              </w:rPr>
              <w:t>8.9</w:t>
            </w:r>
            <w:r w:rsidRPr="00436AF0">
              <w:rPr>
                <w:sz w:val="18"/>
                <w:szCs w:val="18"/>
              </w:rPr>
              <w:t xml:space="preserve"> </w:t>
            </w:r>
            <w:r w:rsidR="00745E1E">
              <w:rPr>
                <w:sz w:val="18"/>
                <w:szCs w:val="18"/>
              </w:rPr>
              <w:t>(</w:t>
            </w:r>
            <w:r w:rsidR="00745E1E" w:rsidRPr="00745E1E">
              <w:rPr>
                <w:sz w:val="18"/>
                <w:szCs w:val="18"/>
              </w:rPr>
              <w:t>-12.7</w:t>
            </w:r>
            <w:r w:rsidRPr="00436AF0">
              <w:rPr>
                <w:sz w:val="18"/>
                <w:szCs w:val="18"/>
              </w:rPr>
              <w:t xml:space="preserve">)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745E1E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-63.</w:t>
            </w:r>
            <w:r w:rsidR="00A33C04">
              <w:rPr>
                <w:sz w:val="18"/>
                <w:szCs w:val="18"/>
              </w:rPr>
              <w:t>0</w:t>
            </w:r>
            <w:r w:rsidRPr="00436AF0">
              <w:rPr>
                <w:sz w:val="18"/>
                <w:szCs w:val="18"/>
              </w:rPr>
              <w:t xml:space="preserve">  (-6</w:t>
            </w:r>
            <w:r w:rsidR="00745E1E">
              <w:rPr>
                <w:sz w:val="18"/>
                <w:szCs w:val="18"/>
              </w:rPr>
              <w:t>4.0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44.3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745E1E" w:rsidRPr="00745E1E">
              <w:rPr>
                <w:sz w:val="18"/>
                <w:szCs w:val="18"/>
              </w:rPr>
              <w:t>37.8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lastRenderedPageBreak/>
              <w:t>Cycle</w:t>
            </w:r>
            <w:r w:rsidRPr="00436AF0">
              <w:rPr>
                <w:sz w:val="18"/>
                <w:szCs w:val="18"/>
                <w:vertAlign w:val="subscript"/>
              </w:rPr>
              <w:t>full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10.4 (</w:t>
            </w:r>
            <w:r>
              <w:rPr>
                <w:sz w:val="18"/>
                <w:szCs w:val="18"/>
              </w:rPr>
              <w:t>8.3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 xml:space="preserve">1.5 </w:t>
            </w:r>
            <w:r>
              <w:rPr>
                <w:sz w:val="18"/>
                <w:szCs w:val="18"/>
              </w:rPr>
              <w:t>(-6.2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19.2</w:t>
            </w:r>
            <w:r>
              <w:rPr>
                <w:sz w:val="18"/>
                <w:szCs w:val="18"/>
              </w:rPr>
              <w:t xml:space="preserve"> (22.9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0.021 (0.</w:t>
            </w:r>
            <w:r>
              <w:rPr>
                <w:sz w:val="18"/>
                <w:szCs w:val="18"/>
              </w:rPr>
              <w:t>263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745E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745E1E">
              <w:rPr>
                <w:sz w:val="18"/>
                <w:szCs w:val="18"/>
              </w:rPr>
              <w:t>7.4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745E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  <w:r w:rsidR="008804E9" w:rsidRPr="00436AF0">
              <w:rPr>
                <w:sz w:val="18"/>
                <w:szCs w:val="18"/>
              </w:rPr>
              <w:t xml:space="preserve"> (-</w:t>
            </w:r>
            <w:r w:rsidR="00745E1E">
              <w:rPr>
                <w:sz w:val="18"/>
                <w:szCs w:val="18"/>
              </w:rPr>
              <w:t>7.3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745E1E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19.</w:t>
            </w:r>
            <w:r w:rsidR="00A33C04">
              <w:rPr>
                <w:sz w:val="18"/>
                <w:szCs w:val="18"/>
              </w:rPr>
              <w:t>1</w:t>
            </w:r>
            <w:r w:rsidRPr="00436AF0">
              <w:rPr>
                <w:sz w:val="18"/>
                <w:szCs w:val="18"/>
              </w:rPr>
              <w:t xml:space="preserve"> (</w:t>
            </w:r>
            <w:r w:rsidR="00745E1E">
              <w:rPr>
                <w:sz w:val="18"/>
                <w:szCs w:val="18"/>
              </w:rPr>
              <w:t>22.0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A5741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</w:t>
            </w:r>
            <w:r w:rsidR="00A57419">
              <w:rPr>
                <w:sz w:val="18"/>
                <w:szCs w:val="18"/>
              </w:rPr>
              <w:t>25</w:t>
            </w:r>
            <w:r w:rsidRPr="00436AF0">
              <w:rPr>
                <w:sz w:val="18"/>
                <w:szCs w:val="18"/>
              </w:rPr>
              <w:t>(0.</w:t>
            </w:r>
            <w:r w:rsidR="00A57419">
              <w:rPr>
                <w:sz w:val="18"/>
                <w:szCs w:val="18"/>
              </w:rPr>
              <w:t>322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A5741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0.00</w:t>
            </w:r>
            <w:r w:rsidR="00A57419">
              <w:rPr>
                <w:sz w:val="18"/>
                <w:szCs w:val="18"/>
              </w:rPr>
              <w:t>6</w:t>
            </w:r>
            <w:r w:rsidRPr="00436AF0">
              <w:rPr>
                <w:sz w:val="18"/>
                <w:szCs w:val="18"/>
              </w:rPr>
              <w:t xml:space="preserve"> - 0.0</w:t>
            </w:r>
            <w:r w:rsidR="00A57419">
              <w:rPr>
                <w:sz w:val="18"/>
                <w:szCs w:val="18"/>
              </w:rPr>
              <w:t>5</w:t>
            </w:r>
            <w:r w:rsidRPr="00436AF0">
              <w:rPr>
                <w:sz w:val="18"/>
                <w:szCs w:val="18"/>
              </w:rPr>
              <w:t>3(0.</w:t>
            </w:r>
            <w:r w:rsidR="00A57419">
              <w:rPr>
                <w:sz w:val="18"/>
                <w:szCs w:val="18"/>
              </w:rPr>
              <w:t>255</w:t>
            </w:r>
            <w:r w:rsidRPr="00436AF0">
              <w:rPr>
                <w:sz w:val="18"/>
                <w:szCs w:val="18"/>
              </w:rPr>
              <w:t xml:space="preserve"> - 0.</w:t>
            </w:r>
            <w:r w:rsidR="00A57419">
              <w:rPr>
                <w:sz w:val="18"/>
                <w:szCs w:val="18"/>
              </w:rPr>
              <w:t>394</w:t>
            </w:r>
            <w:r w:rsidRPr="00436AF0">
              <w:rPr>
                <w:sz w:val="18"/>
                <w:szCs w:val="18"/>
              </w:rPr>
              <w:t>)</w:t>
            </w: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Survival : Cycle</w:t>
            </w:r>
            <w:r w:rsidRPr="00436AF0">
              <w:rPr>
                <w:sz w:val="18"/>
                <w:szCs w:val="18"/>
                <w:vertAlign w:val="subscript"/>
              </w:rPr>
              <w:t>transitory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196.1 (</w:t>
            </w:r>
            <w:r w:rsidRPr="00097141">
              <w:rPr>
                <w:sz w:val="18"/>
                <w:szCs w:val="18"/>
              </w:rPr>
              <w:t>222.4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71.4 (</w:t>
            </w:r>
            <w:r>
              <w:rPr>
                <w:sz w:val="18"/>
                <w:szCs w:val="18"/>
              </w:rPr>
              <w:t>68.2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325.5 (</w:t>
            </w:r>
            <w:r>
              <w:rPr>
                <w:sz w:val="18"/>
                <w:szCs w:val="18"/>
              </w:rPr>
              <w:t>380.5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0.003 (</w:t>
            </w:r>
            <w:r>
              <w:rPr>
                <w:sz w:val="18"/>
                <w:szCs w:val="18"/>
              </w:rPr>
              <w:t>0.005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B76527">
            <w:pPr>
              <w:rPr>
                <w:sz w:val="18"/>
                <w:szCs w:val="18"/>
              </w:rPr>
            </w:pPr>
            <w:r w:rsidRPr="00A33C04">
              <w:rPr>
                <w:sz w:val="18"/>
                <w:szCs w:val="18"/>
              </w:rPr>
              <w:t>211.3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745E1E" w:rsidRPr="00745E1E">
              <w:rPr>
                <w:sz w:val="18"/>
                <w:szCs w:val="18"/>
              </w:rPr>
              <w:t>245.1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745E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61.6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745E1E">
              <w:rPr>
                <w:sz w:val="18"/>
                <w:szCs w:val="18"/>
              </w:rPr>
              <w:t>59.8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B76527">
            <w:pPr>
              <w:rPr>
                <w:sz w:val="18"/>
                <w:szCs w:val="18"/>
              </w:rPr>
            </w:pPr>
            <w:r w:rsidRPr="00A33C04">
              <w:rPr>
                <w:sz w:val="18"/>
                <w:szCs w:val="18"/>
              </w:rPr>
              <w:t xml:space="preserve">363.6 </w:t>
            </w:r>
            <w:r w:rsidR="008804E9" w:rsidRPr="00436AF0">
              <w:rPr>
                <w:sz w:val="18"/>
                <w:szCs w:val="18"/>
              </w:rPr>
              <w:t>(</w:t>
            </w:r>
            <w:r w:rsidR="00745E1E">
              <w:rPr>
                <w:sz w:val="18"/>
                <w:szCs w:val="18"/>
              </w:rPr>
              <w:t>435.9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1C7F94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0.00</w:t>
            </w:r>
            <w:r w:rsidR="00A57419">
              <w:rPr>
                <w:sz w:val="18"/>
                <w:szCs w:val="18"/>
              </w:rPr>
              <w:t>8</w:t>
            </w:r>
            <w:r w:rsidRPr="00436AF0">
              <w:rPr>
                <w:sz w:val="18"/>
                <w:szCs w:val="18"/>
              </w:rPr>
              <w:t>(0.0</w:t>
            </w:r>
            <w:r w:rsidR="001C7F94">
              <w:rPr>
                <w:sz w:val="18"/>
                <w:szCs w:val="18"/>
              </w:rPr>
              <w:t>12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1C7F94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0.001 - 0.02</w:t>
            </w:r>
            <w:r w:rsidR="00A57419">
              <w:rPr>
                <w:sz w:val="18"/>
                <w:szCs w:val="18"/>
              </w:rPr>
              <w:t>4</w:t>
            </w:r>
            <w:r w:rsidRPr="00436AF0">
              <w:rPr>
                <w:sz w:val="18"/>
                <w:szCs w:val="18"/>
              </w:rPr>
              <w:t>(0.001- 0.02</w:t>
            </w:r>
            <w:r w:rsidR="001C7F94">
              <w:rPr>
                <w:sz w:val="18"/>
                <w:szCs w:val="18"/>
              </w:rPr>
              <w:t>7</w:t>
            </w:r>
            <w:r w:rsidRPr="00436AF0">
              <w:rPr>
                <w:sz w:val="18"/>
                <w:szCs w:val="18"/>
              </w:rPr>
              <w:t>)</w:t>
            </w: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Survival : Cycle</w:t>
            </w:r>
            <w:r w:rsidRPr="00436AF0">
              <w:rPr>
                <w:sz w:val="18"/>
                <w:szCs w:val="18"/>
                <w:vertAlign w:val="subscript"/>
              </w:rPr>
              <w:t>full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119.0 (</w:t>
            </w:r>
            <w:r w:rsidRPr="00097141">
              <w:rPr>
                <w:sz w:val="18"/>
                <w:szCs w:val="18"/>
              </w:rPr>
              <w:t>110.3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-1.8 (-</w:t>
            </w:r>
            <w:r>
              <w:rPr>
                <w:sz w:val="18"/>
                <w:szCs w:val="18"/>
              </w:rPr>
              <w:t>35.3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239.4 (</w:t>
            </w:r>
            <w:r w:rsidRPr="00097141">
              <w:rPr>
                <w:sz w:val="18"/>
                <w:szCs w:val="18"/>
              </w:rPr>
              <w:t>263.6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0.052 (</w:t>
            </w:r>
            <w:r w:rsidRPr="00097141">
              <w:rPr>
                <w:sz w:val="18"/>
                <w:szCs w:val="18"/>
              </w:rPr>
              <w:t>0.130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745E1E">
            <w:pPr>
              <w:rPr>
                <w:sz w:val="18"/>
                <w:szCs w:val="18"/>
              </w:rPr>
            </w:pPr>
            <w:r w:rsidRPr="00A33C04">
              <w:rPr>
                <w:sz w:val="18"/>
                <w:szCs w:val="18"/>
              </w:rPr>
              <w:t xml:space="preserve">132.5 </w:t>
            </w:r>
            <w:r w:rsidR="008804E9" w:rsidRPr="00436AF0">
              <w:rPr>
                <w:sz w:val="18"/>
                <w:szCs w:val="18"/>
              </w:rPr>
              <w:t>(</w:t>
            </w:r>
            <w:r w:rsidR="00745E1E">
              <w:rPr>
                <w:sz w:val="18"/>
                <w:szCs w:val="18"/>
              </w:rPr>
              <w:t>128.5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745E1E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-</w:t>
            </w:r>
            <w:r w:rsidR="00A33C04">
              <w:rPr>
                <w:sz w:val="18"/>
                <w:szCs w:val="18"/>
              </w:rPr>
              <w:t>13.7</w:t>
            </w:r>
            <w:r w:rsidRPr="00436AF0">
              <w:rPr>
                <w:sz w:val="18"/>
                <w:szCs w:val="18"/>
              </w:rPr>
              <w:t xml:space="preserve"> </w:t>
            </w:r>
            <w:r w:rsidR="00745E1E">
              <w:rPr>
                <w:sz w:val="18"/>
                <w:szCs w:val="18"/>
              </w:rPr>
              <w:t>(</w:t>
            </w:r>
            <w:r w:rsidR="00745E1E" w:rsidRPr="00745E1E">
              <w:rPr>
                <w:sz w:val="18"/>
                <w:szCs w:val="18"/>
              </w:rPr>
              <w:t>-51.4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A33C04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279.2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745E1E">
              <w:rPr>
                <w:sz w:val="18"/>
                <w:szCs w:val="18"/>
              </w:rPr>
              <w:t>309.7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1C7F94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</w:t>
            </w:r>
            <w:r w:rsidR="00A57419">
              <w:rPr>
                <w:sz w:val="18"/>
                <w:szCs w:val="18"/>
              </w:rPr>
              <w:t>74</w:t>
            </w:r>
            <w:r w:rsidRPr="00436AF0">
              <w:rPr>
                <w:sz w:val="18"/>
                <w:szCs w:val="18"/>
              </w:rPr>
              <w:t>(0.</w:t>
            </w:r>
            <w:r w:rsidR="001C7F94">
              <w:rPr>
                <w:sz w:val="18"/>
                <w:szCs w:val="18"/>
              </w:rPr>
              <w:t>150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1C7F94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</w:t>
            </w:r>
            <w:r w:rsidR="00A57419">
              <w:rPr>
                <w:sz w:val="18"/>
                <w:szCs w:val="18"/>
              </w:rPr>
              <w:t>35</w:t>
            </w:r>
            <w:r w:rsidRPr="00436AF0">
              <w:rPr>
                <w:sz w:val="18"/>
                <w:szCs w:val="18"/>
              </w:rPr>
              <w:t xml:space="preserve"> - 0.1</w:t>
            </w:r>
            <w:r w:rsidR="00A57419">
              <w:rPr>
                <w:sz w:val="18"/>
                <w:szCs w:val="18"/>
              </w:rPr>
              <w:t>22</w:t>
            </w:r>
            <w:r w:rsidRPr="00436AF0">
              <w:rPr>
                <w:sz w:val="18"/>
                <w:szCs w:val="18"/>
              </w:rPr>
              <w:t>(0.1 - 0.2</w:t>
            </w:r>
            <w:r w:rsidR="001C7F94">
              <w:rPr>
                <w:sz w:val="18"/>
                <w:szCs w:val="18"/>
              </w:rPr>
              <w:t>06</w:t>
            </w:r>
            <w:r w:rsidRPr="00436AF0">
              <w:rPr>
                <w:sz w:val="18"/>
                <w:szCs w:val="18"/>
              </w:rPr>
              <w:t>)</w:t>
            </w: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random terms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posterior 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posterior 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bird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558.7 (</w:t>
            </w:r>
            <w:r w:rsidRPr="00776785">
              <w:rPr>
                <w:sz w:val="18"/>
                <w:szCs w:val="18"/>
              </w:rPr>
              <w:t>762.9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262.2 (</w:t>
            </w:r>
            <w:r>
              <w:rPr>
                <w:sz w:val="18"/>
                <w:szCs w:val="18"/>
              </w:rPr>
              <w:t>337.5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880.8 (</w:t>
            </w:r>
            <w:r w:rsidRPr="00776785">
              <w:rPr>
                <w:sz w:val="18"/>
                <w:szCs w:val="18"/>
              </w:rPr>
              <w:t>1196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 w:rsidRPr="008D4140">
              <w:rPr>
                <w:sz w:val="18"/>
                <w:szCs w:val="18"/>
              </w:rPr>
              <w:t>560.9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C75292" w:rsidRPr="00C75292">
              <w:rPr>
                <w:sz w:val="18"/>
                <w:szCs w:val="18"/>
              </w:rPr>
              <w:t>764.5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C752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284.4 </w:t>
            </w:r>
            <w:r w:rsidR="008804E9" w:rsidRPr="00436AF0">
              <w:rPr>
                <w:sz w:val="18"/>
                <w:szCs w:val="18"/>
              </w:rPr>
              <w:t>(</w:t>
            </w:r>
            <w:r w:rsidR="00C75292">
              <w:rPr>
                <w:sz w:val="18"/>
                <w:szCs w:val="18"/>
              </w:rPr>
              <w:t>380.9</w:t>
            </w:r>
            <w:r w:rsidR="008804E9" w:rsidRPr="00436AF0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8D4140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923.</w:t>
            </w:r>
            <w:r w:rsidR="008D4140">
              <w:rPr>
                <w:sz w:val="18"/>
                <w:szCs w:val="18"/>
              </w:rPr>
              <w:t>8</w:t>
            </w:r>
            <w:r w:rsidRPr="00436AF0">
              <w:rPr>
                <w:sz w:val="18"/>
                <w:szCs w:val="18"/>
              </w:rPr>
              <w:t xml:space="preserve"> (</w:t>
            </w:r>
            <w:r w:rsidR="00C75292" w:rsidRPr="00C75292">
              <w:rPr>
                <w:sz w:val="18"/>
                <w:szCs w:val="18"/>
              </w:rPr>
              <w:t>1258.1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life-cycle stage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77</w:t>
            </w:r>
            <w:r w:rsidRPr="00436AF0">
              <w:rPr>
                <w:sz w:val="18"/>
                <w:szCs w:val="18"/>
              </w:rPr>
              <w:t>.0 (1175.0)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263.0 (</w:t>
            </w:r>
            <w:r w:rsidRPr="00776785">
              <w:rPr>
                <w:sz w:val="18"/>
                <w:szCs w:val="18"/>
              </w:rPr>
              <w:t>211.7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2375.0 (</w:t>
            </w:r>
            <w:r>
              <w:rPr>
                <w:sz w:val="18"/>
                <w:szCs w:val="18"/>
              </w:rPr>
              <w:t>2478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1B5319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1099.0</w:t>
            </w:r>
            <w:r w:rsidR="008D4140" w:rsidRPr="008D4140">
              <w:rPr>
                <w:sz w:val="18"/>
                <w:szCs w:val="18"/>
              </w:rPr>
              <w:t xml:space="preserve"> </w:t>
            </w:r>
            <w:r w:rsidR="008804E9" w:rsidRPr="00436AF0">
              <w:rPr>
                <w:sz w:val="18"/>
                <w:szCs w:val="18"/>
              </w:rPr>
              <w:t>(1184.0)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376.9 (</w:t>
            </w:r>
            <w:r w:rsidR="001B5319">
              <w:rPr>
                <w:sz w:val="18"/>
                <w:szCs w:val="18"/>
              </w:rPr>
              <w:t>329.8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2870.6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1B5319" w:rsidRPr="001B5319">
              <w:rPr>
                <w:sz w:val="18"/>
                <w:szCs w:val="18"/>
              </w:rPr>
              <w:t>3101.4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study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1379.0 (</w:t>
            </w:r>
            <w:r>
              <w:rPr>
                <w:sz w:val="18"/>
                <w:szCs w:val="18"/>
              </w:rPr>
              <w:t>2144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199.4 (</w:t>
            </w:r>
            <w:r w:rsidRPr="00776785">
              <w:rPr>
                <w:sz w:val="18"/>
                <w:szCs w:val="18"/>
              </w:rPr>
              <w:t>204.4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3129.0 (</w:t>
            </w:r>
            <w:r w:rsidRPr="00776785">
              <w:rPr>
                <w:sz w:val="18"/>
                <w:szCs w:val="18"/>
              </w:rPr>
              <w:t>5182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1B5319">
            <w:pPr>
              <w:rPr>
                <w:sz w:val="18"/>
                <w:szCs w:val="18"/>
              </w:rPr>
            </w:pPr>
            <w:r w:rsidRPr="008D4140">
              <w:rPr>
                <w:sz w:val="18"/>
                <w:szCs w:val="18"/>
              </w:rPr>
              <w:t xml:space="preserve">1297.0 </w:t>
            </w:r>
            <w:r w:rsidR="008804E9" w:rsidRPr="00436AF0">
              <w:rPr>
                <w:sz w:val="18"/>
                <w:szCs w:val="18"/>
              </w:rPr>
              <w:t>(</w:t>
            </w:r>
            <w:r w:rsidR="001B5319">
              <w:rPr>
                <w:sz w:val="18"/>
                <w:szCs w:val="18"/>
              </w:rPr>
              <w:t>1781</w:t>
            </w:r>
            <w:r w:rsidR="008804E9" w:rsidRPr="00436AF0">
              <w:rPr>
                <w:sz w:val="18"/>
                <w:szCs w:val="18"/>
              </w:rPr>
              <w:t>.0 )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1B53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309.1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1B5319">
              <w:rPr>
                <w:sz w:val="18"/>
                <w:szCs w:val="18"/>
              </w:rPr>
              <w:t>349.3</w:t>
            </w:r>
            <w:r w:rsidR="008804E9" w:rsidRPr="00436AF0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3705.1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1B5319">
              <w:rPr>
                <w:sz w:val="18"/>
                <w:szCs w:val="18"/>
              </w:rPr>
              <w:t>5544.8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</w:t>
            </w:r>
            <w:r w:rsidRPr="00436AF0">
              <w:rPr>
                <w:sz w:val="18"/>
                <w:szCs w:val="18"/>
              </w:rPr>
              <w:t>.9</w:t>
            </w:r>
            <w:r>
              <w:rPr>
                <w:sz w:val="18"/>
                <w:szCs w:val="18"/>
              </w:rPr>
              <w:t xml:space="preserve"> (</w:t>
            </w:r>
            <w:r w:rsidRPr="00776785">
              <w:rPr>
                <w:sz w:val="18"/>
                <w:szCs w:val="18"/>
              </w:rPr>
              <w:t>922.3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112.9</w:t>
            </w:r>
            <w:r>
              <w:rPr>
                <w:sz w:val="18"/>
                <w:szCs w:val="18"/>
              </w:rPr>
              <w:t xml:space="preserve"> (113.5)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1566 (2382.0)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 w:rsidRPr="008D4140">
              <w:rPr>
                <w:sz w:val="18"/>
                <w:szCs w:val="18"/>
              </w:rPr>
              <w:t>716.9</w:t>
            </w:r>
            <w:r w:rsidR="001B5319">
              <w:rPr>
                <w:sz w:val="18"/>
                <w:szCs w:val="18"/>
              </w:rPr>
              <w:t xml:space="preserve"> (</w:t>
            </w:r>
            <w:r w:rsidR="001B5319" w:rsidRPr="001B5319">
              <w:rPr>
                <w:sz w:val="18"/>
                <w:szCs w:val="18"/>
              </w:rPr>
              <w:t>944.1</w:t>
            </w:r>
            <w:r w:rsidR="001B5319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190.5</w:t>
            </w:r>
            <w:r w:rsidR="001B5319">
              <w:rPr>
                <w:sz w:val="18"/>
                <w:szCs w:val="18"/>
              </w:rPr>
              <w:t xml:space="preserve"> (211.5)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2107.8</w:t>
            </w:r>
            <w:r w:rsidR="001B5319">
              <w:rPr>
                <w:sz w:val="18"/>
                <w:szCs w:val="18"/>
              </w:rPr>
              <w:t xml:space="preserve"> (</w:t>
            </w:r>
            <w:r w:rsidR="001B5319" w:rsidRPr="001B5319">
              <w:rPr>
                <w:sz w:val="18"/>
                <w:szCs w:val="18"/>
              </w:rPr>
              <w:t>3071.7</w:t>
            </w:r>
            <w:r w:rsidR="001B5319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</w:tr>
      <w:tr w:rsidR="008804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phylogenetic variance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 w:rsidRPr="008D4140">
              <w:rPr>
                <w:sz w:val="18"/>
                <w:szCs w:val="18"/>
              </w:rPr>
              <w:t xml:space="preserve">1175.0 </w:t>
            </w:r>
            <w:r w:rsidR="008804E9" w:rsidRPr="00436AF0">
              <w:rPr>
                <w:sz w:val="18"/>
                <w:szCs w:val="18"/>
              </w:rPr>
              <w:t>(</w:t>
            </w:r>
            <w:r w:rsidR="001B5319" w:rsidRPr="001B5319">
              <w:rPr>
                <w:sz w:val="18"/>
                <w:szCs w:val="18"/>
              </w:rPr>
              <w:t>1296.0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1B53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233.6</w:t>
            </w:r>
            <w:r w:rsidR="008804E9" w:rsidRPr="00436AF0">
              <w:rPr>
                <w:sz w:val="18"/>
                <w:szCs w:val="18"/>
              </w:rPr>
              <w:t xml:space="preserve"> (</w:t>
            </w:r>
            <w:r w:rsidR="001B5319">
              <w:rPr>
                <w:sz w:val="18"/>
                <w:szCs w:val="18"/>
              </w:rPr>
              <w:t>246.5</w:t>
            </w:r>
            <w:r w:rsidR="008804E9" w:rsidRPr="00436AF0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D4140" w:rsidP="00B7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4065.7 </w:t>
            </w:r>
            <w:r w:rsidR="008804E9" w:rsidRPr="00436AF0">
              <w:rPr>
                <w:sz w:val="18"/>
                <w:szCs w:val="18"/>
              </w:rPr>
              <w:t>(</w:t>
            </w:r>
            <w:r w:rsidR="001B5319" w:rsidRPr="001B5319">
              <w:rPr>
                <w:sz w:val="18"/>
                <w:szCs w:val="18"/>
              </w:rPr>
              <w:t>4522.4</w:t>
            </w:r>
            <w:r w:rsidR="008804E9"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4E9" w:rsidRPr="00436AF0" w:rsidRDefault="008804E9" w:rsidP="00B76527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residual variance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1282.0 (13</w:t>
            </w:r>
            <w:r>
              <w:rPr>
                <w:sz w:val="18"/>
                <w:szCs w:val="18"/>
              </w:rPr>
              <w:t>44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59</w:t>
            </w:r>
            <w:r w:rsidRPr="00436AF0">
              <w:rPr>
                <w:sz w:val="18"/>
                <w:szCs w:val="18"/>
              </w:rPr>
              <w:t>.0 (102</w:t>
            </w:r>
            <w:r>
              <w:rPr>
                <w:sz w:val="18"/>
                <w:szCs w:val="18"/>
              </w:rPr>
              <w:t>8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1520</w:t>
            </w:r>
            <w:r w:rsidRPr="00436AF0">
              <w:rPr>
                <w:sz w:val="18"/>
                <w:szCs w:val="18"/>
              </w:rPr>
              <w:t>.0 (</w:t>
            </w:r>
            <w:r w:rsidRPr="00C43CE5">
              <w:rPr>
                <w:sz w:val="18"/>
                <w:szCs w:val="18"/>
              </w:rPr>
              <w:t>1681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8D4140">
              <w:rPr>
                <w:sz w:val="18"/>
                <w:szCs w:val="18"/>
              </w:rPr>
              <w:t xml:space="preserve">1281.0 </w:t>
            </w:r>
            <w:r w:rsidRPr="00436AF0">
              <w:rPr>
                <w:sz w:val="18"/>
                <w:szCs w:val="18"/>
              </w:rPr>
              <w:t>(</w:t>
            </w:r>
            <w:r w:rsidRPr="001B5319">
              <w:rPr>
                <w:sz w:val="18"/>
                <w:szCs w:val="18"/>
              </w:rPr>
              <w:t>1342.0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6</w:t>
            </w:r>
            <w:r w:rsidRPr="00436AF0">
              <w:rPr>
                <w:sz w:val="18"/>
                <w:szCs w:val="18"/>
              </w:rPr>
              <w:t>6.</w:t>
            </w:r>
            <w:r>
              <w:rPr>
                <w:sz w:val="18"/>
                <w:szCs w:val="18"/>
              </w:rPr>
              <w:t>4</w:t>
            </w:r>
            <w:r w:rsidRPr="00436AF0">
              <w:rPr>
                <w:sz w:val="18"/>
                <w:szCs w:val="18"/>
              </w:rPr>
              <w:t xml:space="preserve"> (10</w:t>
            </w:r>
            <w:r>
              <w:rPr>
                <w:sz w:val="18"/>
                <w:szCs w:val="18"/>
              </w:rPr>
              <w:t>4</w:t>
            </w:r>
            <w:r w:rsidRPr="00436AF0">
              <w:rPr>
                <w:sz w:val="18"/>
                <w:szCs w:val="18"/>
              </w:rPr>
              <w:t>7.</w:t>
            </w:r>
            <w:r>
              <w:rPr>
                <w:sz w:val="18"/>
                <w:szCs w:val="18"/>
              </w:rPr>
              <w:t>3</w:t>
            </w:r>
            <w:r w:rsidRPr="00436AF0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1534.5 </w:t>
            </w:r>
            <w:r w:rsidRPr="00436AF0">
              <w:rPr>
                <w:sz w:val="18"/>
                <w:szCs w:val="18"/>
              </w:rPr>
              <w:t>(</w:t>
            </w:r>
            <w:r w:rsidRPr="001B5319">
              <w:rPr>
                <w:sz w:val="18"/>
                <w:szCs w:val="18"/>
              </w:rPr>
              <w:t>1710.1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E749E9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Default="00E749E9" w:rsidP="00E749E9">
            <w:pPr>
              <w:rPr>
                <w:b/>
                <w:sz w:val="18"/>
                <w:szCs w:val="18"/>
              </w:rPr>
            </w:pPr>
          </w:p>
          <w:p w:rsidR="00E749E9" w:rsidRPr="00436AF0" w:rsidRDefault="00254146" w:rsidP="00E749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  <w:bookmarkStart w:id="0" w:name="_GoBack"/>
            <w:bookmarkEnd w:id="0"/>
            <w:r w:rsidR="00E749E9" w:rsidRPr="00436AF0">
              <w:rPr>
                <w:b/>
                <w:sz w:val="18"/>
                <w:szCs w:val="18"/>
              </w:rPr>
              <w:t>odel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with phylogeny (</w:t>
            </w:r>
            <w:r>
              <w:rPr>
                <w:b/>
                <w:sz w:val="18"/>
                <w:szCs w:val="18"/>
              </w:rPr>
              <w:t>on 100 phylogenetic trees in mulTree</w:t>
            </w:r>
            <w:r w:rsidRPr="00436AF0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fixed terms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Estimate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F641A2" w:rsidP="00E749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pMCMC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posterior 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432BF" w:rsidP="00E749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pMCMC</w:t>
            </w:r>
            <w:r w:rsidR="00E749E9" w:rsidRPr="00436AF0">
              <w:rPr>
                <w:b/>
                <w:sz w:val="18"/>
                <w:szCs w:val="18"/>
              </w:rPr>
              <w:t>, mean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432BF" w:rsidP="00E749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pMCMC</w:t>
            </w:r>
            <w:r w:rsidR="00E749E9" w:rsidRPr="00436AF0">
              <w:rPr>
                <w:b/>
                <w:sz w:val="18"/>
                <w:szCs w:val="18"/>
              </w:rPr>
              <w:t>, range</w:t>
            </w: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intercept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BF6B53">
              <w:rPr>
                <w:sz w:val="18"/>
                <w:szCs w:val="18"/>
              </w:rPr>
              <w:t xml:space="preserve">-3.7 </w:t>
            </w:r>
            <w:r>
              <w:rPr>
                <w:sz w:val="18"/>
                <w:szCs w:val="18"/>
              </w:rPr>
              <w:t>(-13.4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BF6B53">
              <w:rPr>
                <w:sz w:val="18"/>
                <w:szCs w:val="18"/>
              </w:rPr>
              <w:t xml:space="preserve">-36.5 </w:t>
            </w:r>
            <w:r>
              <w:rPr>
                <w:sz w:val="18"/>
                <w:szCs w:val="18"/>
              </w:rPr>
              <w:t>(</w:t>
            </w:r>
            <w:r w:rsidRPr="005141B5">
              <w:rPr>
                <w:sz w:val="18"/>
                <w:szCs w:val="18"/>
              </w:rPr>
              <w:t>-55.7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29.9</w:t>
            </w:r>
            <w:r w:rsidRPr="00436AF0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26.6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7.4 </w:t>
            </w:r>
            <w:r w:rsidRPr="00436AF0">
              <w:rPr>
                <w:sz w:val="18"/>
                <w:szCs w:val="18"/>
              </w:rPr>
              <w:t>(-</w:t>
            </w:r>
            <w:r>
              <w:rPr>
                <w:sz w:val="18"/>
                <w:szCs w:val="18"/>
              </w:rPr>
              <w:t>16.7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61.2</w:t>
            </w:r>
            <w:r w:rsidRPr="00436AF0">
              <w:rPr>
                <w:sz w:val="18"/>
                <w:szCs w:val="18"/>
              </w:rPr>
              <w:t>(-</w:t>
            </w:r>
            <w:r>
              <w:rPr>
                <w:sz w:val="18"/>
                <w:szCs w:val="18"/>
              </w:rPr>
              <w:t>66.7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44.9 </w:t>
            </w:r>
            <w:r w:rsidRPr="00436AF0">
              <w:rPr>
                <w:sz w:val="18"/>
                <w:szCs w:val="18"/>
              </w:rPr>
              <w:t>(</w:t>
            </w:r>
            <w:r w:rsidRPr="008C6D8F">
              <w:rPr>
                <w:sz w:val="18"/>
                <w:szCs w:val="18"/>
              </w:rPr>
              <w:t>32.6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Cycle</w:t>
            </w:r>
            <w:r w:rsidRPr="00436AF0">
              <w:rPr>
                <w:sz w:val="18"/>
                <w:szCs w:val="18"/>
                <w:vertAlign w:val="subscript"/>
              </w:rPr>
              <w:t>full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</w:t>
            </w:r>
            <w:r w:rsidRPr="00436AF0">
              <w:rPr>
                <w:sz w:val="18"/>
                <w:szCs w:val="18"/>
              </w:rPr>
              <w:t xml:space="preserve"> (15.</w:t>
            </w:r>
            <w:r>
              <w:rPr>
                <w:sz w:val="18"/>
                <w:szCs w:val="18"/>
              </w:rPr>
              <w:t>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  <w:r w:rsidRPr="00436AF0">
              <w:rPr>
                <w:sz w:val="18"/>
                <w:szCs w:val="18"/>
              </w:rPr>
              <w:t xml:space="preserve"> (2</w:t>
            </w:r>
            <w:r>
              <w:rPr>
                <w:sz w:val="18"/>
                <w:szCs w:val="18"/>
              </w:rPr>
              <w:t>.3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BF6B53">
              <w:rPr>
                <w:sz w:val="18"/>
                <w:szCs w:val="18"/>
              </w:rPr>
              <w:t xml:space="preserve">18.1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28.4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0.042</w:t>
            </w:r>
            <w:r w:rsidRPr="00436AF0">
              <w:rPr>
                <w:sz w:val="18"/>
                <w:szCs w:val="18"/>
              </w:rPr>
              <w:t xml:space="preserve"> (0.02</w:t>
            </w:r>
            <w:r>
              <w:rPr>
                <w:sz w:val="18"/>
                <w:szCs w:val="18"/>
              </w:rPr>
              <w:t>1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436AF0">
              <w:rPr>
                <w:sz w:val="18"/>
                <w:szCs w:val="18"/>
              </w:rPr>
              <w:t>.1(</w:t>
            </w:r>
            <w:r>
              <w:rPr>
                <w:sz w:val="18"/>
                <w:szCs w:val="18"/>
              </w:rPr>
              <w:t>14.8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0.04 </w:t>
            </w:r>
            <w:r w:rsidRPr="00436AF0">
              <w:rPr>
                <w:sz w:val="18"/>
                <w:szCs w:val="18"/>
              </w:rPr>
              <w:t>(1.</w:t>
            </w:r>
            <w:r>
              <w:rPr>
                <w:sz w:val="18"/>
                <w:szCs w:val="18"/>
              </w:rPr>
              <w:t>5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8.1 </w:t>
            </w:r>
            <w:r w:rsidRPr="00436AF0">
              <w:rPr>
                <w:sz w:val="18"/>
                <w:szCs w:val="18"/>
              </w:rPr>
              <w:t>(28</w:t>
            </w:r>
            <w:r>
              <w:rPr>
                <w:sz w:val="18"/>
                <w:szCs w:val="18"/>
              </w:rPr>
              <w:t>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49</w:t>
            </w:r>
            <w:r w:rsidRPr="00436AF0">
              <w:rPr>
                <w:sz w:val="18"/>
                <w:szCs w:val="18"/>
              </w:rPr>
              <w:t xml:space="preserve"> (0.0</w:t>
            </w:r>
            <w:r>
              <w:rPr>
                <w:sz w:val="18"/>
                <w:szCs w:val="18"/>
              </w:rPr>
              <w:t>3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22</w:t>
            </w:r>
            <w:r w:rsidRPr="00436AF0">
              <w:rPr>
                <w:sz w:val="18"/>
                <w:szCs w:val="18"/>
              </w:rPr>
              <w:t xml:space="preserve"> - 0.0</w:t>
            </w:r>
            <w:r>
              <w:rPr>
                <w:sz w:val="18"/>
                <w:szCs w:val="18"/>
              </w:rPr>
              <w:t>82</w:t>
            </w:r>
            <w:r w:rsidRPr="00436AF0">
              <w:rPr>
                <w:sz w:val="18"/>
                <w:szCs w:val="18"/>
              </w:rPr>
              <w:t xml:space="preserve"> (0.00</w:t>
            </w:r>
            <w:r>
              <w:rPr>
                <w:sz w:val="18"/>
                <w:szCs w:val="18"/>
              </w:rPr>
              <w:t>6 -</w:t>
            </w:r>
            <w:r w:rsidRPr="00436AF0">
              <w:rPr>
                <w:sz w:val="18"/>
                <w:szCs w:val="18"/>
              </w:rPr>
              <w:t xml:space="preserve"> 0.0</w:t>
            </w:r>
            <w:r>
              <w:rPr>
                <w:sz w:val="18"/>
                <w:szCs w:val="18"/>
              </w:rPr>
              <w:t>55</w:t>
            </w:r>
            <w:r w:rsidRPr="00436AF0">
              <w:rPr>
                <w:sz w:val="18"/>
                <w:szCs w:val="18"/>
              </w:rPr>
              <w:t>)</w:t>
            </w: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BMR : Cycle</w:t>
            </w:r>
            <w:r w:rsidRPr="00436AF0">
              <w:rPr>
                <w:sz w:val="18"/>
                <w:szCs w:val="18"/>
                <w:vertAlign w:val="subscript"/>
              </w:rPr>
              <w:t>transitory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BF6B53">
              <w:rPr>
                <w:sz w:val="18"/>
                <w:szCs w:val="18"/>
              </w:rPr>
              <w:t>-91.8</w:t>
            </w:r>
            <w:r>
              <w:rPr>
                <w:sz w:val="18"/>
                <w:szCs w:val="18"/>
              </w:rPr>
              <w:t xml:space="preserve"> (-105.0)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-161.0 (</w:t>
            </w:r>
            <w:r w:rsidRPr="005141B5">
              <w:rPr>
                <w:sz w:val="18"/>
                <w:szCs w:val="18"/>
              </w:rPr>
              <w:t>-187.6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BF6B53">
              <w:rPr>
                <w:sz w:val="18"/>
                <w:szCs w:val="18"/>
              </w:rPr>
              <w:t>-23.3</w:t>
            </w:r>
            <w:r>
              <w:rPr>
                <w:sz w:val="18"/>
                <w:szCs w:val="18"/>
              </w:rPr>
              <w:t xml:space="preserve"> (</w:t>
            </w:r>
            <w:r w:rsidRPr="005141B5">
              <w:rPr>
                <w:sz w:val="18"/>
                <w:szCs w:val="18"/>
              </w:rPr>
              <w:t>-23.4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BF6B53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10 (0.011)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-98.4 (</w:t>
            </w:r>
            <w:r w:rsidRPr="008C6D8F">
              <w:rPr>
                <w:sz w:val="18"/>
                <w:szCs w:val="18"/>
              </w:rPr>
              <w:t>-117.9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A86F2A">
              <w:rPr>
                <w:sz w:val="18"/>
                <w:szCs w:val="18"/>
              </w:rPr>
              <w:t>-176.6</w:t>
            </w:r>
            <w:r>
              <w:rPr>
                <w:sz w:val="18"/>
                <w:szCs w:val="18"/>
              </w:rPr>
              <w:t xml:space="preserve"> (-212.2)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-20.9 (</w:t>
            </w:r>
            <w:r w:rsidRPr="008C6D8F">
              <w:rPr>
                <w:sz w:val="18"/>
                <w:szCs w:val="18"/>
              </w:rPr>
              <w:t>-24.8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7A761C">
              <w:rPr>
                <w:sz w:val="18"/>
                <w:szCs w:val="18"/>
              </w:rPr>
              <w:t>0.015</w:t>
            </w:r>
            <w:r>
              <w:rPr>
                <w:sz w:val="18"/>
                <w:szCs w:val="18"/>
              </w:rPr>
              <w:t xml:space="preserve"> (0.015)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0.002 – 0.043 </w:t>
            </w:r>
            <w:r w:rsidRPr="00436AF0">
              <w:rPr>
                <w:sz w:val="18"/>
                <w:szCs w:val="18"/>
              </w:rPr>
              <w:t>(0.00</w:t>
            </w:r>
            <w:r>
              <w:rPr>
                <w:sz w:val="18"/>
                <w:szCs w:val="18"/>
              </w:rPr>
              <w:t>2</w:t>
            </w:r>
            <w:r w:rsidRPr="00436AF0">
              <w:rPr>
                <w:sz w:val="18"/>
                <w:szCs w:val="18"/>
              </w:rPr>
              <w:t xml:space="preserve"> - 0.0</w:t>
            </w:r>
            <w:r>
              <w:rPr>
                <w:sz w:val="18"/>
                <w:szCs w:val="18"/>
              </w:rPr>
              <w:t>39</w:t>
            </w:r>
            <w:r w:rsidRPr="00436AF0">
              <w:rPr>
                <w:sz w:val="18"/>
                <w:szCs w:val="18"/>
              </w:rPr>
              <w:t>)</w:t>
            </w: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BMR : Cycle</w:t>
            </w:r>
            <w:r w:rsidRPr="00436AF0">
              <w:rPr>
                <w:sz w:val="18"/>
                <w:szCs w:val="18"/>
                <w:vertAlign w:val="subscript"/>
              </w:rPr>
              <w:t>full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-63.3 (-50.8)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-127.8 (-129.5)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 (26.8)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0.054 (0.188)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-68.54 (-61.6)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-141.7 (-150.8)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(28.0)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 (0.165)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0.035 – 0.10 (0.108 – 0.216)</w:t>
            </w: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</w:p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random terms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posterior 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posterior 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lower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b/>
                <w:sz w:val="18"/>
                <w:szCs w:val="18"/>
              </w:rPr>
            </w:pPr>
            <w:r w:rsidRPr="00436AF0">
              <w:rPr>
                <w:b/>
                <w:sz w:val="18"/>
                <w:szCs w:val="18"/>
              </w:rPr>
              <w:t>upper CI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bird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1F13B7">
              <w:rPr>
                <w:sz w:val="18"/>
                <w:szCs w:val="18"/>
              </w:rPr>
              <w:t xml:space="preserve">544.2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761.4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1F13B7">
              <w:rPr>
                <w:sz w:val="18"/>
                <w:szCs w:val="18"/>
              </w:rPr>
              <w:t>249.8</w:t>
            </w:r>
            <w:r w:rsidRPr="00436AF0">
              <w:rPr>
                <w:sz w:val="18"/>
                <w:szCs w:val="18"/>
              </w:rPr>
              <w:t xml:space="preserve"> (</w:t>
            </w:r>
            <w:r w:rsidRPr="00E8396C">
              <w:rPr>
                <w:sz w:val="18"/>
                <w:szCs w:val="18"/>
              </w:rPr>
              <w:t>333.6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826.5 (11</w:t>
            </w:r>
            <w:r>
              <w:rPr>
                <w:sz w:val="18"/>
                <w:szCs w:val="18"/>
              </w:rPr>
              <w:t>94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DC3954">
              <w:rPr>
                <w:sz w:val="18"/>
                <w:szCs w:val="18"/>
              </w:rPr>
              <w:t xml:space="preserve">544.0 </w:t>
            </w:r>
            <w:r>
              <w:rPr>
                <w:sz w:val="18"/>
                <w:szCs w:val="18"/>
              </w:rPr>
              <w:t xml:space="preserve"> </w:t>
            </w:r>
            <w:r w:rsidRPr="00436AF0">
              <w:rPr>
                <w:sz w:val="18"/>
                <w:szCs w:val="18"/>
              </w:rPr>
              <w:t>(</w:t>
            </w:r>
            <w:r w:rsidRPr="007148A8">
              <w:rPr>
                <w:sz w:val="18"/>
                <w:szCs w:val="18"/>
              </w:rPr>
              <w:t>764.8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271.8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381.4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902.8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1257.2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lastRenderedPageBreak/>
              <w:t>life-cycle stage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79</w:t>
            </w:r>
            <w:r w:rsidRPr="00436AF0">
              <w:rPr>
                <w:sz w:val="18"/>
                <w:szCs w:val="18"/>
              </w:rPr>
              <w:t>.0 (</w:t>
            </w:r>
            <w:r w:rsidRPr="00E8396C">
              <w:rPr>
                <w:sz w:val="18"/>
                <w:szCs w:val="18"/>
              </w:rPr>
              <w:t>1069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251.6</w:t>
            </w:r>
            <w:r w:rsidRPr="00436AF0">
              <w:rPr>
                <w:sz w:val="18"/>
                <w:szCs w:val="18"/>
              </w:rPr>
              <w:t xml:space="preserve"> (</w:t>
            </w:r>
            <w:r w:rsidRPr="00E8396C">
              <w:rPr>
                <w:sz w:val="18"/>
                <w:szCs w:val="18"/>
              </w:rPr>
              <w:t>196.9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2292.0 (2</w:t>
            </w:r>
            <w:r>
              <w:rPr>
                <w:sz w:val="18"/>
                <w:szCs w:val="18"/>
              </w:rPr>
              <w:t>444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108</w:t>
            </w:r>
            <w:r>
              <w:rPr>
                <w:sz w:val="18"/>
                <w:szCs w:val="18"/>
              </w:rPr>
              <w:t xml:space="preserve">4.0 </w:t>
            </w:r>
            <w:r w:rsidRPr="00436AF0">
              <w:rPr>
                <w:sz w:val="18"/>
                <w:szCs w:val="18"/>
              </w:rPr>
              <w:t>(10</w:t>
            </w:r>
            <w:r>
              <w:rPr>
                <w:sz w:val="18"/>
                <w:szCs w:val="18"/>
              </w:rPr>
              <w:t>94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368.5 </w:t>
            </w:r>
            <w:r w:rsidRPr="00436AF0">
              <w:rPr>
                <w:sz w:val="18"/>
                <w:szCs w:val="18"/>
              </w:rPr>
              <w:t>(32</w:t>
            </w:r>
            <w:r>
              <w:rPr>
                <w:sz w:val="18"/>
                <w:szCs w:val="18"/>
              </w:rPr>
              <w:t>7.9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7072AF">
              <w:rPr>
                <w:sz w:val="18"/>
                <w:szCs w:val="18"/>
              </w:rPr>
              <w:t xml:space="preserve">2827.2 </w:t>
            </w:r>
            <w:r w:rsidRPr="00436AF0">
              <w:rPr>
                <w:sz w:val="18"/>
                <w:szCs w:val="18"/>
              </w:rPr>
              <w:t>(</w:t>
            </w:r>
            <w:r w:rsidRPr="00FD6927">
              <w:rPr>
                <w:sz w:val="18"/>
                <w:szCs w:val="18"/>
              </w:rPr>
              <w:t>3083.0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study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1317</w:t>
            </w:r>
            <w:r w:rsidRPr="00436AF0">
              <w:rPr>
                <w:sz w:val="18"/>
                <w:szCs w:val="18"/>
              </w:rPr>
              <w:t>.0 (</w:t>
            </w:r>
            <w:r>
              <w:rPr>
                <w:sz w:val="18"/>
                <w:szCs w:val="18"/>
              </w:rPr>
              <w:t>2077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1F13B7">
              <w:rPr>
                <w:sz w:val="18"/>
                <w:szCs w:val="18"/>
              </w:rPr>
              <w:t>185.4</w:t>
            </w:r>
            <w:r w:rsidRPr="00436AF0">
              <w:rPr>
                <w:sz w:val="18"/>
                <w:szCs w:val="18"/>
              </w:rPr>
              <w:t xml:space="preserve"> (</w:t>
            </w:r>
            <w:r w:rsidRPr="00E8396C">
              <w:rPr>
                <w:sz w:val="18"/>
                <w:szCs w:val="18"/>
              </w:rPr>
              <w:t>213.4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3023</w:t>
            </w:r>
            <w:r w:rsidRPr="00436AF0">
              <w:rPr>
                <w:sz w:val="18"/>
                <w:szCs w:val="18"/>
              </w:rPr>
              <w:t>.0 (</w:t>
            </w:r>
            <w:r w:rsidRPr="00E8396C">
              <w:rPr>
                <w:sz w:val="18"/>
                <w:szCs w:val="18"/>
              </w:rPr>
              <w:t>5054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1239.0 </w:t>
            </w:r>
            <w:r w:rsidRPr="00436AF0">
              <w:rPr>
                <w:sz w:val="18"/>
                <w:szCs w:val="18"/>
              </w:rPr>
              <w:t>(</w:t>
            </w:r>
            <w:r w:rsidRPr="007148A8">
              <w:rPr>
                <w:sz w:val="18"/>
                <w:szCs w:val="18"/>
              </w:rPr>
              <w:t>1723.0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295.9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338.4</w:t>
            </w:r>
            <w:r w:rsidRPr="00436AF0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7072AF">
              <w:rPr>
                <w:sz w:val="18"/>
                <w:szCs w:val="18"/>
              </w:rPr>
              <w:t xml:space="preserve">3550.8 </w:t>
            </w:r>
            <w:r w:rsidRPr="00436AF0">
              <w:rPr>
                <w:sz w:val="18"/>
                <w:szCs w:val="18"/>
              </w:rPr>
              <w:t>(</w:t>
            </w:r>
            <w:r w:rsidRPr="00FD6927">
              <w:rPr>
                <w:sz w:val="18"/>
                <w:szCs w:val="18"/>
              </w:rPr>
              <w:t>5388.0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1F13B7">
              <w:rPr>
                <w:sz w:val="18"/>
                <w:szCs w:val="18"/>
              </w:rPr>
              <w:t>675.3</w:t>
            </w:r>
            <w:r>
              <w:rPr>
                <w:sz w:val="18"/>
                <w:szCs w:val="18"/>
              </w:rPr>
              <w:t xml:space="preserve"> (</w:t>
            </w:r>
            <w:r w:rsidRPr="00E8396C">
              <w:rPr>
                <w:sz w:val="18"/>
                <w:szCs w:val="18"/>
              </w:rPr>
              <w:t>887.4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115.3 (120.7)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5141B5">
              <w:rPr>
                <w:sz w:val="18"/>
                <w:szCs w:val="18"/>
              </w:rPr>
              <w:t>1571</w:t>
            </w:r>
            <w:r>
              <w:rPr>
                <w:sz w:val="18"/>
                <w:szCs w:val="18"/>
              </w:rPr>
              <w:t xml:space="preserve"> (</w:t>
            </w:r>
            <w:r w:rsidRPr="00E8396C">
              <w:rPr>
                <w:sz w:val="18"/>
                <w:szCs w:val="18"/>
              </w:rPr>
              <w:t>2263</w:t>
            </w:r>
            <w:r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702.9 (</w:t>
            </w:r>
            <w:r w:rsidRPr="007148A8">
              <w:rPr>
                <w:sz w:val="18"/>
                <w:szCs w:val="18"/>
              </w:rPr>
              <w:t>920.8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187.5 (208.6)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2062.8 (</w:t>
            </w:r>
            <w:r w:rsidRPr="00FD6927">
              <w:rPr>
                <w:sz w:val="18"/>
                <w:szCs w:val="18"/>
              </w:rPr>
              <w:t>298</w:t>
            </w:r>
            <w:r>
              <w:rPr>
                <w:sz w:val="18"/>
                <w:szCs w:val="18"/>
              </w:rPr>
              <w:t>8.9)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phylogenetic variance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1154.0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1258.0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230.7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241.7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3969.0 </w:t>
            </w:r>
            <w:r w:rsidRPr="00436AF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4377.2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residual variance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04</w:t>
            </w:r>
            <w:r w:rsidRPr="00436AF0">
              <w:rPr>
                <w:sz w:val="18"/>
                <w:szCs w:val="18"/>
              </w:rPr>
              <w:t>.0 (13</w:t>
            </w:r>
            <w:r>
              <w:rPr>
                <w:sz w:val="18"/>
                <w:szCs w:val="18"/>
              </w:rPr>
              <w:t>39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79</w:t>
            </w:r>
            <w:r w:rsidRPr="00436AF0">
              <w:rPr>
                <w:sz w:val="18"/>
                <w:szCs w:val="18"/>
              </w:rPr>
              <w:t>.0 (102</w:t>
            </w:r>
            <w:r>
              <w:rPr>
                <w:sz w:val="18"/>
                <w:szCs w:val="18"/>
              </w:rPr>
              <w:t>7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5141B5">
              <w:rPr>
                <w:sz w:val="18"/>
                <w:szCs w:val="18"/>
              </w:rPr>
              <w:t>1543</w:t>
            </w:r>
            <w:r w:rsidRPr="00436AF0">
              <w:rPr>
                <w:sz w:val="18"/>
                <w:szCs w:val="18"/>
              </w:rPr>
              <w:t>.0 (16</w:t>
            </w:r>
            <w:r>
              <w:rPr>
                <w:sz w:val="18"/>
                <w:szCs w:val="18"/>
              </w:rPr>
              <w:t>83</w:t>
            </w:r>
            <w:r w:rsidRPr="00436AF0">
              <w:rPr>
                <w:sz w:val="18"/>
                <w:szCs w:val="18"/>
              </w:rPr>
              <w:t>.0)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436AF0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 xml:space="preserve">04.0 </w:t>
            </w:r>
            <w:r w:rsidRPr="00436AF0">
              <w:rPr>
                <w:sz w:val="18"/>
                <w:szCs w:val="18"/>
              </w:rPr>
              <w:t>(</w:t>
            </w:r>
            <w:r w:rsidRPr="007148A8">
              <w:rPr>
                <w:sz w:val="18"/>
                <w:szCs w:val="18"/>
              </w:rPr>
              <w:t>1337.0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1086.5 </w:t>
            </w:r>
            <w:r w:rsidRPr="00436AF0">
              <w:rPr>
                <w:sz w:val="18"/>
                <w:szCs w:val="18"/>
              </w:rPr>
              <w:t>(1044.</w:t>
            </w:r>
            <w:r>
              <w:rPr>
                <w:sz w:val="18"/>
                <w:szCs w:val="18"/>
              </w:rPr>
              <w:t>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  <w:r w:rsidRPr="007148A8">
              <w:rPr>
                <w:sz w:val="18"/>
                <w:szCs w:val="18"/>
              </w:rPr>
              <w:t xml:space="preserve">1561.6 </w:t>
            </w:r>
            <w:r w:rsidRPr="00436AF0">
              <w:rPr>
                <w:sz w:val="18"/>
                <w:szCs w:val="18"/>
              </w:rPr>
              <w:t>(</w:t>
            </w:r>
            <w:r w:rsidRPr="00FD6927">
              <w:rPr>
                <w:sz w:val="18"/>
                <w:szCs w:val="18"/>
              </w:rPr>
              <w:t>1705.2</w:t>
            </w:r>
            <w:r w:rsidRPr="00436AF0"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  <w:tr w:rsidR="00E749E9" w:rsidRPr="00436AF0" w:rsidTr="00B76527">
        <w:trPr>
          <w:trHeight w:val="31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49E9" w:rsidRPr="00436AF0" w:rsidRDefault="00E749E9" w:rsidP="00E749E9">
            <w:pPr>
              <w:rPr>
                <w:sz w:val="18"/>
                <w:szCs w:val="18"/>
              </w:rPr>
            </w:pPr>
          </w:p>
        </w:tc>
      </w:tr>
    </w:tbl>
    <w:p w:rsidR="00B76527" w:rsidRPr="008804E9" w:rsidRDefault="00B76527" w:rsidP="008804E9"/>
    <w:sectPr w:rsidR="00B76527" w:rsidRPr="008804E9" w:rsidSect="002275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499" w:rsidRDefault="00473499" w:rsidP="00C74C12">
      <w:pPr>
        <w:spacing w:after="0" w:line="240" w:lineRule="auto"/>
      </w:pPr>
      <w:r>
        <w:separator/>
      </w:r>
    </w:p>
  </w:endnote>
  <w:endnote w:type="continuationSeparator" w:id="0">
    <w:p w:rsidR="00473499" w:rsidRDefault="00473499" w:rsidP="00C74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499" w:rsidRDefault="00473499" w:rsidP="00C74C12">
      <w:pPr>
        <w:spacing w:after="0" w:line="240" w:lineRule="auto"/>
      </w:pPr>
      <w:r>
        <w:separator/>
      </w:r>
    </w:p>
  </w:footnote>
  <w:footnote w:type="continuationSeparator" w:id="0">
    <w:p w:rsidR="00473499" w:rsidRDefault="00473499" w:rsidP="00C74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06"/>
    <w:rsid w:val="00020738"/>
    <w:rsid w:val="000F7619"/>
    <w:rsid w:val="001B5319"/>
    <w:rsid w:val="001C2349"/>
    <w:rsid w:val="001C593B"/>
    <w:rsid w:val="001C7F94"/>
    <w:rsid w:val="001F13B7"/>
    <w:rsid w:val="00227506"/>
    <w:rsid w:val="00254146"/>
    <w:rsid w:val="0036550C"/>
    <w:rsid w:val="003A456F"/>
    <w:rsid w:val="003B6C32"/>
    <w:rsid w:val="00473499"/>
    <w:rsid w:val="00507E12"/>
    <w:rsid w:val="005141B5"/>
    <w:rsid w:val="0053483F"/>
    <w:rsid w:val="00560626"/>
    <w:rsid w:val="006B40B8"/>
    <w:rsid w:val="007072AF"/>
    <w:rsid w:val="007148A8"/>
    <w:rsid w:val="007424D9"/>
    <w:rsid w:val="00745E1E"/>
    <w:rsid w:val="007A761C"/>
    <w:rsid w:val="007F1EA7"/>
    <w:rsid w:val="00805FD9"/>
    <w:rsid w:val="00806598"/>
    <w:rsid w:val="008804E9"/>
    <w:rsid w:val="00896BA5"/>
    <w:rsid w:val="008C6D8F"/>
    <w:rsid w:val="008D4140"/>
    <w:rsid w:val="008F5503"/>
    <w:rsid w:val="00A33C04"/>
    <w:rsid w:val="00A57419"/>
    <w:rsid w:val="00A81AC7"/>
    <w:rsid w:val="00A86F2A"/>
    <w:rsid w:val="00AA5C60"/>
    <w:rsid w:val="00AF14E3"/>
    <w:rsid w:val="00B76527"/>
    <w:rsid w:val="00BF6B53"/>
    <w:rsid w:val="00C74C12"/>
    <w:rsid w:val="00C75292"/>
    <w:rsid w:val="00C80800"/>
    <w:rsid w:val="00CF16FD"/>
    <w:rsid w:val="00D556F8"/>
    <w:rsid w:val="00DA0309"/>
    <w:rsid w:val="00DC3954"/>
    <w:rsid w:val="00E432BF"/>
    <w:rsid w:val="00E749E9"/>
    <w:rsid w:val="00E8396C"/>
    <w:rsid w:val="00EC646D"/>
    <w:rsid w:val="00EF5F03"/>
    <w:rsid w:val="00F641A2"/>
    <w:rsid w:val="00FB5624"/>
    <w:rsid w:val="00FC1CD9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F8E7-20BD-4062-AF9E-59EA4292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12"/>
  </w:style>
  <w:style w:type="paragraph" w:styleId="Footer">
    <w:name w:val="footer"/>
    <w:basedOn w:val="Normal"/>
    <w:link w:val="FooterChar"/>
    <w:uiPriority w:val="99"/>
    <w:unhideWhenUsed/>
    <w:rsid w:val="00C74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8</cp:revision>
  <dcterms:created xsi:type="dcterms:W3CDTF">2017-08-21T13:59:00Z</dcterms:created>
  <dcterms:modified xsi:type="dcterms:W3CDTF">2017-08-28T11:11:00Z</dcterms:modified>
</cp:coreProperties>
</file>