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A6352C"/>
        </w:rPr>
        <w:t>NO MORE WASTED SPACE</w:t>
      </w:r>
    </w:p>
    <w:p>
      <w:r>
        <w:rPr>
          <w:color w:val="5A6068"/>
          <w:sz w:val="26"/>
        </w:rPr>
        <w:t>The Case for a Sacramento Vacancy Tax</w:t>
      </w:r>
    </w:p>
    <w:p>
      <w:r>
        <w:rPr>
          <w:b/>
        </w:rPr>
        <w:t>Citywide Briefing, with District 3 Context for Councilmember Karina Talamantes</w:t>
      </w:r>
      <w:r>
        <w:rPr>
          <w:color w:val="5A6068"/>
        </w:rPr>
        <w:t xml:space="preserve">  |  VacancyFee.org</w:t>
      </w:r>
    </w:p>
    <w:p/>
    <w:p>
      <w:r>
        <w:rPr>
          <w:b/>
          <w:color w:val="A6352C"/>
          <w:sz w:val="18"/>
        </w:rPr>
        <w:t>THE PROBLEM</w:t>
      </w:r>
    </w:p>
    <w:p>
      <w:pPr>
        <w:pStyle w:val="Heading2"/>
      </w:pPr>
      <w:r>
        <w:rPr>
          <w:color w:val="1A1A1A"/>
          <w:sz w:val="28"/>
        </w:rPr>
        <w:t>Vacancy Is a Choice, Not a Circumstance</w:t>
      </w:r>
    </w:p>
    <w:p>
      <w:r>
        <w:t>For a lot of property owners, an empty building or lot in Sacramento isn't a failure to find a tenant. It's a business model. When land appreciates faster than the cost of taxes and interest, sitting on it empty can earn more than renting it out ever would. A registration or monitoring fee won't change that math: it can catch neglect, but it does nothing to the underlying incentive that rewards speculative land-banking. A vacancy tax fixes that by putting a real cost on doing nothing, while a 90-day grace period and exemptions for active construction or bona fide use mean it never touches an owner who is actually trying to lease.</w:t>
      </w:r>
    </w:p>
    <w:p>
      <w:r>
        <w:rPr>
          <w:b/>
          <w:color w:val="A6352C"/>
          <w:sz w:val="18"/>
        </w:rPr>
        <w:t>THE NUMBERS, CITYWIDE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BF7F0"/>
          </w:tcPr>
          <w:p>
            <w:pPr>
              <w:jc w:val="center"/>
            </w:pPr>
            <w:r>
              <w:rPr>
                <w:b/>
                <w:color w:val="A6352C"/>
                <w:sz w:val="32"/>
              </w:rPr>
              <w:t>5,862</w:t>
            </w:r>
          </w:p>
          <w:p>
            <w:pPr>
              <w:jc w:val="center"/>
            </w:pPr>
            <w:r>
              <w:rPr>
                <w:color w:val="5A6068"/>
                <w:sz w:val="17"/>
              </w:rPr>
              <w:t>Vacant/underused properties citywide</w:t>
            </w:r>
          </w:p>
        </w:tc>
        <w:tc>
          <w:tcPr>
            <w:tcW w:type="dxa" w:w="3408"/>
            <w:shd w:fill="FBF7F0"/>
          </w:tcPr>
          <w:p>
            <w:pPr>
              <w:jc w:val="center"/>
            </w:pPr>
            <w:r>
              <w:rPr>
                <w:b/>
                <w:color w:val="A6352C"/>
                <w:sz w:val="32"/>
              </w:rPr>
              <w:t>$39.2M/yr</w:t>
            </w:r>
          </w:p>
          <w:p>
            <w:pPr>
              <w:jc w:val="center"/>
            </w:pPr>
            <w:r>
              <w:rPr>
                <w:color w:val="5A6068"/>
                <w:sz w:val="17"/>
              </w:rPr>
              <w:t>Property tax uplift potential</w:t>
            </w:r>
          </w:p>
        </w:tc>
        <w:tc>
          <w:tcPr>
            <w:tcW w:type="dxa" w:w="3408"/>
            <w:shd w:fill="FBF7F0"/>
          </w:tcPr>
          <w:p>
            <w:pPr>
              <w:jc w:val="center"/>
            </w:pPr>
            <w:r>
              <w:rPr>
                <w:b/>
                <w:color w:val="A6352C"/>
                <w:sz w:val="32"/>
              </w:rPr>
              <w:t>$71.0M/yr</w:t>
            </w:r>
          </w:p>
          <w:p>
            <w:pPr>
              <w:jc w:val="center"/>
            </w:pPr>
            <w:r>
              <w:rPr>
                <w:color w:val="5A6068"/>
                <w:sz w:val="17"/>
              </w:rPr>
              <w:t>Lost sales tax revenue</w:t>
            </w:r>
          </w:p>
        </w:tc>
      </w:tr>
    </w:tbl>
    <w:p/>
    <w:p>
      <w:r>
        <w:t xml:space="preserve">71% of these properties are vacant land zoned residential: unimproved lots or structures the assessor rates as having no meaningful improvement value. </w:t>
      </w:r>
      <w:r>
        <w:rPr>
          <w:b/>
        </w:rPr>
        <w:t>Not occupied homes.</w:t>
      </w:r>
      <w:r>
        <w:t xml:space="preserve"> About a fifth are vacant commercial land, sitting on corridors that could otherwise host local business.</w:t>
      </w:r>
    </w:p>
    <w:p>
      <w:r>
        <w:t>District 3 alone accounts for $3.8M/yr in lost sales tax and $1.7M/yr in property tax uplift, across 478 identified vacant or underused properties.</w:t>
      </w:r>
    </w:p>
    <w:p>
      <w:r>
        <w:rPr>
          <w:b/>
          <w:color w:val="A6352C"/>
          <w:sz w:val="18"/>
        </w:rPr>
        <w:t>THE PATTERN</w:t>
      </w:r>
    </w:p>
    <w:p>
      <w:pPr>
        <w:pStyle w:val="Heading2"/>
      </w:pPr>
      <w:r>
        <w:rPr>
          <w:color w:val="1A1A1A"/>
          <w:sz w:val="28"/>
        </w:rPr>
        <w:t>These Properties Have Been Sitting for Years</w:t>
      </w:r>
    </w:p>
    <w:p>
      <w:r>
        <w:t>Of the 5,862 vacant properties identified citywide, about half have a recorded sale date. Among those, the typical property hasn't sold in 8 years, and 40% haven't changed hands in over a decade. This is scoped entirely to properties already flagged as vacant, not a claim about the city's housing stock broadly.</w:t>
      </w:r>
    </w:p>
    <w:p>
      <w:r>
        <w:rPr>
          <w:b/>
          <w:color w:val="A6352C"/>
          <w:sz w:val="18"/>
        </w:rPr>
        <w:t>DISTRICT 3 SNAPSHOT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Vacant/underused properties</w:t>
            </w:r>
          </w:p>
        </w:tc>
        <w:tc>
          <w:tcPr>
            <w:tcW w:type="dxa" w:w="5112"/>
          </w:tcPr>
          <w:p>
            <w:r>
              <w:t>478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Property tax uplift potential</w:t>
            </w:r>
          </w:p>
        </w:tc>
        <w:tc>
          <w:tcPr>
            <w:tcW w:type="dxa" w:w="5112"/>
          </w:tcPr>
          <w:p>
            <w:r>
              <w:t>$1.7M/yr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Lost sales tax revenue</w:t>
            </w:r>
          </w:p>
        </w:tc>
        <w:tc>
          <w:tcPr>
            <w:tcW w:type="dxa" w:w="5112"/>
          </w:tcPr>
          <w:p>
            <w:r>
              <w:t>$3.8M/yr</w:t>
            </w:r>
          </w:p>
        </w:tc>
      </w:tr>
    </w:tbl>
    <w:p/>
    <w:p>
      <w:r>
        <w:rPr>
          <w:b/>
          <w:color w:val="A6352C"/>
          <w:sz w:val="18"/>
        </w:rPr>
        <w:t>VACANT COMMERCIAL LAND IN DISTRICT 3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6352C"/>
          </w:tcPr>
          <w:p>
            <w:r>
              <w:rPr>
                <w:b/>
                <w:color w:val="FFFFFF"/>
              </w:rPr>
              <w:t>Address</w:t>
            </w:r>
          </w:p>
        </w:tc>
        <w:tc>
          <w:tcPr>
            <w:tcW w:type="dxa" w:w="3408"/>
            <w:shd w:fill="A6352C"/>
          </w:tcPr>
          <w:p>
            <w:r>
              <w:rPr>
                <w:b/>
                <w:color w:val="FFFFFF"/>
              </w:rPr>
              <w:t>Est. value</w:t>
            </w:r>
          </w:p>
        </w:tc>
        <w:tc>
          <w:tcPr>
            <w:tcW w:type="dxa" w:w="3408"/>
            <w:shd w:fill="A6352C"/>
          </w:tcPr>
          <w:p>
            <w:r>
              <w:rPr>
                <w:b/>
                <w:color w:val="FFFFFF"/>
              </w:rPr>
              <w:t>Tax uplift</w:t>
            </w:r>
          </w:p>
        </w:tc>
      </w:tr>
      <w:tr>
        <w:tc>
          <w:tcPr>
            <w:tcW w:type="dxa" w:w="3408"/>
          </w:tcPr>
          <w:p>
            <w:r>
              <w:t>616 Northfield Dr</w:t>
            </w:r>
          </w:p>
        </w:tc>
        <w:tc>
          <w:tcPr>
            <w:tcW w:type="dxa" w:w="3408"/>
          </w:tcPr>
          <w:p>
            <w:r>
              <w:t>$2.5M</w:t>
            </w:r>
          </w:p>
        </w:tc>
        <w:tc>
          <w:tcPr>
            <w:tcW w:type="dxa" w:w="3408"/>
          </w:tcPr>
          <w:p>
            <w:r>
              <w:t>$27K/yr</w:t>
            </w:r>
          </w:p>
        </w:tc>
      </w:tr>
      <w:tr>
        <w:tc>
          <w:tcPr>
            <w:tcW w:type="dxa" w:w="3408"/>
          </w:tcPr>
          <w:p>
            <w:r>
              <w:t>540 Cleveland Ave</w:t>
            </w:r>
          </w:p>
        </w:tc>
        <w:tc>
          <w:tcPr>
            <w:tcW w:type="dxa" w:w="3408"/>
          </w:tcPr>
          <w:p>
            <w:r>
              <w:t>$2.4M</w:t>
            </w:r>
          </w:p>
        </w:tc>
        <w:tc>
          <w:tcPr>
            <w:tcW w:type="dxa" w:w="3408"/>
          </w:tcPr>
          <w:p>
            <w:r>
              <w:t>$27K/yr</w:t>
            </w:r>
          </w:p>
        </w:tc>
      </w:tr>
      <w:tr>
        <w:tc>
          <w:tcPr>
            <w:tcW w:type="dxa" w:w="3408"/>
          </w:tcPr>
          <w:p>
            <w:r>
              <w:t>2550 Arena Blvd</w:t>
            </w:r>
          </w:p>
        </w:tc>
        <w:tc>
          <w:tcPr>
            <w:tcW w:type="dxa" w:w="3408"/>
          </w:tcPr>
          <w:p>
            <w:r>
              <w:t>$2.3M</w:t>
            </w:r>
          </w:p>
        </w:tc>
        <w:tc>
          <w:tcPr>
            <w:tcW w:type="dxa" w:w="3408"/>
          </w:tcPr>
          <w:p>
            <w:r>
              <w:t>$23K/yr</w:t>
            </w:r>
          </w:p>
        </w:tc>
      </w:tr>
      <w:tr>
        <w:tc>
          <w:tcPr>
            <w:tcW w:type="dxa" w:w="3408"/>
          </w:tcPr>
          <w:p>
            <w:r>
              <w:t>647 Northfield Dr</w:t>
            </w:r>
          </w:p>
        </w:tc>
        <w:tc>
          <w:tcPr>
            <w:tcW w:type="dxa" w:w="3408"/>
          </w:tcPr>
          <w:p>
            <w:r>
              <w:t>$2.1M</w:t>
            </w:r>
          </w:p>
        </w:tc>
        <w:tc>
          <w:tcPr>
            <w:tcW w:type="dxa" w:w="3408"/>
          </w:tcPr>
          <w:p>
            <w:r>
              <w:t>$22K/yr</w:t>
            </w:r>
          </w:p>
        </w:tc>
      </w:tr>
    </w:tbl>
    <w:p/>
    <w:p>
      <w:r>
        <w:rPr>
          <w:b/>
          <w:color w:val="A6352C"/>
          <w:sz w:val="18"/>
        </w:rPr>
        <w:t>PRECEDENT</w:t>
      </w:r>
    </w:p>
    <w:p>
      <w:pPr>
        <w:pStyle w:val="Heading2"/>
      </w:pPr>
      <w:r>
        <w:rPr>
          <w:color w:val="1A1A1A"/>
          <w:sz w:val="24"/>
        </w:rPr>
        <w:t>Other California Cities Are Already Acting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A6352C"/>
          </w:tcPr>
          <w:p>
            <w:r>
              <w:rPr>
                <w:b/>
                <w:color w:val="FFFFFF"/>
              </w:rPr>
              <w:t>City</w:t>
            </w:r>
          </w:p>
        </w:tc>
        <w:tc>
          <w:tcPr>
            <w:tcW w:type="dxa" w:w="5112"/>
            <w:shd w:fill="A6352C"/>
          </w:tcPr>
          <w:p>
            <w:r>
              <w:rPr>
                <w:b/>
                <w:color w:val="FFFFFF"/>
              </w:rPr>
              <w:t>Fee / Tax</w:t>
            </w:r>
          </w:p>
        </w:tc>
      </w:tr>
      <w:tr>
        <w:tc>
          <w:tcPr>
            <w:tcW w:type="dxa" w:w="5112"/>
          </w:tcPr>
          <w:p>
            <w:r>
              <w:t>Oakland</w:t>
            </w:r>
          </w:p>
        </w:tc>
        <w:tc>
          <w:tcPr>
            <w:tcW w:type="dxa" w:w="5112"/>
          </w:tcPr>
          <w:p>
            <w:r>
              <w:t>$3K–$6K/parcel</w:t>
            </w:r>
          </w:p>
        </w:tc>
      </w:tr>
      <w:tr>
        <w:tc>
          <w:tcPr>
            <w:tcW w:type="dxa" w:w="5112"/>
          </w:tcPr>
          <w:p>
            <w:r>
              <w:t>Berkeley</w:t>
            </w:r>
          </w:p>
        </w:tc>
        <w:tc>
          <w:tcPr>
            <w:tcW w:type="dxa" w:w="5112"/>
          </w:tcPr>
          <w:p>
            <w:r>
              <w:t>$3K–$6K/parcel</w:t>
            </w:r>
          </w:p>
        </w:tc>
      </w:tr>
      <w:tr>
        <w:tc>
          <w:tcPr>
            <w:tcW w:type="dxa" w:w="5112"/>
          </w:tcPr>
          <w:p>
            <w:r>
              <w:t>Stockton</w:t>
            </w:r>
          </w:p>
        </w:tc>
        <w:tc>
          <w:tcPr>
            <w:tcW w:type="dxa" w:w="5112"/>
          </w:tcPr>
          <w:p>
            <w:r>
              <w:t>$826/yr commercial</w:t>
            </w:r>
          </w:p>
        </w:tc>
      </w:tr>
      <w:tr>
        <w:tc>
          <w:tcPr>
            <w:tcW w:type="dxa" w:w="5112"/>
          </w:tcPr>
          <w:p>
            <w:r>
              <w:t>San Francisco (Commercial)</w:t>
            </w:r>
          </w:p>
        </w:tc>
        <w:tc>
          <w:tcPr>
            <w:tcW w:type="dxa" w:w="5112"/>
          </w:tcPr>
          <w:p>
            <w:r>
              <w:t>$250–$1K/linear ft.</w:t>
            </w:r>
          </w:p>
        </w:tc>
      </w:tr>
    </w:tbl>
    <w:p/>
    <w:p>
      <w:r>
        <w:rPr>
          <w:b/>
          <w:color w:val="A6352C"/>
          <w:sz w:val="24"/>
        </w:rPr>
        <w:t>GET INVOLVED. Sign up, submit comments, or volunteer at VacancyFee.org</w:t>
      </w:r>
    </w:p>
    <w:p>
      <w:r>
        <w:rPr>
          <w:color w:val="5A6068"/>
          <w:sz w:val="16"/>
        </w:rPr>
        <w:t>Vacancy Fee Project. 501(c)(4). Sacramento, CA. VacancyFee.org. Based on Sacramento County assessor records and parcel-level market value modeling.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