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52A4" w14:textId="77777777" w:rsidR="00872680" w:rsidRDefault="000D0F9F" w:rsidP="00A7038E">
      <w:pPr>
        <w:rPr>
          <w:rFonts w:asciiTheme="majorHAnsi" w:hAnsiTheme="majorHAnsi"/>
          <w:b/>
          <w:sz w:val="44"/>
          <w:szCs w:val="28"/>
        </w:rPr>
      </w:pPr>
      <w:r w:rsidRPr="000D0F9F">
        <w:rPr>
          <w:rFonts w:asciiTheme="majorHAnsi" w:hAnsiTheme="majorHAnsi"/>
          <w:b/>
          <w:sz w:val="44"/>
          <w:szCs w:val="28"/>
        </w:rPr>
        <w:t>Research Server User Guide</w:t>
      </w:r>
    </w:p>
    <w:p w14:paraId="06A615A1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Introduction</w:t>
      </w:r>
    </w:p>
    <w:p w14:paraId="2C986FDF" w14:textId="77777777" w:rsidR="000D0F9F" w:rsidRDefault="000D0F9F" w:rsidP="00C6423F">
      <w:pPr>
        <w:spacing w:after="0"/>
        <w:rPr>
          <w:szCs w:val="24"/>
        </w:rPr>
      </w:pPr>
      <w:r>
        <w:rPr>
          <w:szCs w:val="24"/>
        </w:rPr>
        <w:t xml:space="preserve">The research servers are powerful computing tools which </w:t>
      </w:r>
      <w:r w:rsidR="006074A0">
        <w:rPr>
          <w:szCs w:val="24"/>
        </w:rPr>
        <w:t xml:space="preserve">provide </w:t>
      </w:r>
      <w:r>
        <w:rPr>
          <w:szCs w:val="24"/>
        </w:rPr>
        <w:t>Brookings staff and affiliates with dedicated hardware for processor and memory intensive data analysis.</w:t>
      </w:r>
      <w:r w:rsidR="00923B83">
        <w:rPr>
          <w:szCs w:val="24"/>
        </w:rPr>
        <w:t xml:space="preserve"> </w:t>
      </w:r>
    </w:p>
    <w:p w14:paraId="6F088232" w14:textId="77777777" w:rsidR="00923B83" w:rsidRDefault="00923B83" w:rsidP="00C6423F">
      <w:pPr>
        <w:spacing w:after="0"/>
        <w:rPr>
          <w:szCs w:val="24"/>
        </w:rPr>
      </w:pPr>
    </w:p>
    <w:p w14:paraId="34779D3E" w14:textId="77777777" w:rsidR="00923B83" w:rsidRPr="00923B83" w:rsidRDefault="00923B83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923B83">
        <w:rPr>
          <w:rFonts w:ascii="Georgia" w:hAnsi="Georgia"/>
          <w:color w:val="4F81BD" w:themeColor="accent1"/>
          <w:sz w:val="28"/>
          <w:szCs w:val="28"/>
        </w:rPr>
        <w:t xml:space="preserve">What is a Research Server?  </w:t>
      </w:r>
    </w:p>
    <w:p w14:paraId="6BD82EB5" w14:textId="0E96A56C" w:rsidR="00923B83" w:rsidRDefault="00923B83" w:rsidP="00C6423F">
      <w:pPr>
        <w:spacing w:after="0"/>
        <w:rPr>
          <w:szCs w:val="24"/>
        </w:rPr>
      </w:pPr>
      <w:r>
        <w:rPr>
          <w:szCs w:val="24"/>
        </w:rPr>
        <w:t xml:space="preserve">A research server is a </w:t>
      </w:r>
      <w:r w:rsidR="008D6F27">
        <w:rPr>
          <w:szCs w:val="24"/>
        </w:rPr>
        <w:t>powerful computer that</w:t>
      </w:r>
      <w:r>
        <w:rPr>
          <w:szCs w:val="24"/>
        </w:rPr>
        <w:t xml:space="preserve"> you can remotely log into in order to perform your work.  The server opens up in its own window on your desktop and looks like a regular </w:t>
      </w:r>
      <w:r w:rsidR="009E473B">
        <w:rPr>
          <w:szCs w:val="24"/>
        </w:rPr>
        <w:t>W</w:t>
      </w:r>
      <w:r>
        <w:rPr>
          <w:szCs w:val="24"/>
        </w:rPr>
        <w:t xml:space="preserve">indows machine. However, </w:t>
      </w:r>
      <w:r w:rsidR="009E473B">
        <w:rPr>
          <w:szCs w:val="24"/>
        </w:rPr>
        <w:t>any computations you perform are run on the research server, rather than being run locally on your machine.</w:t>
      </w:r>
    </w:p>
    <w:p w14:paraId="5F84D821" w14:textId="77777777" w:rsidR="00C6423F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066445EE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Hardware</w:t>
      </w:r>
    </w:p>
    <w:p w14:paraId="4FDB6A11" w14:textId="08F60CAB" w:rsidR="000D0F9F" w:rsidRDefault="000D0F9F" w:rsidP="00C6423F">
      <w:pPr>
        <w:spacing w:after="0"/>
        <w:rPr>
          <w:szCs w:val="24"/>
        </w:rPr>
      </w:pPr>
      <w:r>
        <w:rPr>
          <w:szCs w:val="24"/>
        </w:rPr>
        <w:t xml:space="preserve">ITS supports </w:t>
      </w:r>
      <w:r w:rsidR="007968D8">
        <w:rPr>
          <w:szCs w:val="24"/>
        </w:rPr>
        <w:t>two</w:t>
      </w:r>
      <w:r>
        <w:rPr>
          <w:szCs w:val="24"/>
        </w:rPr>
        <w:t xml:space="preserve"> dedicat</w:t>
      </w:r>
      <w:r w:rsidR="004B0401">
        <w:rPr>
          <w:szCs w:val="24"/>
        </w:rPr>
        <w:t>ed research servers: Research05</w:t>
      </w:r>
      <w:r w:rsidR="007968D8">
        <w:rPr>
          <w:szCs w:val="24"/>
        </w:rPr>
        <w:t xml:space="preserve"> &amp; Research06</w:t>
      </w:r>
    </w:p>
    <w:p w14:paraId="2F80E744" w14:textId="77777777" w:rsidR="000B35E6" w:rsidRDefault="000B35E6" w:rsidP="00C6423F">
      <w:pPr>
        <w:spacing w:after="0"/>
        <w:rPr>
          <w:szCs w:val="24"/>
        </w:rPr>
      </w:pPr>
    </w:p>
    <w:tbl>
      <w:tblPr>
        <w:tblW w:w="8115" w:type="dxa"/>
        <w:tblInd w:w="93" w:type="dxa"/>
        <w:tblLook w:val="04A0" w:firstRow="1" w:lastRow="0" w:firstColumn="1" w:lastColumn="0" w:noHBand="0" w:noVBand="1"/>
      </w:tblPr>
      <w:tblGrid>
        <w:gridCol w:w="1995"/>
        <w:gridCol w:w="2970"/>
        <w:gridCol w:w="3150"/>
      </w:tblGrid>
      <w:tr w:rsidR="00B71F17" w:rsidRPr="000B35E6" w14:paraId="53157D88" w14:textId="77777777" w:rsidTr="00B71F17">
        <w:trPr>
          <w:trHeight w:val="300"/>
        </w:trPr>
        <w:tc>
          <w:tcPr>
            <w:tcW w:w="1995" w:type="dxa"/>
            <w:tcBorders>
              <w:top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F34F46A" w14:textId="77777777" w:rsidR="00B71F17" w:rsidRPr="000B35E6" w:rsidRDefault="00B71F17" w:rsidP="00B71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2D91891C" w14:textId="60836748" w:rsidR="00B71F17" w:rsidRPr="000B35E6" w:rsidRDefault="00B71F17" w:rsidP="00B71F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Research05</w:t>
            </w:r>
          </w:p>
        </w:tc>
        <w:tc>
          <w:tcPr>
            <w:tcW w:w="315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4345C1BA" w14:textId="01EC9FA4" w:rsidR="00B71F17" w:rsidRPr="000B35E6" w:rsidRDefault="00B71F17" w:rsidP="00B71F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Research06</w:t>
            </w:r>
          </w:p>
        </w:tc>
      </w:tr>
      <w:tr w:rsidR="00B71F17" w:rsidRPr="000B35E6" w14:paraId="0472DD3C" w14:textId="77777777" w:rsidTr="00B71F1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A7DBF4B" w14:textId="77777777" w:rsidR="00B71F17" w:rsidRPr="000B35E6" w:rsidRDefault="00B71F17" w:rsidP="00B71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Processor: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452087DF" w14:textId="1BB5D5D5" w:rsidR="00B71F17" w:rsidRPr="000B35E6" w:rsidRDefault="00B71F17" w:rsidP="00B71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Ghz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0C0957F2" w14:textId="7DFA69AB" w:rsidR="00B71F17" w:rsidRPr="000B35E6" w:rsidRDefault="00B71F17" w:rsidP="00B71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Ghz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</w:p>
        </w:tc>
      </w:tr>
      <w:tr w:rsidR="00B71F17" w:rsidRPr="000B35E6" w14:paraId="37F4F3FC" w14:textId="77777777" w:rsidTr="00B71F1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59DF0C2" w14:textId="77777777" w:rsidR="00B71F17" w:rsidRPr="000B35E6" w:rsidRDefault="00B71F17" w:rsidP="00B71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RAM: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572A1186" w14:textId="06F5CE0D" w:rsidR="00B71F17" w:rsidRPr="000B35E6" w:rsidRDefault="00B71F17" w:rsidP="00B71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96 GB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03EF33B9" w14:textId="1442C9A5" w:rsidR="00B71F17" w:rsidRPr="000B35E6" w:rsidRDefault="00B71F17" w:rsidP="00B71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128 GB </w:t>
            </w:r>
          </w:p>
        </w:tc>
        <w:bookmarkStart w:id="0" w:name="_GoBack"/>
        <w:bookmarkEnd w:id="0"/>
      </w:tr>
      <w:tr w:rsidR="00B71F17" w:rsidRPr="000B35E6" w14:paraId="3A52A87B" w14:textId="77777777" w:rsidTr="00B71F1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B40DEB1" w14:textId="77777777" w:rsidR="00B71F17" w:rsidRPr="000B35E6" w:rsidRDefault="00B71F17" w:rsidP="00B71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Operating System: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12AC0578" w14:textId="3D8CE8CC" w:rsidR="00B71F17" w:rsidRPr="000B35E6" w:rsidRDefault="00B71F17" w:rsidP="00B71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6C5A85E9" w14:textId="4F573954" w:rsidR="00B71F17" w:rsidRPr="000B35E6" w:rsidRDefault="00B71F17" w:rsidP="00B71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2016</w:t>
            </w:r>
          </w:p>
        </w:tc>
      </w:tr>
      <w:tr w:rsidR="00B71F17" w:rsidRPr="000B35E6" w14:paraId="74A8ECE2" w14:textId="77777777" w:rsidTr="00B71F1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0163BC5" w14:textId="77777777" w:rsidR="00B71F17" w:rsidRPr="000B35E6" w:rsidRDefault="00B71F17" w:rsidP="000B35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Storage: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3FFFBA2D" w14:textId="77777777" w:rsidR="00B71F17" w:rsidRPr="000B35E6" w:rsidRDefault="00B71F17" w:rsidP="000B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TB (R:) Drive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096205F" w14:textId="77777777" w:rsidR="00B71F17" w:rsidRPr="000B35E6" w:rsidRDefault="00B71F17" w:rsidP="000B3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 TB (S:) Drive</w:t>
            </w:r>
          </w:p>
        </w:tc>
      </w:tr>
    </w:tbl>
    <w:p w14:paraId="0F9483FB" w14:textId="77777777" w:rsidR="000B35E6" w:rsidRDefault="000D0F9F" w:rsidP="00C6423F">
      <w:pPr>
        <w:spacing w:after="0"/>
        <w:rPr>
          <w:szCs w:val="24"/>
        </w:rPr>
      </w:pPr>
      <w:r w:rsidRPr="000D0F9F">
        <w:rPr>
          <w:szCs w:val="24"/>
        </w:rPr>
        <w:tab/>
      </w:r>
    </w:p>
    <w:p w14:paraId="4F97DA9F" w14:textId="77777777" w:rsidR="000B35E6" w:rsidRDefault="000B35E6" w:rsidP="00C6423F">
      <w:pPr>
        <w:spacing w:after="0"/>
        <w:rPr>
          <w:szCs w:val="24"/>
        </w:rPr>
      </w:pPr>
      <w:r>
        <w:rPr>
          <w:szCs w:val="24"/>
        </w:rPr>
        <w:t xml:space="preserve">Users who are members of the ‘Research Drive’ Group have personalized </w:t>
      </w:r>
      <w:r w:rsidR="00CC50F8">
        <w:rPr>
          <w:szCs w:val="24"/>
        </w:rPr>
        <w:t xml:space="preserve">folders to save their personal scratch </w:t>
      </w:r>
      <w:r>
        <w:rPr>
          <w:szCs w:val="24"/>
        </w:rPr>
        <w:t>files within the ‘Users’ folder on the R: and S: Drives.</w:t>
      </w:r>
    </w:p>
    <w:p w14:paraId="0FAAE693" w14:textId="77777777" w:rsidR="000B35E6" w:rsidRDefault="000B35E6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2A5C3C97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Available Software</w:t>
      </w:r>
    </w:p>
    <w:p w14:paraId="2F8D469F" w14:textId="77777777" w:rsidR="000D0F9F" w:rsidRDefault="000D0F9F" w:rsidP="00C6423F">
      <w:pPr>
        <w:spacing w:after="0"/>
        <w:rPr>
          <w:szCs w:val="24"/>
        </w:rPr>
      </w:pPr>
      <w:r w:rsidRPr="00C6423F">
        <w:rPr>
          <w:szCs w:val="24"/>
        </w:rPr>
        <w:t>The following software is available via the research servers:</w:t>
      </w:r>
    </w:p>
    <w:p w14:paraId="59DB0C77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tbl>
      <w:tblPr>
        <w:tblW w:w="7086" w:type="dxa"/>
        <w:tblInd w:w="93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</w:tblGrid>
      <w:tr w:rsidR="00923B83" w:rsidRPr="00F26113" w14:paraId="19A6DCE4" w14:textId="77777777" w:rsidTr="00923B83">
        <w:trPr>
          <w:trHeight w:val="315"/>
        </w:trPr>
        <w:tc>
          <w:tcPr>
            <w:tcW w:w="2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37A0EBE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Pro 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3C945CE0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Java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22BBCCA7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Studio </w:t>
            </w:r>
          </w:p>
        </w:tc>
      </w:tr>
      <w:tr w:rsidR="00923B83" w:rsidRPr="00F26113" w14:paraId="555DBD1D" w14:textId="77777777" w:rsidTr="00923B83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3174CF7A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Reader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9483B15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Wolfram </w:t>
            </w: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Mathematica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30F8493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SAS </w:t>
            </w:r>
          </w:p>
        </w:tc>
      </w:tr>
      <w:tr w:rsidR="00923B83" w:rsidRPr="00F26113" w14:paraId="532C737F" w14:textId="77777777" w:rsidTr="00923B83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082CE6D8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Anaconda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3DA08FC3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Microsoft Office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3B7F485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SPSS</w:t>
            </w:r>
          </w:p>
        </w:tc>
      </w:tr>
      <w:tr w:rsidR="00923B83" w:rsidRPr="00F26113" w14:paraId="49B20563" w14:textId="77777777" w:rsidTr="00923B83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B57BF87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ArcGIS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205B8991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Python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72B94C53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 Transfer</w:t>
            </w:r>
          </w:p>
        </w:tc>
      </w:tr>
      <w:tr w:rsidR="00923B83" w:rsidRPr="00F26113" w14:paraId="4CB36514" w14:textId="77777777" w:rsidTr="00923B83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D857CE8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EViews</w:t>
            </w:r>
            <w:proofErr w:type="spellEnd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515B73C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7D23424C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Stata</w:t>
            </w:r>
          </w:p>
        </w:tc>
      </w:tr>
      <w:tr w:rsidR="00923B83" w:rsidRPr="00F26113" w14:paraId="0E74304E" w14:textId="77777777" w:rsidTr="00923B83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193999B1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Gauss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1C9E494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Repast </w:t>
            </w:r>
            <w:proofErr w:type="spellStart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Simphony</w:t>
            </w:r>
            <w:proofErr w:type="spellEnd"/>
          </w:p>
        </w:tc>
        <w:tc>
          <w:tcPr>
            <w:tcW w:w="2362" w:type="dxa"/>
            <w:tcBorders>
              <w:top w:val="single" w:sz="8" w:space="0" w:color="D9D9D9"/>
              <w:left w:val="nil"/>
              <w:bottom w:val="single" w:sz="4" w:space="0" w:color="D9D9D9" w:themeColor="background1" w:themeShade="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4952F455" w14:textId="77777777" w:rsidR="00923B83" w:rsidRPr="00F26113" w:rsidRDefault="00923B83" w:rsidP="00923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WinZip</w:t>
            </w:r>
          </w:p>
        </w:tc>
      </w:tr>
    </w:tbl>
    <w:p w14:paraId="1A6DE87F" w14:textId="77777777" w:rsidR="00F26113" w:rsidRDefault="00F26113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057D008B" w14:textId="77777777" w:rsidR="00464A92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Instructions for Access</w:t>
      </w:r>
    </w:p>
    <w:p w14:paraId="278A9503" w14:textId="77777777" w:rsidR="00953F80" w:rsidRDefault="002A440D" w:rsidP="00953F80">
      <w:r>
        <w:rPr>
          <w:szCs w:val="24"/>
        </w:rPr>
        <w:t xml:space="preserve">To </w:t>
      </w:r>
      <w:r w:rsidR="00497667">
        <w:rPr>
          <w:szCs w:val="24"/>
        </w:rPr>
        <w:t>use</w:t>
      </w:r>
      <w:r w:rsidR="00464A92">
        <w:rPr>
          <w:szCs w:val="24"/>
        </w:rPr>
        <w:t xml:space="preserve"> the research servers, </w:t>
      </w:r>
      <w:r w:rsidR="00C6423F">
        <w:rPr>
          <w:szCs w:val="24"/>
        </w:rPr>
        <w:t>contact</w:t>
      </w:r>
      <w:r w:rsidR="00497667">
        <w:rPr>
          <w:szCs w:val="24"/>
        </w:rPr>
        <w:t xml:space="preserve"> your financial manager or ITS Liaison and ask them to submit a </w:t>
      </w:r>
      <w:hyperlink r:id="rId7" w:history="1">
        <w:r w:rsidR="00497667" w:rsidRPr="00497667">
          <w:rPr>
            <w:rStyle w:val="Hyperlink"/>
            <w:szCs w:val="24"/>
          </w:rPr>
          <w:t>Hardware/Software Request Form</w:t>
        </w:r>
      </w:hyperlink>
      <w:r w:rsidR="00C6423F">
        <w:rPr>
          <w:szCs w:val="24"/>
        </w:rPr>
        <w:t xml:space="preserve"> </w:t>
      </w:r>
      <w:r w:rsidR="00497667">
        <w:rPr>
          <w:szCs w:val="24"/>
        </w:rPr>
        <w:t>requesting access to the research servers on your behalf</w:t>
      </w:r>
      <w:r w:rsidR="006074A0">
        <w:rPr>
          <w:szCs w:val="24"/>
        </w:rPr>
        <w:t>.</w:t>
      </w:r>
      <w:r w:rsidR="00953F80">
        <w:rPr>
          <w:szCs w:val="24"/>
        </w:rPr>
        <w:t xml:space="preserve"> </w:t>
      </w:r>
      <w:r w:rsidR="009277DD">
        <w:rPr>
          <w:szCs w:val="24"/>
        </w:rPr>
        <w:t xml:space="preserve">It </w:t>
      </w:r>
      <w:r w:rsidR="00953F80">
        <w:t xml:space="preserve">takes a few days for the ITS Service Desk to configure your access, so please plan accordingly.  </w:t>
      </w:r>
    </w:p>
    <w:p w14:paraId="0A8356A1" w14:textId="77777777" w:rsidR="00953F80" w:rsidRDefault="00953F80" w:rsidP="00953F80">
      <w:pPr>
        <w:spacing w:after="120"/>
      </w:pPr>
      <w:r>
        <w:t>To log on to the research servers from your Brookings desktop:</w:t>
      </w:r>
    </w:p>
    <w:p w14:paraId="6B9F1D5A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 xml:space="preserve">The ITS Service Desk will send you configuration files to access the Research Servers when your access is granted. </w:t>
      </w:r>
    </w:p>
    <w:p w14:paraId="5235EEBE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Save the files to your desktop for easy access.</w:t>
      </w:r>
    </w:p>
    <w:p w14:paraId="7A14E256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0E3BEBFD" w14:textId="77777777" w:rsidR="00953F80" w:rsidRPr="00953F80" w:rsidRDefault="00953F80" w:rsidP="00953F80">
      <w:pPr>
        <w:spacing w:after="0"/>
        <w:rPr>
          <w:sz w:val="14"/>
        </w:rPr>
      </w:pPr>
    </w:p>
    <w:p w14:paraId="2BD90E5F" w14:textId="77777777" w:rsidR="00953F80" w:rsidRDefault="00953F80" w:rsidP="00953F80">
      <w:pPr>
        <w:spacing w:after="120"/>
      </w:pPr>
      <w:r>
        <w:lastRenderedPageBreak/>
        <w:t>To log on to the research servers from home:</w:t>
      </w:r>
    </w:p>
    <w:p w14:paraId="41091499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 xml:space="preserve">Access the files the ITS Service Desk sent you from Webmail (webmail.brookings.edu) or </w:t>
      </w:r>
      <w:proofErr w:type="spellStart"/>
      <w:r>
        <w:t>MyRemote</w:t>
      </w:r>
      <w:proofErr w:type="spellEnd"/>
      <w:r>
        <w:t xml:space="preserve"> email.  </w:t>
      </w:r>
    </w:p>
    <w:p w14:paraId="1468135E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Save the files to your home PC desktop for easy access.</w:t>
      </w:r>
    </w:p>
    <w:p w14:paraId="77BBB232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76B01914" w14:textId="77777777" w:rsidR="009277DD" w:rsidRDefault="009277DD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CBF0A47" w14:textId="77777777" w:rsidR="00886CAE" w:rsidRPr="00886CAE" w:rsidRDefault="00886CAE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Quantitative Data Storage</w:t>
      </w:r>
    </w:p>
    <w:p w14:paraId="27FA22EE" w14:textId="77777777" w:rsidR="006F7FE5" w:rsidRDefault="00CE0B24" w:rsidP="00923B83">
      <w:pPr>
        <w:spacing w:after="0"/>
        <w:rPr>
          <w:szCs w:val="24"/>
        </w:rPr>
      </w:pPr>
      <w:r>
        <w:rPr>
          <w:szCs w:val="24"/>
        </w:rPr>
        <w:t>R</w:t>
      </w:r>
      <w:r w:rsidR="00EC5634">
        <w:rPr>
          <w:szCs w:val="24"/>
        </w:rPr>
        <w:t xml:space="preserve">esearchers </w:t>
      </w:r>
      <w:r>
        <w:rPr>
          <w:szCs w:val="24"/>
        </w:rPr>
        <w:t xml:space="preserve">have several options for storing </w:t>
      </w:r>
      <w:r w:rsidR="00EC5634">
        <w:rPr>
          <w:szCs w:val="24"/>
        </w:rPr>
        <w:t>quantitative data sets.</w:t>
      </w:r>
      <w:r w:rsidR="00DA40F8">
        <w:rPr>
          <w:szCs w:val="24"/>
        </w:rPr>
        <w:t xml:space="preserve"> The following table lists and describes the different drives available to research server users:</w:t>
      </w:r>
    </w:p>
    <w:p w14:paraId="421AD5D5" w14:textId="77777777" w:rsidR="00923B83" w:rsidRDefault="00923B83" w:rsidP="00923B83">
      <w:pPr>
        <w:spacing w:after="0"/>
        <w:rPr>
          <w:szCs w:val="24"/>
        </w:rPr>
      </w:pPr>
    </w:p>
    <w:p w14:paraId="1A8A3043" w14:textId="77777777" w:rsidR="00923B83" w:rsidRDefault="00923B83" w:rsidP="008D6F27">
      <w:pPr>
        <w:spacing w:after="0"/>
        <w:ind w:left="-180"/>
      </w:pPr>
      <w:r>
        <w:rPr>
          <w:szCs w:val="24"/>
        </w:rPr>
        <w:t xml:space="preserve">-- </w:t>
      </w:r>
      <w:r w:rsidRPr="008D6F27">
        <w:rPr>
          <w:b/>
          <w:szCs w:val="24"/>
        </w:rPr>
        <w:t>NOTI</w:t>
      </w:r>
      <w:r w:rsidRPr="00D84178">
        <w:rPr>
          <w:b/>
          <w:szCs w:val="24"/>
        </w:rPr>
        <w:t>CE</w:t>
      </w:r>
      <w:r w:rsidRPr="008D6F27">
        <w:rPr>
          <w:szCs w:val="24"/>
        </w:rPr>
        <w:t>:</w:t>
      </w:r>
      <w:r>
        <w:rPr>
          <w:szCs w:val="24"/>
        </w:rPr>
        <w:t xml:space="preserve"> Do not store data permanently on the R: &amp; S: drives.  These drives are intended for temporary </w:t>
      </w:r>
      <w:r w:rsidR="008D6F27">
        <w:rPr>
          <w:szCs w:val="24"/>
        </w:rPr>
        <w:t>storage only. --</w:t>
      </w:r>
    </w:p>
    <w:p w14:paraId="426A32B0" w14:textId="77777777" w:rsidR="006F7FE5" w:rsidRDefault="006F7FE5" w:rsidP="007776CE">
      <w:pPr>
        <w:pStyle w:val="ListParagraph"/>
        <w:spacing w:after="0" w:line="240" w:lineRule="auto"/>
        <w:ind w:left="0"/>
        <w:contextualSpacing w:val="0"/>
        <w:jc w:val="center"/>
      </w:pPr>
    </w:p>
    <w:tbl>
      <w:tblPr>
        <w:tblW w:w="10615" w:type="dxa"/>
        <w:tblLook w:val="04A0" w:firstRow="1" w:lastRow="0" w:firstColumn="1" w:lastColumn="0" w:noHBand="0" w:noVBand="1"/>
      </w:tblPr>
      <w:tblGrid>
        <w:gridCol w:w="880"/>
        <w:gridCol w:w="2900"/>
        <w:gridCol w:w="940"/>
        <w:gridCol w:w="1320"/>
        <w:gridCol w:w="1400"/>
        <w:gridCol w:w="1645"/>
        <w:gridCol w:w="1530"/>
      </w:tblGrid>
      <w:tr w:rsidR="00DA40F8" w:rsidRPr="00DA40F8" w14:paraId="3B64D5D6" w14:textId="77777777" w:rsidTr="00DA40F8">
        <w:trPr>
          <w:trHeight w:val="45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F275430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Drive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22D5B5DE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BAEC602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Speed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AEF3C0D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Capacity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46DFAC58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Backed up?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center"/>
            <w:hideMark/>
          </w:tcPr>
          <w:p w14:paraId="0DE37BEC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Cost for storage?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6B15B8F1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Recommended for data storage?</w:t>
            </w:r>
          </w:p>
        </w:tc>
      </w:tr>
      <w:tr w:rsidR="00DA40F8" w:rsidRPr="00DA40F8" w14:paraId="077671EE" w14:textId="77777777" w:rsidTr="00DA40F8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66C35F4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C: 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05EA8DC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Local computer hard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6A80C3E1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Moderate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68E78546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Limited by size of hard drive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14F0B5E9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 xml:space="preserve">Available for a fee. Otherwise no. 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17F5933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8CBAD"/>
            <w:vAlign w:val="center"/>
            <w:hideMark/>
          </w:tcPr>
          <w:p w14:paraId="3D8DE427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No</w:t>
            </w:r>
          </w:p>
        </w:tc>
      </w:tr>
      <w:tr w:rsidR="00DA40F8" w:rsidRPr="00DA40F8" w14:paraId="6E36A412" w14:textId="77777777" w:rsidTr="00DA40F8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E0AE43E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2E2FA29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Program folder on network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E699"/>
            <w:vAlign w:val="center"/>
            <w:hideMark/>
          </w:tcPr>
          <w:p w14:paraId="38A3D65B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00632446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Large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76734248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Yes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8CBAD"/>
            <w:vAlign w:val="center"/>
            <w:hideMark/>
          </w:tcPr>
          <w:p w14:paraId="3EC2AE7B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Cost for storage over 5GB/user quota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DAC8351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A40F8" w:rsidRPr="00DA40F8" w14:paraId="09A3E3C1" w14:textId="77777777" w:rsidTr="00DA40F8">
        <w:trPr>
          <w:trHeight w:val="480"/>
        </w:trPr>
        <w:tc>
          <w:tcPr>
            <w:tcW w:w="880" w:type="dxa"/>
            <w:tcBorders>
              <w:top w:val="single" w:sz="12" w:space="0" w:color="auto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1414B16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R:</w:t>
            </w:r>
          </w:p>
        </w:tc>
        <w:tc>
          <w:tcPr>
            <w:tcW w:w="290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0EA7146" w14:textId="7F526929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042C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Temporary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scratch space for use when actively processing data. Local to RS</w:t>
            </w:r>
            <w:r w:rsidR="007968D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05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3D083B95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Fastest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7FE2A2F6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3492A8E2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45" w:type="dxa"/>
            <w:tcBorders>
              <w:top w:val="single" w:sz="12" w:space="0" w:color="auto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965C721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  <w:hideMark/>
          </w:tcPr>
          <w:p w14:paraId="509545CF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Yes</w:t>
            </w:r>
          </w:p>
        </w:tc>
      </w:tr>
      <w:tr w:rsidR="00DA40F8" w:rsidRPr="00DA40F8" w14:paraId="270FF685" w14:textId="77777777" w:rsidTr="00DA40F8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F651683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41D90A9" w14:textId="6D7A8150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042C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Temporary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scratch space for use when actively processing data. Local to RS0</w:t>
            </w:r>
            <w:r w:rsidR="007968D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4D435A9E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Fastest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2BF83438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6BF8137F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2710D019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C045B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A40F8" w:rsidRPr="00DA40F8" w14:paraId="1DC711CE" w14:textId="77777777" w:rsidTr="00DA40F8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710F87" w14:textId="77777777" w:rsidR="00DA40F8" w:rsidRPr="00DA40F8" w:rsidRDefault="00DA40F8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V: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E6D8542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Destination for long-term data storage. 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E699"/>
            <w:vAlign w:val="center"/>
            <w:hideMark/>
          </w:tcPr>
          <w:p w14:paraId="5A9E1F4C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7F239D24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14507BEC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6EAEBA5D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7360" w14:textId="77777777" w:rsidR="00DA40F8" w:rsidRPr="00DA40F8" w:rsidRDefault="00DA40F8" w:rsidP="00DA40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7902BCD6" w14:textId="77777777" w:rsidR="00DA40F8" w:rsidRDefault="00DA40F8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79135600" w14:textId="77777777" w:rsidR="008D6F27" w:rsidRDefault="00D84178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 xml:space="preserve">Performance Issues? </w:t>
      </w:r>
    </w:p>
    <w:p w14:paraId="75D72C5E" w14:textId="77777777" w:rsidR="00D84178" w:rsidRDefault="00D84178" w:rsidP="008D6F27">
      <w:pPr>
        <w:spacing w:after="0"/>
        <w:rPr>
          <w:szCs w:val="24"/>
        </w:rPr>
      </w:pPr>
      <w:r>
        <w:rPr>
          <w:szCs w:val="24"/>
        </w:rPr>
        <w:t xml:space="preserve">Slow performance can be due to a number of factors: </w:t>
      </w:r>
    </w:p>
    <w:p w14:paraId="5ACE016A" w14:textId="77777777" w:rsidR="00D84178" w:rsidRDefault="00D84178" w:rsidP="008D6F27">
      <w:pPr>
        <w:spacing w:after="0"/>
        <w:rPr>
          <w:szCs w:val="24"/>
        </w:rPr>
      </w:pPr>
    </w:p>
    <w:p w14:paraId="2C1935AC" w14:textId="77777777" w:rsidR="00D84178" w:rsidRDefault="00D84178" w:rsidP="008D6F27">
      <w:pPr>
        <w:spacing w:after="0"/>
        <w:rPr>
          <w:szCs w:val="24"/>
        </w:rPr>
      </w:pPr>
      <w:r w:rsidRPr="00D84178">
        <w:rPr>
          <w:b/>
          <w:szCs w:val="24"/>
        </w:rPr>
        <w:t>Shared Resources:</w:t>
      </w:r>
      <w:r>
        <w:rPr>
          <w:szCs w:val="24"/>
        </w:rPr>
        <w:t xml:space="preserve"> The research servers are shared </w:t>
      </w:r>
      <w:proofErr w:type="gramStart"/>
      <w:r>
        <w:rPr>
          <w:szCs w:val="24"/>
        </w:rPr>
        <w:t>resources</w:t>
      </w:r>
      <w:proofErr w:type="gramEnd"/>
      <w:r>
        <w:rPr>
          <w:szCs w:val="24"/>
        </w:rPr>
        <w:t xml:space="preserve"> so their speed is directly related to the number of users utilizing them at a given time. If one server is behaving slowly, consider logging into one of the other servers, which may have fewer active users. </w:t>
      </w:r>
      <w:r w:rsidR="009E473B">
        <w:rPr>
          <w:szCs w:val="24"/>
        </w:rPr>
        <w:t xml:space="preserve">Please be respectful of these shared resources and be sure to clear any temp files and close open sessions of programs when you are done with them. </w:t>
      </w:r>
    </w:p>
    <w:p w14:paraId="5E2CCC1E" w14:textId="77777777" w:rsidR="00D84178" w:rsidRDefault="00D84178" w:rsidP="008D6F27">
      <w:pPr>
        <w:spacing w:after="0"/>
        <w:rPr>
          <w:szCs w:val="24"/>
        </w:rPr>
      </w:pPr>
    </w:p>
    <w:p w14:paraId="779F836C" w14:textId="77777777" w:rsidR="00D84178" w:rsidRDefault="00D84178" w:rsidP="008D6F27">
      <w:pPr>
        <w:spacing w:after="0"/>
        <w:rPr>
          <w:b/>
          <w:szCs w:val="24"/>
        </w:rPr>
      </w:pPr>
      <w:r w:rsidRPr="00D84178">
        <w:rPr>
          <w:b/>
          <w:szCs w:val="24"/>
        </w:rPr>
        <w:t>Data Location:</w:t>
      </w:r>
      <w:r>
        <w:rPr>
          <w:b/>
          <w:szCs w:val="24"/>
        </w:rPr>
        <w:t xml:space="preserve"> </w:t>
      </w:r>
    </w:p>
    <w:p w14:paraId="3D81AEFC" w14:textId="34105FAC" w:rsidR="00D84178" w:rsidRDefault="00D84178" w:rsidP="008D6F27">
      <w:pPr>
        <w:spacing w:after="0"/>
        <w:rPr>
          <w:szCs w:val="24"/>
        </w:rPr>
      </w:pPr>
      <w:r>
        <w:rPr>
          <w:szCs w:val="24"/>
        </w:rPr>
        <w:t xml:space="preserve">Where you store your data </w:t>
      </w:r>
      <w:r w:rsidR="009E473B">
        <w:rPr>
          <w:szCs w:val="24"/>
        </w:rPr>
        <w:t>affects how quickly your code will run</w:t>
      </w:r>
      <w:r>
        <w:rPr>
          <w:szCs w:val="24"/>
        </w:rPr>
        <w:t>. We recommend that folks utilize the V: drive for long-term data storage, but for fastest performance, you should consider moving your data to the R: or S: drive while you are running your code. Just make sure you move it back after you are finished as space is limited</w:t>
      </w:r>
      <w:r w:rsidR="009E473B">
        <w:rPr>
          <w:szCs w:val="24"/>
        </w:rPr>
        <w:t xml:space="preserve"> – otherwise you may lose it.</w:t>
      </w:r>
      <w:r>
        <w:rPr>
          <w:szCs w:val="24"/>
        </w:rPr>
        <w:t xml:space="preserve">  </w:t>
      </w:r>
    </w:p>
    <w:p w14:paraId="3322D0FD" w14:textId="77777777" w:rsidR="00D84178" w:rsidRDefault="00D84178" w:rsidP="008D6F27">
      <w:pPr>
        <w:spacing w:after="0"/>
        <w:rPr>
          <w:szCs w:val="24"/>
        </w:rPr>
      </w:pPr>
    </w:p>
    <w:p w14:paraId="59B852C6" w14:textId="351E4FC7" w:rsidR="00D84178" w:rsidRPr="00D84178" w:rsidRDefault="009E473B" w:rsidP="008D6F27">
      <w:pPr>
        <w:spacing w:after="0"/>
        <w:rPr>
          <w:b/>
          <w:szCs w:val="24"/>
        </w:rPr>
      </w:pPr>
      <w:r>
        <w:rPr>
          <w:szCs w:val="24"/>
        </w:rPr>
        <w:t xml:space="preserve">The R: and S: </w:t>
      </w:r>
      <w:r w:rsidR="00D84178">
        <w:rPr>
          <w:szCs w:val="24"/>
        </w:rPr>
        <w:t>drives may be faster than the V: drive because they are local to the servers, meaning that your data doesn’t have to travel as far to get from the storage location to the processor. Note that the R: drive is meant for use with Research 0</w:t>
      </w:r>
      <w:r w:rsidR="007968D8">
        <w:rPr>
          <w:szCs w:val="24"/>
        </w:rPr>
        <w:t>5</w:t>
      </w:r>
      <w:r w:rsidR="00D84178">
        <w:rPr>
          <w:szCs w:val="24"/>
        </w:rPr>
        <w:t xml:space="preserve"> and the S: drive for use with Research 0</w:t>
      </w:r>
      <w:r w:rsidR="007968D8">
        <w:rPr>
          <w:szCs w:val="24"/>
        </w:rPr>
        <w:t>6</w:t>
      </w:r>
      <w:r w:rsidR="00D84178">
        <w:rPr>
          <w:szCs w:val="24"/>
        </w:rPr>
        <w:t xml:space="preserve">.  </w:t>
      </w:r>
      <w:r w:rsidR="00F042C1">
        <w:rPr>
          <w:szCs w:val="24"/>
        </w:rPr>
        <w:t xml:space="preserve">Make sure you use the appropriate drive for storage to achieve the best performance. </w:t>
      </w:r>
    </w:p>
    <w:p w14:paraId="0F4C601B" w14:textId="77777777" w:rsidR="008D6F27" w:rsidRPr="00953F80" w:rsidRDefault="008D6F27" w:rsidP="008D6F27">
      <w:pPr>
        <w:pStyle w:val="ListParagraph"/>
        <w:spacing w:after="0" w:line="240" w:lineRule="auto"/>
        <w:ind w:left="0"/>
        <w:contextualSpacing w:val="0"/>
      </w:pPr>
    </w:p>
    <w:sectPr w:rsidR="008D6F27" w:rsidRPr="00953F80" w:rsidSect="00953F80">
      <w:headerReference w:type="default" r:id="rId8"/>
      <w:footerReference w:type="default" r:id="rId9"/>
      <w:pgSz w:w="12240" w:h="15840"/>
      <w:pgMar w:top="540" w:right="720" w:bottom="810" w:left="90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D7EBC" w14:textId="77777777" w:rsidR="00F906AD" w:rsidRDefault="00F906AD" w:rsidP="00C6423F">
      <w:pPr>
        <w:spacing w:after="0" w:line="240" w:lineRule="auto"/>
      </w:pPr>
      <w:r>
        <w:separator/>
      </w:r>
    </w:p>
  </w:endnote>
  <w:endnote w:type="continuationSeparator" w:id="0">
    <w:p w14:paraId="4EB7ED4A" w14:textId="77777777" w:rsidR="00F906AD" w:rsidRDefault="00F906AD" w:rsidP="00C6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481586"/>
      <w:docPartObj>
        <w:docPartGallery w:val="Page Numbers (Bottom of Page)"/>
        <w:docPartUnique/>
      </w:docPartObj>
    </w:sdtPr>
    <w:sdtEndPr/>
    <w:sdtContent>
      <w:p w14:paraId="4908F51C" w14:textId="77777777" w:rsidR="00C6423F" w:rsidRDefault="00A7038E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E02CE2" wp14:editId="7B26D043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65302</wp:posOffset>
                  </wp:positionV>
                  <wp:extent cx="8314660" cy="0"/>
                  <wp:effectExtent l="0" t="19050" r="1079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314660" cy="0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95C550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5.15pt" to="582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" strokecolor="#1f497d [3215]" strokeweight="2.75pt"/>
              </w:pict>
            </mc:Fallback>
          </mc:AlternateContent>
        </w: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018"/>
          <w:gridCol w:w="558"/>
        </w:tblGrid>
        <w:tr w:rsidR="00C6423F" w14:paraId="0C3C8BC7" w14:textId="77777777" w:rsidTr="00047E89">
          <w:trPr>
            <w:trHeight w:val="361"/>
          </w:trPr>
          <w:tc>
            <w:tcPr>
              <w:tcW w:w="9018" w:type="dxa"/>
            </w:tcPr>
            <w:p w14:paraId="77B0158D" w14:textId="77777777" w:rsidR="00C6423F" w:rsidRDefault="00C6423F" w:rsidP="00C6423F">
              <w:pPr>
                <w:pStyle w:val="Footer"/>
              </w:pPr>
              <w:r>
                <w:t>Research Server User Guide</w:t>
              </w:r>
            </w:p>
          </w:tc>
          <w:tc>
            <w:tcPr>
              <w:tcW w:w="558" w:type="dxa"/>
            </w:tcPr>
            <w:p w14:paraId="3937AF05" w14:textId="1B94B9F4" w:rsidR="00C6423F" w:rsidRDefault="00C6423F" w:rsidP="00C6423F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71F17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284222C4" w14:textId="77777777" w:rsidR="00C6423F" w:rsidRDefault="007968D8">
              <w:pPr>
                <w:pStyle w:val="Footer"/>
                <w:jc w:val="right"/>
              </w:pPr>
            </w:p>
          </w:tc>
        </w:tr>
      </w:tbl>
    </w:sdtContent>
  </w:sdt>
  <w:p w14:paraId="09CB0B37" w14:textId="77777777" w:rsidR="00C6423F" w:rsidRDefault="00C6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9A42E" w14:textId="77777777" w:rsidR="00F906AD" w:rsidRDefault="00F906AD" w:rsidP="00C6423F">
      <w:pPr>
        <w:spacing w:after="0" w:line="240" w:lineRule="auto"/>
      </w:pPr>
      <w:r>
        <w:separator/>
      </w:r>
    </w:p>
  </w:footnote>
  <w:footnote w:type="continuationSeparator" w:id="0">
    <w:p w14:paraId="0860BDEF" w14:textId="77777777" w:rsidR="00F906AD" w:rsidRDefault="00F906AD" w:rsidP="00C6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0399A" w14:textId="65C1CB5B" w:rsidR="00047E89" w:rsidRPr="00BB3F90" w:rsidRDefault="00BB3F90" w:rsidP="00047E89">
    <w:pPr>
      <w:pStyle w:val="Header"/>
      <w:jc w:val="right"/>
      <w:rPr>
        <w:i/>
      </w:rPr>
    </w:pPr>
    <w:r w:rsidRPr="00BB3F90">
      <w:rPr>
        <w:i/>
        <w:color w:val="808080" w:themeColor="background1" w:themeShade="80"/>
      </w:rPr>
      <w:t xml:space="preserve">Last </w:t>
    </w:r>
    <w:r w:rsidR="00047E89" w:rsidRPr="00BB3F90">
      <w:rPr>
        <w:i/>
        <w:color w:val="808080" w:themeColor="background1" w:themeShade="80"/>
      </w:rPr>
      <w:t xml:space="preserve">Updated: </w:t>
    </w:r>
    <w:r w:rsidR="00B71F17">
      <w:rPr>
        <w:i/>
        <w:color w:val="808080" w:themeColor="background1" w:themeShade="80"/>
      </w:rPr>
      <w:t>May 25,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717"/>
    <w:multiLevelType w:val="hybridMultilevel"/>
    <w:tmpl w:val="94841E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3CE5DC3"/>
    <w:multiLevelType w:val="hybridMultilevel"/>
    <w:tmpl w:val="83BE9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C0D49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87166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10280"/>
    <w:multiLevelType w:val="hybridMultilevel"/>
    <w:tmpl w:val="1F1CE6F2"/>
    <w:lvl w:ilvl="0" w:tplc="2DFC662E">
      <w:start w:val="1"/>
      <w:numFmt w:val="decimal"/>
      <w:lvlText w:val="%1."/>
      <w:lvlJc w:val="left"/>
      <w:pPr>
        <w:ind w:left="1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F9F"/>
    <w:rsid w:val="00047E89"/>
    <w:rsid w:val="0007784D"/>
    <w:rsid w:val="000B35E6"/>
    <w:rsid w:val="000C6564"/>
    <w:rsid w:val="000D0F9F"/>
    <w:rsid w:val="0019276E"/>
    <w:rsid w:val="001E0F82"/>
    <w:rsid w:val="00253669"/>
    <w:rsid w:val="002A440D"/>
    <w:rsid w:val="003C70F5"/>
    <w:rsid w:val="00452D53"/>
    <w:rsid w:val="00464A92"/>
    <w:rsid w:val="004669E6"/>
    <w:rsid w:val="00497667"/>
    <w:rsid w:val="004B0401"/>
    <w:rsid w:val="00500ECD"/>
    <w:rsid w:val="005A03CD"/>
    <w:rsid w:val="006074A0"/>
    <w:rsid w:val="00683600"/>
    <w:rsid w:val="006D034A"/>
    <w:rsid w:val="006E334A"/>
    <w:rsid w:val="006F7FE5"/>
    <w:rsid w:val="007150A7"/>
    <w:rsid w:val="00762413"/>
    <w:rsid w:val="007776CE"/>
    <w:rsid w:val="007968D8"/>
    <w:rsid w:val="00872680"/>
    <w:rsid w:val="00886CAE"/>
    <w:rsid w:val="00893F4F"/>
    <w:rsid w:val="008D6F27"/>
    <w:rsid w:val="00923B83"/>
    <w:rsid w:val="009277DD"/>
    <w:rsid w:val="00953F80"/>
    <w:rsid w:val="009E473B"/>
    <w:rsid w:val="00A0306D"/>
    <w:rsid w:val="00A7038E"/>
    <w:rsid w:val="00B71F17"/>
    <w:rsid w:val="00BB3F90"/>
    <w:rsid w:val="00BC4FA6"/>
    <w:rsid w:val="00C6423F"/>
    <w:rsid w:val="00CC50F8"/>
    <w:rsid w:val="00CE0B24"/>
    <w:rsid w:val="00CE0C36"/>
    <w:rsid w:val="00D347B9"/>
    <w:rsid w:val="00D84178"/>
    <w:rsid w:val="00DA40F8"/>
    <w:rsid w:val="00DF3369"/>
    <w:rsid w:val="00E405B3"/>
    <w:rsid w:val="00EC5634"/>
    <w:rsid w:val="00F042C1"/>
    <w:rsid w:val="00F26113"/>
    <w:rsid w:val="00F906AD"/>
    <w:rsid w:val="00F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D81CC4"/>
  <w15:docId w15:val="{27B1F1AE-FCB8-4931-9674-6CC2CED7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-p">
    <w:name w:val="nospacing-p"/>
    <w:basedOn w:val="Normal"/>
    <w:rsid w:val="000D0F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-h">
    <w:name w:val="nospacing-h"/>
    <w:basedOn w:val="DefaultParagraphFont"/>
    <w:rsid w:val="000D0F9F"/>
  </w:style>
  <w:style w:type="character" w:styleId="Hyperlink">
    <w:name w:val="Hyperlink"/>
    <w:basedOn w:val="DefaultParagraphFont"/>
    <w:uiPriority w:val="99"/>
    <w:unhideWhenUsed/>
    <w:rsid w:val="00C642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3F"/>
  </w:style>
  <w:style w:type="paragraph" w:styleId="Footer">
    <w:name w:val="footer"/>
    <w:basedOn w:val="Normal"/>
    <w:link w:val="Foot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23F"/>
  </w:style>
  <w:style w:type="table" w:styleId="TableGrid">
    <w:name w:val="Table Grid"/>
    <w:basedOn w:val="TableNormal"/>
    <w:uiPriority w:val="59"/>
    <w:rsid w:val="00C6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1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3F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tranet.brookings.edu/its0/Services/Hardware/Purchase/nonstandardform/non-standard.htmhttp:/intranet.brookings.edu/its0/Services/Hardware/Purchase/nonstandardform/non-standar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Kestell</dc:creator>
  <cp:lastModifiedBy>Joe Kestell</cp:lastModifiedBy>
  <cp:revision>2</cp:revision>
  <cp:lastPrinted>2017-07-14T15:41:00Z</cp:lastPrinted>
  <dcterms:created xsi:type="dcterms:W3CDTF">2018-06-04T14:31:00Z</dcterms:created>
  <dcterms:modified xsi:type="dcterms:W3CDTF">2018-06-04T14:31:00Z</dcterms:modified>
</cp:coreProperties>
</file>