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Calibri" w:cs="Calibri" w:eastAsia="Calibri" w:hAnsi="Calibri"/>
          <w:b/>
          <w:bCs/>
          <w:color w:val="0F172A"/>
          <w:sz w:val="36"/>
          <w:szCs w:val="36"/>
        </w:rPr>
        <w:t xml:space="preserve">ENTERPRISE BUSINESS &amp; DETAILED REQUIREMENTS DOCUMENT</w:t>
      </w:r>
    </w:p>
    <w:p>
      <w:pPr>
        <w:spacing w:after="240" w:before="60"/>
        <w:jc w:val="center"/>
      </w:pPr>
      <w:r>
        <w:rPr>
          <w:rFonts w:ascii="Calibri" w:cs="Calibri" w:eastAsia="Calibri" w:hAnsi="Calibri"/>
          <w:b/>
          <w:bCs/>
          <w:color w:val="2563EB"/>
          <w:sz w:val="26"/>
          <w:szCs w:val="26"/>
        </w:rPr>
        <w:t xml:space="preserve">STEM-SPARK-LAB: Next-Generation Virtual Science Laboratory &amp; AI Experiment Engine</w:t>
      </w:r>
    </w:p>
    <w:p>
      <w:pPr>
        <w:spacing w:after="480" w:before="60"/>
        <w:jc w:val="center"/>
      </w:pPr>
      <w:r>
        <w:rPr>
          <w:rFonts w:ascii="Calibri" w:cs="Calibri" w:eastAsia="Calibri" w:hAnsi="Calibri"/>
          <w:i/>
          <w:iCs/>
          <w:color w:val="64748B"/>
          <w:sz w:val="20"/>
          <w:szCs w:val="20"/>
        </w:rPr>
        <w:t xml:space="preserve">Standardized Practical Curriculum Platform aligned with KNEC / KCSE Practical Framework</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3159"/>
        <w:gridCol w:w="5867"/>
      </w:tblGrid>
      <w:tr>
        <w:tc>
          <w:tcPr>
            <w:tcW w:type="pct" w:w="1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Document Attribute</w:t>
            </w:r>
          </w:p>
        </w:tc>
        <w:tc>
          <w:tcPr>
            <w:tcW w:type="pct" w:w="32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Specification Details</w:t>
            </w:r>
          </w:p>
        </w:tc>
      </w:tr>
      <w:tr>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Document Identifier</w:t>
            </w:r>
          </w:p>
        </w:tc>
        <w:tc>
          <w:tcPr>
            <w:tcW w:type="pct" w:w="3250"/>
            <w:shd w:fill="FFFFFF" w:val="clear"/>
            <w:tcMar>
              <w:top w:type="dxa" w:w="100"/>
              <w:left w:type="dxa" w:w="140"/>
              <w:bottom w:type="dxa" w:w="100"/>
              <w:right w:type="dxa" w:w="140"/>
            </w:tcMar>
          </w:tcPr>
          <w:p>
            <w:r>
              <w:rPr>
                <w:rFonts w:ascii="Calibri" w:cs="Calibri" w:eastAsia="Calibri" w:hAnsi="Calibri"/>
                <w:color w:val="334155"/>
                <w:sz w:val="20"/>
                <w:szCs w:val="20"/>
              </w:rPr>
              <w:t xml:space="preserve">BRD-DRD-STEM-SPARK-2026-V2.4</w:t>
            </w:r>
          </w:p>
        </w:tc>
      </w:tr>
      <w:tr>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Project Sponsor</w:t>
            </w:r>
          </w:p>
        </w:tc>
        <w:tc>
          <w:tcPr>
            <w:tcW w:type="pct" w:w="3250"/>
            <w:shd w:fill="F8FAFC" w:val="clear"/>
            <w:tcMar>
              <w:top w:type="dxa" w:w="100"/>
              <w:left w:type="dxa" w:w="140"/>
              <w:bottom w:type="dxa" w:w="100"/>
              <w:right w:type="dxa" w:w="140"/>
            </w:tcMar>
          </w:tcPr>
          <w:p>
            <w:r>
              <w:rPr>
                <w:rFonts w:ascii="Calibri" w:cs="Calibri" w:eastAsia="Calibri" w:hAnsi="Calibri"/>
                <w:color w:val="334155"/>
                <w:sz w:val="20"/>
                <w:szCs w:val="20"/>
              </w:rPr>
              <w:t xml:space="preserve">Ministry of Education / Science Curriculum Directorate &amp; EdTech Consortium</w:t>
            </w:r>
          </w:p>
        </w:tc>
      </w:tr>
      <w:tr>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Lead Systems Architect</w:t>
            </w:r>
          </w:p>
        </w:tc>
        <w:tc>
          <w:tcPr>
            <w:tcW w:type="pct" w:w="3250"/>
            <w:shd w:fill="FFFFFF" w:val="clear"/>
            <w:tcMar>
              <w:top w:type="dxa" w:w="100"/>
              <w:left w:type="dxa" w:w="140"/>
              <w:bottom w:type="dxa" w:w="100"/>
              <w:right w:type="dxa" w:w="140"/>
            </w:tcMar>
          </w:tcPr>
          <w:p>
            <w:r>
              <w:rPr>
                <w:rFonts w:ascii="Calibri" w:cs="Calibri" w:eastAsia="Calibri" w:hAnsi="Calibri"/>
                <w:color w:val="334155"/>
                <w:sz w:val="20"/>
                <w:szCs w:val="20"/>
              </w:rPr>
              <w:t xml:space="preserve">Principal AI &amp; Virtual Simulation Engineering Team</w:t>
            </w:r>
          </w:p>
        </w:tc>
      </w:tr>
      <w:tr>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Current Status &amp; Baseline</w:t>
            </w:r>
          </w:p>
        </w:tc>
        <w:tc>
          <w:tcPr>
            <w:tcW w:type="pct" w:w="3250"/>
            <w:shd w:fill="F8FAFC" w:val="clear"/>
            <w:tcMar>
              <w:top w:type="dxa" w:w="100"/>
              <w:left w:type="dxa" w:w="140"/>
              <w:bottom w:type="dxa" w:w="100"/>
              <w:right w:type="dxa" w:w="140"/>
            </w:tcMar>
          </w:tcPr>
          <w:p>
            <w:r>
              <w:rPr>
                <w:rFonts w:ascii="Calibri" w:cs="Calibri" w:eastAsia="Calibri" w:hAnsi="Calibri"/>
                <w:color w:val="334155"/>
                <w:sz w:val="20"/>
                <w:szCs w:val="20"/>
              </w:rPr>
              <w:t xml:space="preserve">APPROVED - Production Architecture &amp; Implementation Baseline v2.4</w:t>
            </w:r>
          </w:p>
        </w:tc>
      </w:tr>
      <w:tr>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Target Target Platform</w:t>
            </w:r>
          </w:p>
        </w:tc>
        <w:tc>
          <w:tcPr>
            <w:tcW w:type="pct" w:w="3250"/>
            <w:shd w:fill="FFFFFF" w:val="clear"/>
            <w:tcMar>
              <w:top w:type="dxa" w:w="100"/>
              <w:left w:type="dxa" w:w="140"/>
              <w:bottom w:type="dxa" w:w="100"/>
              <w:right w:type="dxa" w:w="140"/>
            </w:tcMar>
          </w:tcPr>
          <w:p>
            <w:r>
              <w:rPr>
                <w:rFonts w:ascii="Calibri" w:cs="Calibri" w:eastAsia="Calibri" w:hAnsi="Calibri"/>
                <w:color w:val="334155"/>
                <w:sz w:val="20"/>
                <w:szCs w:val="20"/>
              </w:rPr>
              <w:t xml:space="preserve">Web SPA / Progressive Responsive Canvas / Full-Stack Enterprise Cloud</w:t>
            </w:r>
          </w:p>
        </w:tc>
      </w:tr>
      <w:tr>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Target Secondary Subjects</w:t>
            </w:r>
          </w:p>
        </w:tc>
        <w:tc>
          <w:tcPr>
            <w:tcW w:type="pct" w:w="3250"/>
            <w:shd w:fill="F8FAFC" w:val="clear"/>
            <w:tcMar>
              <w:top w:type="dxa" w:w="100"/>
              <w:left w:type="dxa" w:w="140"/>
              <w:bottom w:type="dxa" w:w="100"/>
              <w:right w:type="dxa" w:w="140"/>
            </w:tcMar>
          </w:tcPr>
          <w:p>
            <w:r>
              <w:rPr>
                <w:rFonts w:ascii="Calibri" w:cs="Calibri" w:eastAsia="Calibri" w:hAnsi="Calibri"/>
                <w:color w:val="334155"/>
                <w:sz w:val="20"/>
                <w:szCs w:val="20"/>
              </w:rPr>
              <w:t xml:space="preserve">Chemistry (233/3), Physics (232/3), Biology (231/3) Practical Examinations</w:t>
            </w:r>
          </w:p>
        </w:tc>
      </w:tr>
    </w:tbl>
    <w:p>
      <w:pPr>
        <w:spacing w:before="360"/>
      </w:pPr>
    </w:p>
    <w:p>
      <w:pPr>
        <w:pStyle w:val="Heading1"/>
        <w:spacing w:after="120" w:before="280"/>
      </w:pPr>
      <w:r>
        <w:rPr>
          <w:rFonts w:ascii="Calibri" w:cs="Calibri" w:eastAsia="Calibri" w:hAnsi="Calibri"/>
          <w:b/>
          <w:bCs/>
          <w:color w:val="0F172A"/>
        </w:rPr>
        <w:t xml:space="preserve">1. Executive Summary &amp; Business Case</w:t>
      </w:r>
    </w:p>
    <w:p>
      <w:pPr>
        <w:spacing w:after="100" w:before="60" w:line="276"/>
      </w:pPr>
      <w:r>
        <w:rPr>
          <w:rFonts w:ascii="Calibri" w:cs="Calibri" w:eastAsia="Calibri" w:hAnsi="Calibri"/>
          <w:color w:val="334155"/>
          <w:sz w:val="22"/>
          <w:szCs w:val="22"/>
        </w:rPr>
        <w:t xml:space="preserve">In secondary educational systems across developing and emerging economies—exemplified by the Kenya Certificate of Secondary Education (KCSE)—over 74% of secondary schools lack adequately equipped physical science laboratories with sufficient reagents, calibrated burettes, analytical balances, pipettes, and safety containment. Consequently, tens of thousands of candidates sit for national practical science examinations (Chemistry Paper 3, Physics Paper 3, Biology Paper 3) having never independently operated a volumetric burette or observed quantitative acid-base endpoints.</w:t>
      </w:r>
    </w:p>
    <w:p>
      <w:pPr>
        <w:spacing w:after="100" w:before="60" w:line="276"/>
      </w:pPr>
      <w:r>
        <w:rPr>
          <w:rFonts w:ascii="Calibri" w:cs="Calibri" w:eastAsia="Calibri" w:hAnsi="Calibri"/>
          <w:color w:val="334155"/>
          <w:sz w:val="22"/>
          <w:szCs w:val="22"/>
        </w:rPr>
        <w:t xml:space="preserve">STEM-SPARK-LAB resolves this national educational disparity by delivering a high-fidelity, interactive, browser-based virtual science laboratory. The platform enables science educators to instantly convert unstructured teacher practical instructions, past exam papers, or handwritten notes into fully interactive, simulated laboratory workstations utilizing multimodal AI parsing. Students execute realistic hands-on experiments—calibrating apparatus, dispensing titrants, titrating to stoichiometric equivalence with live color indicators, recording multi-trial experimental tables, and submitting completed worksheets for automated algorithmic and heuristic grading.</w:t>
      </w:r>
    </w:p>
    <w:p>
      <w:pPr>
        <w:spacing w:after="6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before="40"/>
        <w:jc w:val="center"/>
      </w:pPr>
      <w:r>
        <w:rPr>
          <w:rFonts w:ascii="Calibri" w:cs="Calibri" w:eastAsia="Calibri" w:hAnsi="Calibri"/>
          <w:i/>
          <w:iCs/>
          <w:color w:val="64748B"/>
          <w:sz w:val="19"/>
          <w:szCs w:val="19"/>
        </w:rPr>
        <w:t xml:space="preserve">Figure 1.1: STEM-SPARK Virtual Science Laboratory — Universal Interactive Workbench Architecture and Apparatus Staging Area</w:t>
      </w:r>
    </w:p>
    <w:p>
      <w:pPr>
        <w:pStyle w:val="Heading1"/>
        <w:spacing w:after="120" w:before="280"/>
      </w:pPr>
      <w:r>
        <w:rPr>
          <w:rFonts w:ascii="Calibri" w:cs="Calibri" w:eastAsia="Calibri" w:hAnsi="Calibri"/>
          <w:b/>
          <w:bCs/>
          <w:color w:val="0F172A"/>
        </w:rPr>
        <w:t xml:space="preserve">2. Stakeholder Ecosystem &amp; User Personas</w:t>
      </w:r>
    </w:p>
    <w:p>
      <w:pPr>
        <w:spacing w:after="100" w:before="60" w:line="276"/>
      </w:pPr>
      <w:r>
        <w:rPr>
          <w:rFonts w:ascii="Calibri" w:cs="Calibri" w:eastAsia="Calibri" w:hAnsi="Calibri"/>
          <w:color w:val="334155"/>
          <w:sz w:val="22"/>
          <w:szCs w:val="22"/>
        </w:rPr>
        <w:t xml:space="preserve">The platform operates as an enterprise multi-tenant system serving five distinct user roles with strict Role-Based Access Control (RBAC):</w:t>
      </w:r>
    </w:p>
    <w:p>
      <w:pPr>
        <w:pStyle w:val="Heading2"/>
        <w:spacing w:after="80" w:before="200"/>
      </w:pPr>
      <w:r>
        <w:rPr>
          <w:rFonts w:ascii="Calibri" w:cs="Calibri" w:eastAsia="Calibri" w:hAnsi="Calibri"/>
          <w:b/>
          <w:bCs/>
          <w:color w:val="1E40AF"/>
        </w:rPr>
        <w:t xml:space="preserve">2.1 User Persona Matrix</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1625"/>
        <w:gridCol w:w="1986"/>
        <w:gridCol w:w="3610"/>
        <w:gridCol w:w="1805"/>
      </w:tblGrid>
      <w:tr>
        <w:tc>
          <w:tcPr>
            <w:tcW w:type="pct" w:w="90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Role</w:t>
            </w:r>
          </w:p>
        </w:tc>
        <w:tc>
          <w:tcPr>
            <w:tcW w:type="pct" w:w="110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Primary Persona</w:t>
            </w:r>
          </w:p>
        </w:tc>
        <w:tc>
          <w:tcPr>
            <w:tcW w:type="pct" w:w="200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Core Responsibilities &amp; Workflow</w:t>
            </w:r>
          </w:p>
        </w:tc>
        <w:tc>
          <w:tcPr>
            <w:tcW w:type="pct" w:w="100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Access Permissions</w:t>
            </w:r>
          </w:p>
        </w:tc>
      </w:tr>
      <w:tr>
        <w:tc>
          <w:tcPr>
            <w:tcW w:type="pct" w:w="900"/>
            <w:shd w:fill="FFFFFF" w:val="clear"/>
            <w:tcMar>
              <w:top w:type="dxa" w:w="100"/>
              <w:left w:type="dxa" w:w="140"/>
              <w:bottom w:type="dxa" w:w="100"/>
              <w:right w:type="dxa" w:w="140"/>
            </w:tcMar>
          </w:tcPr>
          <w:p>
            <w:r>
              <w:rPr>
                <w:rFonts w:ascii="Calibri" w:cs="Calibri" w:eastAsia="Calibri" w:hAnsi="Calibri"/>
                <w:color w:val="334155"/>
                <w:sz w:val="20"/>
                <w:szCs w:val="20"/>
              </w:rPr>
              <w:t xml:space="preserve">Super Admin</w:t>
            </w:r>
          </w:p>
        </w:tc>
        <w:tc>
          <w:tcPr>
            <w:tcW w:type="pct" w:w="1100"/>
            <w:shd w:fill="FFFFFF" w:val="clear"/>
            <w:tcMar>
              <w:top w:type="dxa" w:w="100"/>
              <w:left w:type="dxa" w:w="140"/>
              <w:bottom w:type="dxa" w:w="100"/>
              <w:right w:type="dxa" w:w="140"/>
            </w:tcMar>
          </w:tcPr>
          <w:p>
            <w:r>
              <w:rPr>
                <w:rFonts w:ascii="Calibri" w:cs="Calibri" w:eastAsia="Calibri" w:hAnsi="Calibri"/>
                <w:color w:val="334155"/>
                <w:sz w:val="20"/>
                <w:szCs w:val="20"/>
              </w:rPr>
              <w:t xml:space="preserve">Ministry / EdTech Platform Director</w:t>
            </w:r>
          </w:p>
        </w:tc>
        <w:tc>
          <w:tcPr>
            <w:tcW w:type="pct" w:w="2000"/>
            <w:shd w:fill="FFFFFF" w:val="clear"/>
            <w:tcMar>
              <w:top w:type="dxa" w:w="100"/>
              <w:left w:type="dxa" w:w="140"/>
              <w:bottom w:type="dxa" w:w="100"/>
              <w:right w:type="dxa" w:w="140"/>
            </w:tcMar>
          </w:tcPr>
          <w:p>
            <w:r>
              <w:rPr>
                <w:rFonts w:ascii="Calibri" w:cs="Calibri" w:eastAsia="Calibri" w:hAnsi="Calibri"/>
                <w:color w:val="334155"/>
                <w:sz w:val="20"/>
                <w:szCs w:val="20"/>
              </w:rPr>
              <w:t xml:space="preserve">School provisioning, institutional licensing, curriculum master benchmark management, global audit logs.</w:t>
            </w:r>
          </w:p>
        </w:tc>
        <w:tc>
          <w:tcPr>
            <w:tcW w:type="pct" w:w="1000"/>
            <w:shd w:fill="FFFFFF" w:val="clear"/>
            <w:tcMar>
              <w:top w:type="dxa" w:w="100"/>
              <w:left w:type="dxa" w:w="140"/>
              <w:bottom w:type="dxa" w:w="100"/>
              <w:right w:type="dxa" w:w="140"/>
            </w:tcMar>
          </w:tcPr>
          <w:p>
            <w:r>
              <w:rPr>
                <w:rFonts w:ascii="Calibri" w:cs="Calibri" w:eastAsia="Calibri" w:hAnsi="Calibri"/>
                <w:color w:val="334155"/>
                <w:sz w:val="20"/>
                <w:szCs w:val="20"/>
              </w:rPr>
              <w:t xml:space="preserve">Full System Access (Tenant isolation override)</w:t>
            </w:r>
          </w:p>
        </w:tc>
      </w:tr>
      <w:tr>
        <w:tc>
          <w:tcPr>
            <w:tcW w:type="pct" w:w="900"/>
            <w:shd w:fill="F8FAFC" w:val="clear"/>
            <w:tcMar>
              <w:top w:type="dxa" w:w="100"/>
              <w:left w:type="dxa" w:w="140"/>
              <w:bottom w:type="dxa" w:w="100"/>
              <w:right w:type="dxa" w:w="140"/>
            </w:tcMar>
          </w:tcPr>
          <w:p>
            <w:r>
              <w:rPr>
                <w:rFonts w:ascii="Calibri" w:cs="Calibri" w:eastAsia="Calibri" w:hAnsi="Calibri"/>
                <w:color w:val="334155"/>
                <w:sz w:val="20"/>
                <w:szCs w:val="20"/>
              </w:rPr>
              <w:t xml:space="preserve">School Admin / HOD</w:t>
            </w:r>
          </w:p>
        </w:tc>
        <w:tc>
          <w:tcPr>
            <w:tcW w:type="pct" w:w="1100"/>
            <w:shd w:fill="F8FAFC" w:val="clear"/>
            <w:tcMar>
              <w:top w:type="dxa" w:w="100"/>
              <w:left w:type="dxa" w:w="140"/>
              <w:bottom w:type="dxa" w:w="100"/>
              <w:right w:type="dxa" w:w="140"/>
            </w:tcMar>
          </w:tcPr>
          <w:p>
            <w:r>
              <w:rPr>
                <w:rFonts w:ascii="Calibri" w:cs="Calibri" w:eastAsia="Calibri" w:hAnsi="Calibri"/>
                <w:color w:val="334155"/>
                <w:sz w:val="20"/>
                <w:szCs w:val="20"/>
              </w:rPr>
              <w:t xml:space="preserve">Science Department Head / Principal</w:t>
            </w:r>
          </w:p>
        </w:tc>
        <w:tc>
          <w:tcPr>
            <w:tcW w:type="pct" w:w="2000"/>
            <w:shd w:fill="F8FAFC" w:val="clear"/>
            <w:tcMar>
              <w:top w:type="dxa" w:w="100"/>
              <w:left w:type="dxa" w:w="140"/>
              <w:bottom w:type="dxa" w:w="100"/>
              <w:right w:type="dxa" w:w="140"/>
            </w:tcMar>
          </w:tcPr>
          <w:p>
            <w:r>
              <w:rPr>
                <w:rFonts w:ascii="Calibri" w:cs="Calibri" w:eastAsia="Calibri" w:hAnsi="Calibri"/>
                <w:color w:val="334155"/>
                <w:sz w:val="20"/>
                <w:szCs w:val="20"/>
              </w:rPr>
              <w:t xml:space="preserve">Teacher onboarding, class stream creation, student enrollment, department-wide pass rate analytics.</w:t>
            </w:r>
          </w:p>
        </w:tc>
        <w:tc>
          <w:tcPr>
            <w:tcW w:type="pct" w:w="1000"/>
            <w:shd w:fill="F8FAFC" w:val="clear"/>
            <w:tcMar>
              <w:top w:type="dxa" w:w="100"/>
              <w:left w:type="dxa" w:w="140"/>
              <w:bottom w:type="dxa" w:w="100"/>
              <w:right w:type="dxa" w:w="140"/>
            </w:tcMar>
          </w:tcPr>
          <w:p>
            <w:r>
              <w:rPr>
                <w:rFonts w:ascii="Calibri" w:cs="Calibri" w:eastAsia="Calibri" w:hAnsi="Calibri"/>
                <w:color w:val="334155"/>
                <w:sz w:val="20"/>
                <w:szCs w:val="20"/>
              </w:rPr>
              <w:t xml:space="preserve">Institution Tenant Scope (CRUD within School)</w:t>
            </w:r>
          </w:p>
        </w:tc>
      </w:tr>
      <w:tr>
        <w:tc>
          <w:tcPr>
            <w:tcW w:type="pct" w:w="900"/>
            <w:shd w:fill="FFFFFF" w:val="clear"/>
            <w:tcMar>
              <w:top w:type="dxa" w:w="100"/>
              <w:left w:type="dxa" w:w="140"/>
              <w:bottom w:type="dxa" w:w="100"/>
              <w:right w:type="dxa" w:w="140"/>
            </w:tcMar>
          </w:tcPr>
          <w:p>
            <w:r>
              <w:rPr>
                <w:rFonts w:ascii="Calibri" w:cs="Calibri" w:eastAsia="Calibri" w:hAnsi="Calibri"/>
                <w:color w:val="334155"/>
                <w:sz w:val="20"/>
                <w:szCs w:val="20"/>
              </w:rPr>
              <w:t xml:space="preserve">Science Teacher</w:t>
            </w:r>
          </w:p>
        </w:tc>
        <w:tc>
          <w:tcPr>
            <w:tcW w:type="pct" w:w="1100"/>
            <w:shd w:fill="FFFFFF" w:val="clear"/>
            <w:tcMar>
              <w:top w:type="dxa" w:w="100"/>
              <w:left w:type="dxa" w:w="140"/>
              <w:bottom w:type="dxa" w:w="100"/>
              <w:right w:type="dxa" w:w="140"/>
            </w:tcMar>
          </w:tcPr>
          <w:p>
            <w:r>
              <w:rPr>
                <w:rFonts w:ascii="Calibri" w:cs="Calibri" w:eastAsia="Calibri" w:hAnsi="Calibri"/>
                <w:color w:val="334155"/>
                <w:sz w:val="20"/>
                <w:szCs w:val="20"/>
              </w:rPr>
              <w:t xml:space="preserve">Chemistry / Physics / Bio Instructor</w:t>
            </w:r>
          </w:p>
        </w:tc>
        <w:tc>
          <w:tcPr>
            <w:tcW w:type="pct" w:w="2000"/>
            <w:shd w:fill="FFFFFF" w:val="clear"/>
            <w:tcMar>
              <w:top w:type="dxa" w:w="100"/>
              <w:left w:type="dxa" w:w="140"/>
              <w:bottom w:type="dxa" w:w="100"/>
              <w:right w:type="dxa" w:w="140"/>
            </w:tcMar>
          </w:tcPr>
          <w:p>
            <w:r>
              <w:rPr>
                <w:rFonts w:ascii="Calibri" w:cs="Calibri" w:eastAsia="Calibri" w:hAnsi="Calibri"/>
                <w:color w:val="334155"/>
                <w:sz w:val="20"/>
                <w:szCs w:val="20"/>
              </w:rPr>
              <w:t xml:space="preserve">AI-powered experiment creation, apparatus configuration, assignment publishing, manual grade overrides, student feedback.</w:t>
            </w:r>
          </w:p>
        </w:tc>
        <w:tc>
          <w:tcPr>
            <w:tcW w:type="pct" w:w="1000"/>
            <w:shd w:fill="FFFFFF" w:val="clear"/>
            <w:tcMar>
              <w:top w:type="dxa" w:w="100"/>
              <w:left w:type="dxa" w:w="140"/>
              <w:bottom w:type="dxa" w:w="100"/>
              <w:right w:type="dxa" w:w="140"/>
            </w:tcMar>
          </w:tcPr>
          <w:p>
            <w:r>
              <w:rPr>
                <w:rFonts w:ascii="Calibri" w:cs="Calibri" w:eastAsia="Calibri" w:hAnsi="Calibri"/>
                <w:color w:val="334155"/>
                <w:sz w:val="20"/>
                <w:szCs w:val="20"/>
              </w:rPr>
              <w:t xml:space="preserve">Class &amp; Assignment Level Read/Write</w:t>
            </w:r>
          </w:p>
        </w:tc>
      </w:tr>
      <w:tr>
        <w:tc>
          <w:tcPr>
            <w:tcW w:type="pct" w:w="900"/>
            <w:shd w:fill="F8FAFC" w:val="clear"/>
            <w:tcMar>
              <w:top w:type="dxa" w:w="100"/>
              <w:left w:type="dxa" w:w="140"/>
              <w:bottom w:type="dxa" w:w="100"/>
              <w:right w:type="dxa" w:w="140"/>
            </w:tcMar>
          </w:tcPr>
          <w:p>
            <w:r>
              <w:rPr>
                <w:rFonts w:ascii="Calibri" w:cs="Calibri" w:eastAsia="Calibri" w:hAnsi="Calibri"/>
                <w:color w:val="334155"/>
                <w:sz w:val="20"/>
                <w:szCs w:val="20"/>
              </w:rPr>
              <w:t xml:space="preserve">Student Candidate</w:t>
            </w:r>
          </w:p>
        </w:tc>
        <w:tc>
          <w:tcPr>
            <w:tcW w:type="pct" w:w="1100"/>
            <w:shd w:fill="F8FAFC" w:val="clear"/>
            <w:tcMar>
              <w:top w:type="dxa" w:w="100"/>
              <w:left w:type="dxa" w:w="140"/>
              <w:bottom w:type="dxa" w:w="100"/>
              <w:right w:type="dxa" w:w="140"/>
            </w:tcMar>
          </w:tcPr>
          <w:p>
            <w:r>
              <w:rPr>
                <w:rFonts w:ascii="Calibri" w:cs="Calibri" w:eastAsia="Calibri" w:hAnsi="Calibri"/>
                <w:color w:val="334155"/>
                <w:sz w:val="20"/>
                <w:szCs w:val="20"/>
              </w:rPr>
              <w:t xml:space="preserve">Form 1-4 Secondary School Learner</w:t>
            </w:r>
          </w:p>
        </w:tc>
        <w:tc>
          <w:tcPr>
            <w:tcW w:type="pct" w:w="2000"/>
            <w:shd w:fill="F8FAFC" w:val="clear"/>
            <w:tcMar>
              <w:top w:type="dxa" w:w="100"/>
              <w:left w:type="dxa" w:w="140"/>
              <w:bottom w:type="dxa" w:w="100"/>
              <w:right w:type="dxa" w:w="140"/>
            </w:tcMar>
          </w:tcPr>
          <w:p>
            <w:r>
              <w:rPr>
                <w:rFonts w:ascii="Calibri" w:cs="Calibri" w:eastAsia="Calibri" w:hAnsi="Calibri"/>
                <w:color w:val="334155"/>
                <w:sz w:val="20"/>
                <w:szCs w:val="20"/>
              </w:rPr>
              <w:t xml:space="preserve">Experiment execution, burette tapping, pipette filling, recording observation data tables, answering structured theoretical questions.</w:t>
            </w:r>
          </w:p>
        </w:tc>
        <w:tc>
          <w:tcPr>
            <w:tcW w:type="pct" w:w="1000"/>
            <w:shd w:fill="F8FAFC" w:val="clear"/>
            <w:tcMar>
              <w:top w:type="dxa" w:w="100"/>
              <w:left w:type="dxa" w:w="140"/>
              <w:bottom w:type="dxa" w:w="100"/>
              <w:right w:type="dxa" w:w="140"/>
            </w:tcMar>
          </w:tcPr>
          <w:p>
            <w:r>
              <w:rPr>
                <w:rFonts w:ascii="Calibri" w:cs="Calibri" w:eastAsia="Calibri" w:hAnsi="Calibri"/>
                <w:color w:val="334155"/>
                <w:sz w:val="20"/>
                <w:szCs w:val="20"/>
              </w:rPr>
              <w:t xml:space="preserve">Execution &amp; Submission Scope</w:t>
            </w:r>
          </w:p>
        </w:tc>
      </w:tr>
      <w:tr>
        <w:tc>
          <w:tcPr>
            <w:tcW w:type="pct" w:w="900"/>
            <w:shd w:fill="FFFFFF" w:val="clear"/>
            <w:tcMar>
              <w:top w:type="dxa" w:w="100"/>
              <w:left w:type="dxa" w:w="140"/>
              <w:bottom w:type="dxa" w:w="100"/>
              <w:right w:type="dxa" w:w="140"/>
            </w:tcMar>
          </w:tcPr>
          <w:p>
            <w:r>
              <w:rPr>
                <w:rFonts w:ascii="Calibri" w:cs="Calibri" w:eastAsia="Calibri" w:hAnsi="Calibri"/>
                <w:color w:val="334155"/>
                <w:sz w:val="20"/>
                <w:szCs w:val="20"/>
              </w:rPr>
              <w:t xml:space="preserve">External Auditor / KNEC Examiner</w:t>
            </w:r>
          </w:p>
        </w:tc>
        <w:tc>
          <w:tcPr>
            <w:tcW w:type="pct" w:w="1100"/>
            <w:shd w:fill="FFFFFF" w:val="clear"/>
            <w:tcMar>
              <w:top w:type="dxa" w:w="100"/>
              <w:left w:type="dxa" w:w="140"/>
              <w:bottom w:type="dxa" w:w="100"/>
              <w:right w:type="dxa" w:w="140"/>
            </w:tcMar>
          </w:tcPr>
          <w:p>
            <w:r>
              <w:rPr>
                <w:rFonts w:ascii="Calibri" w:cs="Calibri" w:eastAsia="Calibri" w:hAnsi="Calibri"/>
                <w:color w:val="334155"/>
                <w:sz w:val="20"/>
                <w:szCs w:val="20"/>
              </w:rPr>
              <w:t xml:space="preserve">National Examiner / Quality Assurance</w:t>
            </w:r>
          </w:p>
        </w:tc>
        <w:tc>
          <w:tcPr>
            <w:tcW w:type="pct" w:w="2000"/>
            <w:shd w:fill="FFFFFF" w:val="clear"/>
            <w:tcMar>
              <w:top w:type="dxa" w:w="100"/>
              <w:left w:type="dxa" w:w="140"/>
              <w:bottom w:type="dxa" w:w="100"/>
              <w:right w:type="dxa" w:w="140"/>
            </w:tcMar>
          </w:tcPr>
          <w:p>
            <w:r>
              <w:rPr>
                <w:rFonts w:ascii="Calibri" w:cs="Calibri" w:eastAsia="Calibri" w:hAnsi="Calibri"/>
                <w:color w:val="334155"/>
                <w:sz w:val="20"/>
                <w:szCs w:val="20"/>
              </w:rPr>
              <w:t xml:space="preserve">Standardized benchmarking, rubric verification, performance moderation, compliance reporting.</w:t>
            </w:r>
          </w:p>
        </w:tc>
        <w:tc>
          <w:tcPr>
            <w:tcW w:type="pct" w:w="1000"/>
            <w:shd w:fill="FFFFFF" w:val="clear"/>
            <w:tcMar>
              <w:top w:type="dxa" w:w="100"/>
              <w:left w:type="dxa" w:w="140"/>
              <w:bottom w:type="dxa" w:w="100"/>
              <w:right w:type="dxa" w:w="140"/>
            </w:tcMar>
          </w:tcPr>
          <w:p>
            <w:r>
              <w:rPr>
                <w:rFonts w:ascii="Calibri" w:cs="Calibri" w:eastAsia="Calibri" w:hAnsi="Calibri"/>
                <w:color w:val="334155"/>
                <w:sz w:val="20"/>
                <w:szCs w:val="20"/>
              </w:rPr>
              <w:t xml:space="preserve">Read-Only Cross-Institution Analytics</w:t>
            </w:r>
          </w:p>
        </w:tc>
      </w:tr>
    </w:tbl>
    <w:p>
      <w:pPr>
        <w:pStyle w:val="Heading1"/>
        <w:spacing w:after="120" w:before="280"/>
      </w:pPr>
      <w:r>
        <w:rPr>
          <w:rFonts w:ascii="Calibri" w:cs="Calibri" w:eastAsia="Calibri" w:hAnsi="Calibri"/>
          <w:b/>
          <w:bCs/>
          <w:color w:val="0F172A"/>
        </w:rPr>
        <w:t xml:space="preserve">3. End-to-End Business Process Flows &amp; User Journeys</w:t>
      </w:r>
    </w:p>
    <w:p>
      <w:pPr>
        <w:spacing w:after="100" w:before="60" w:line="276"/>
      </w:pPr>
      <w:r>
        <w:rPr>
          <w:rFonts w:ascii="Calibri" w:cs="Calibri" w:eastAsia="Calibri" w:hAnsi="Calibri"/>
          <w:color w:val="334155"/>
          <w:sz w:val="22"/>
          <w:szCs w:val="22"/>
        </w:rPr>
        <w:t xml:space="preserve">The platform lifecycle is organized into three macro workflows spanning creation, interactive execution, and assessment intelligence. Each workflow step below includes architectural interface captures illustrating the software operational flow.</w:t>
      </w:r>
    </w:p>
    <w:p>
      <w:pPr>
        <w:pStyle w:val="Heading2"/>
        <w:spacing w:after="80" w:before="200"/>
      </w:pPr>
      <w:r>
        <w:rPr>
          <w:rFonts w:ascii="Calibri" w:cs="Calibri" w:eastAsia="Calibri" w:hAnsi="Calibri"/>
          <w:b/>
          <w:bCs/>
          <w:color w:val="1E40AF"/>
        </w:rPr>
        <w:t xml:space="preserve">3.1 Workflow A: Teacher AI Experiment Creation &amp; Apparatus Synthesis</w:t>
      </w:r>
    </w:p>
    <w:p>
      <w:pPr>
        <w:pStyle w:val="ListParagraph"/>
        <w:numPr>
          <w:ilvl w:val="0"/>
          <w:numId w:val="1"/>
        </w:numPr>
        <w:spacing w:after="60" w:before="40"/>
      </w:pPr>
      <w:r>
        <w:rPr>
          <w:rFonts w:ascii="Calibri" w:cs="Calibri" w:eastAsia="Calibri" w:hAnsi="Calibri"/>
          <w:b/>
          <w:bCs/>
          <w:color w:val="0F172A"/>
          <w:sz w:val="22"/>
          <w:szCs w:val="22"/>
        </w:rPr>
        <w:t xml:space="preserve">Step 1 (Raw Input): </w:t>
      </w:r>
      <w:r>
        <w:rPr>
          <w:rFonts w:ascii="Calibri" w:cs="Calibri" w:eastAsia="Calibri" w:hAnsi="Calibri"/>
          <w:color w:val="334155"/>
          <w:sz w:val="22"/>
          <w:szCs w:val="22"/>
        </w:rPr>
        <w:t xml:space="preserve">The teacher accesses the Experiment Studio and either types raw lab instructions, pastes past exam papers, or uploads past test sheets.</w:t>
      </w:r>
    </w:p>
    <w:p>
      <w:pPr>
        <w:pStyle w:val="ListParagraph"/>
        <w:numPr>
          <w:ilvl w:val="0"/>
          <w:numId w:val="1"/>
        </w:numPr>
        <w:spacing w:after="60" w:before="40"/>
      </w:pPr>
      <w:r>
        <w:rPr>
          <w:rFonts w:ascii="Calibri" w:cs="Calibri" w:eastAsia="Calibri" w:hAnsi="Calibri"/>
          <w:b/>
          <w:bCs/>
          <w:color w:val="0F172A"/>
          <w:sz w:val="22"/>
          <w:szCs w:val="22"/>
        </w:rPr>
        <w:t xml:space="preserve">Step 2 (AI Processing &amp; Normalization): </w:t>
      </w:r>
      <w:r>
        <w:rPr>
          <w:rFonts w:ascii="Calibri" w:cs="Calibri" w:eastAsia="Calibri" w:hAnsi="Calibri"/>
          <w:color w:val="334155"/>
          <w:sz w:val="22"/>
          <w:szCs w:val="22"/>
        </w:rPr>
        <w:t xml:space="preserve">The system dispatches the prompt payload to the server-side AI parsing engine with strict heuristic normalization. The engine resolves common student/teacher typographic errors (e.g., "burrete" -&gt; Burette, "pippete" -&gt; Pipette, "hydrotide" -&gt; Hydroxide).</w:t>
      </w:r>
    </w:p>
    <w:p>
      <w:pPr>
        <w:pStyle w:val="ListParagraph"/>
        <w:numPr>
          <w:ilvl w:val="0"/>
          <w:numId w:val="1"/>
        </w:numPr>
        <w:spacing w:after="60" w:before="40"/>
      </w:pPr>
      <w:r>
        <w:rPr>
          <w:rFonts w:ascii="Calibri" w:cs="Calibri" w:eastAsia="Calibri" w:hAnsi="Calibri"/>
          <w:b/>
          <w:bCs/>
          <w:color w:val="0F172A"/>
          <w:sz w:val="22"/>
          <w:szCs w:val="22"/>
        </w:rPr>
        <w:t xml:space="preserve">Step 3 (Apparatus Disambiguation): </w:t>
      </w:r>
      <w:r>
        <w:rPr>
          <w:rFonts w:ascii="Calibri" w:cs="Calibri" w:eastAsia="Calibri" w:hAnsi="Calibri"/>
          <w:color w:val="334155"/>
          <w:sz w:val="22"/>
          <w:szCs w:val="22"/>
        </w:rPr>
        <w:t xml:space="preserve">The parser extracts Reagents (Solution M, Solution N, Solid X), Glassware (50ml Burette, 25ml Pipette, Conical Flask, White Tile), and Safety Indicators (Methyl Orange).</w:t>
      </w:r>
    </w:p>
    <w:p>
      <w:pPr>
        <w:pStyle w:val="ListParagraph"/>
        <w:numPr>
          <w:ilvl w:val="0"/>
          <w:numId w:val="1"/>
        </w:numPr>
        <w:spacing w:after="60" w:before="40"/>
      </w:pPr>
      <w:r>
        <w:rPr>
          <w:rFonts w:ascii="Calibri" w:cs="Calibri" w:eastAsia="Calibri" w:hAnsi="Calibri"/>
          <w:b/>
          <w:bCs/>
          <w:color w:val="0F172A"/>
          <w:sz w:val="22"/>
          <w:szCs w:val="22"/>
        </w:rPr>
        <w:t xml:space="preserve">Step 4 (Simulation Parameter Synthesis): </w:t>
      </w:r>
      <w:r>
        <w:rPr>
          <w:rFonts w:ascii="Calibri" w:cs="Calibri" w:eastAsia="Calibri" w:hAnsi="Calibri"/>
          <w:color w:val="334155"/>
          <w:sz w:val="22"/>
          <w:szCs w:val="22"/>
        </w:rPr>
        <w:t xml:space="preserve">The engine establishes simulation parameters: SimulationType = "titration", Initial Flask Color = "Yellow (#eab308)", Endpoint Color = "Orange/Pink (#f97316)", Equivalence Volume = 24.50 cm3.</w:t>
      </w:r>
    </w:p>
    <w:p>
      <w:pPr>
        <w:pStyle w:val="ListParagraph"/>
        <w:numPr>
          <w:ilvl w:val="0"/>
          <w:numId w:val="1"/>
        </w:numPr>
        <w:spacing w:after="60" w:before="40"/>
      </w:pPr>
      <w:r>
        <w:rPr>
          <w:rFonts w:ascii="Calibri" w:cs="Calibri" w:eastAsia="Calibri" w:hAnsi="Calibri"/>
          <w:b/>
          <w:bCs/>
          <w:color w:val="0F172A"/>
          <w:sz w:val="22"/>
          <w:szCs w:val="22"/>
        </w:rPr>
        <w:t xml:space="preserve">Step 5 (Assessment Blueprinting): </w:t>
      </w:r>
      <w:r>
        <w:rPr>
          <w:rFonts w:ascii="Calibri" w:cs="Calibri" w:eastAsia="Calibri" w:hAnsi="Calibri"/>
          <w:color w:val="334155"/>
          <w:sz w:val="22"/>
          <w:szCs w:val="22"/>
        </w:rPr>
        <w:t xml:space="preserve">A structured answer sheet and grading rubric are automatically generated with numerical tolerances (e.g. ±0.20 cm3 for titres, ±1.0 g/mol for RAM calculations).</w:t>
      </w:r>
    </w:p>
    <w:p>
      <w:pPr>
        <w:pStyle w:val="ListParagraph"/>
        <w:numPr>
          <w:ilvl w:val="0"/>
          <w:numId w:val="1"/>
        </w:numPr>
        <w:spacing w:after="60" w:before="40"/>
      </w:pPr>
      <w:r>
        <w:rPr>
          <w:rFonts w:ascii="Calibri" w:cs="Calibri" w:eastAsia="Calibri" w:hAnsi="Calibri"/>
          <w:b/>
          <w:bCs/>
          <w:color w:val="0F172A"/>
          <w:sz w:val="22"/>
          <w:szCs w:val="22"/>
        </w:rPr>
        <w:t xml:space="preserve">Step 6 (Review &amp; Publishing): </w:t>
      </w:r>
      <w:r>
        <w:rPr>
          <w:rFonts w:ascii="Calibri" w:cs="Calibri" w:eastAsia="Calibri" w:hAnsi="Calibri"/>
          <w:color w:val="334155"/>
          <w:sz w:val="22"/>
          <w:szCs w:val="22"/>
        </w:rPr>
        <w:t xml:space="preserve">The teacher reviews the generated workbench preview, fine-tunes any step or tolerance if needed, and publishes the assignment with a target due date.</w:t>
      </w:r>
    </w:p>
    <w:p>
      <w:pPr>
        <w:spacing w:after="60" w:before="200"/>
        <w:jc w:val="center"/>
      </w:pPr>
      <w:r>
        <w:drawing>
          <wp:inline distT="0" distB="0" distL="0" distR="0">
            <wp:extent cx="5143500" cy="2895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200" w:before="40"/>
        <w:jc w:val="center"/>
      </w:pPr>
      <w:r>
        <w:rPr>
          <w:rFonts w:ascii="Calibri" w:cs="Calibri" w:eastAsia="Calibri" w:hAnsi="Calibri"/>
          <w:i/>
          <w:iCs/>
          <w:color w:val="64748B"/>
          <w:sz w:val="19"/>
          <w:szCs w:val="19"/>
        </w:rPr>
        <w:t xml:space="preserve">Figure 3.1: Workflow A — Teacher AI Experiment Creation Studio showing natural language input, automated apparatus disambiguation (50ml Burette, 25ml Bulb Pipette, Conical Flask, Methyl Orange), and live interactive simulation synthesis.</w:t>
      </w:r>
    </w:p>
    <w:p>
      <w:pPr>
        <w:pStyle w:val="Heading2"/>
        <w:spacing w:after="80" w:before="200"/>
      </w:pPr>
      <w:r>
        <w:rPr>
          <w:rFonts w:ascii="Calibri" w:cs="Calibri" w:eastAsia="Calibri" w:hAnsi="Calibri"/>
          <w:b/>
          <w:bCs/>
          <w:color w:val="1E40AF"/>
        </w:rPr>
        <w:t xml:space="preserve">3.2 Workflow B: Student Interactive Virtual Lab Session</w:t>
      </w:r>
    </w:p>
    <w:p>
      <w:pPr>
        <w:pStyle w:val="ListParagraph"/>
        <w:numPr>
          <w:ilvl w:val="0"/>
          <w:numId w:val="1"/>
        </w:numPr>
        <w:spacing w:after="60" w:before="40"/>
      </w:pPr>
      <w:r>
        <w:rPr>
          <w:rFonts w:ascii="Calibri" w:cs="Calibri" w:eastAsia="Calibri" w:hAnsi="Calibri"/>
          <w:b/>
          <w:bCs/>
          <w:color w:val="0F172A"/>
          <w:sz w:val="22"/>
          <w:szCs w:val="22"/>
        </w:rPr>
        <w:t xml:space="preserve">Step 1 (Pre-Lab Induction): </w:t>
      </w:r>
      <w:r>
        <w:rPr>
          <w:rFonts w:ascii="Calibri" w:cs="Calibri" w:eastAsia="Calibri" w:hAnsi="Calibri"/>
          <w:color w:val="334155"/>
          <w:sz w:val="22"/>
          <w:szCs w:val="22"/>
        </w:rPr>
        <w:t xml:space="preserve">The student navigates to their student dashboard, selects the active assignment, and reviews safety guidelines and required apparatus.</w:t>
      </w:r>
    </w:p>
    <w:p>
      <w:pPr>
        <w:pStyle w:val="ListParagraph"/>
        <w:numPr>
          <w:ilvl w:val="0"/>
          <w:numId w:val="1"/>
        </w:numPr>
        <w:spacing w:after="60" w:before="40"/>
      </w:pPr>
      <w:r>
        <w:rPr>
          <w:rFonts w:ascii="Calibri" w:cs="Calibri" w:eastAsia="Calibri" w:hAnsi="Calibri"/>
          <w:b/>
          <w:bCs/>
          <w:color w:val="0F172A"/>
          <w:sz w:val="22"/>
          <w:szCs w:val="22"/>
        </w:rPr>
        <w:t xml:space="preserve">Step 2 (Workbench Assembly): </w:t>
      </w:r>
      <w:r>
        <w:rPr>
          <w:rFonts w:ascii="Calibri" w:cs="Calibri" w:eastAsia="Calibri" w:hAnsi="Calibri"/>
          <w:color w:val="334155"/>
          <w:sz w:val="22"/>
          <w:szCs w:val="22"/>
        </w:rPr>
        <w:t xml:space="preserve">The virtual laboratory renders the selected workbench (Universal Workbench or Dedicated Titration Rig). The apparatus rack displays only the relevant glassware and reagents.</w:t>
      </w:r>
    </w:p>
    <w:p>
      <w:pPr>
        <w:pStyle w:val="ListParagraph"/>
        <w:numPr>
          <w:ilvl w:val="0"/>
          <w:numId w:val="1"/>
        </w:numPr>
        <w:spacing w:after="60" w:before="40"/>
      </w:pPr>
      <w:r>
        <w:rPr>
          <w:rFonts w:ascii="Calibri" w:cs="Calibri" w:eastAsia="Calibri" w:hAnsi="Calibri"/>
          <w:b/>
          <w:bCs/>
          <w:color w:val="0F172A"/>
          <w:sz w:val="22"/>
          <w:szCs w:val="22"/>
        </w:rPr>
        <w:t xml:space="preserve">Step 3 (Pipetting &amp; Flask Preparation): </w:t>
      </w:r>
      <w:r>
        <w:rPr>
          <w:rFonts w:ascii="Calibri" w:cs="Calibri" w:eastAsia="Calibri" w:hAnsi="Calibri"/>
          <w:color w:val="334155"/>
          <w:sz w:val="22"/>
          <w:szCs w:val="22"/>
        </w:rPr>
        <w:t xml:space="preserve">The student operates the 25cm3 pipette to transfer 25.0 cm3 of Solution M (0.2M base) into the conical flask. The conical flask telemetry registers 25.0 mL.</w:t>
      </w:r>
    </w:p>
    <w:p>
      <w:pPr>
        <w:pStyle w:val="ListParagraph"/>
        <w:numPr>
          <w:ilvl w:val="0"/>
          <w:numId w:val="1"/>
        </w:numPr>
        <w:spacing w:after="60" w:before="40"/>
      </w:pPr>
      <w:r>
        <w:rPr>
          <w:rFonts w:ascii="Calibri" w:cs="Calibri" w:eastAsia="Calibri" w:hAnsi="Calibri"/>
          <w:b/>
          <w:bCs/>
          <w:color w:val="0F172A"/>
          <w:sz w:val="22"/>
          <w:szCs w:val="22"/>
        </w:rPr>
        <w:t xml:space="preserve">Step 4 (Indicator Reaction): </w:t>
      </w:r>
      <w:r>
        <w:rPr>
          <w:rFonts w:ascii="Calibri" w:cs="Calibri" w:eastAsia="Calibri" w:hAnsi="Calibri"/>
          <w:color w:val="334155"/>
          <w:sz w:val="22"/>
          <w:szCs w:val="22"/>
        </w:rPr>
        <w:t xml:space="preserve">The student adds 2-3 drops of Methyl Orange indicator into the conical flask. The solution instantly turns bright alkaline Yellow (#eab308).</w:t>
      </w:r>
    </w:p>
    <w:p>
      <w:pPr>
        <w:spacing w:after="60" w:before="200"/>
        <w:jc w:val="center"/>
      </w:pPr>
      <w:r>
        <w:drawing>
          <wp:inline distT="0" distB="0" distL="0" distR="0">
            <wp:extent cx="5143500" cy="2895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200" w:before="40"/>
        <w:jc w:val="center"/>
      </w:pPr>
      <w:r>
        <w:rPr>
          <w:rFonts w:ascii="Calibri" w:cs="Calibri" w:eastAsia="Calibri" w:hAnsi="Calibri"/>
          <w:i/>
          <w:iCs/>
          <w:color w:val="64748B"/>
          <w:sz w:val="19"/>
          <w:szCs w:val="19"/>
        </w:rPr>
        <w:t xml:space="preserve">Figure 3.2: Workflow B (Steps 1–4) — Volumetric Pipetting of 25.0 cm³ Solution M (0.2M NaOH) with Safety Pipette Filler Bulb into Conical Flask and Addition of Methyl Orange Indicator (Yellow Alkaline Coloration).</w:t>
      </w:r>
    </w:p>
    <w:p>
      <w:pPr>
        <w:pStyle w:val="ListParagraph"/>
        <w:numPr>
          <w:ilvl w:val="0"/>
          <w:numId w:val="1"/>
        </w:numPr>
        <w:spacing w:after="60" w:before="40"/>
      </w:pPr>
      <w:r>
        <w:rPr>
          <w:rFonts w:ascii="Calibri" w:cs="Calibri" w:eastAsia="Calibri" w:hAnsi="Calibri"/>
          <w:b/>
          <w:bCs/>
          <w:color w:val="0F172A"/>
          <w:sz w:val="22"/>
          <w:szCs w:val="22"/>
        </w:rPr>
        <w:t xml:space="preserve">Step 5 (Burette Priming &amp; Clamping): </w:t>
      </w:r>
      <w:r>
        <w:rPr>
          <w:rFonts w:ascii="Calibri" w:cs="Calibri" w:eastAsia="Calibri" w:hAnsi="Calibri"/>
          <w:color w:val="334155"/>
          <w:sz w:val="22"/>
          <w:szCs w:val="22"/>
        </w:rPr>
        <w:t xml:space="preserve">The student fills the 50.0 cm3 glass burette with Solution N (dilute HCl) to the 0.00 cm3 meniscus graduation mark on the clamped retort stand.</w:t>
      </w:r>
    </w:p>
    <w:p>
      <w:pPr>
        <w:pStyle w:val="ListParagraph"/>
        <w:numPr>
          <w:ilvl w:val="0"/>
          <w:numId w:val="1"/>
        </w:numPr>
        <w:spacing w:after="60" w:before="40"/>
      </w:pPr>
      <w:r>
        <w:rPr>
          <w:rFonts w:ascii="Calibri" w:cs="Calibri" w:eastAsia="Calibri" w:hAnsi="Calibri"/>
          <w:b/>
          <w:bCs/>
          <w:color w:val="0F172A"/>
          <w:sz w:val="22"/>
          <w:szCs w:val="22"/>
        </w:rPr>
        <w:t xml:space="preserve">Step 6 (Titration Execution): </w:t>
      </w:r>
      <w:r>
        <w:rPr>
          <w:rFonts w:ascii="Calibri" w:cs="Calibri" w:eastAsia="Calibri" w:hAnsi="Calibri"/>
          <w:color w:val="334155"/>
          <w:sz w:val="22"/>
          <w:szCs w:val="22"/>
        </w:rPr>
        <w:t xml:space="preserve">The student opens the stopcock (Rapid, Dropwise, or Micro-titration). Solution N flows into the conical flask on the white ceramic tile with realistic fluid vortex and swirling animation.</w:t>
      </w:r>
    </w:p>
    <w:p>
      <w:pPr>
        <w:spacing w:after="60" w:before="200"/>
        <w:jc w:val="center"/>
      </w:pPr>
      <w:r>
        <w:drawing>
          <wp:inline distT="0" distB="0" distL="0" distR="0">
            <wp:extent cx="5143500" cy="2895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200" w:before="40"/>
        <w:jc w:val="center"/>
      </w:pPr>
      <w:r>
        <w:rPr>
          <w:rFonts w:ascii="Calibri" w:cs="Calibri" w:eastAsia="Calibri" w:hAnsi="Calibri"/>
          <w:i/>
          <w:iCs/>
          <w:color w:val="64748B"/>
          <w:sz w:val="19"/>
          <w:szCs w:val="19"/>
        </w:rPr>
        <w:t xml:space="preserve">Figure 3.3: Workflow B (Steps 5–6) — 50.0 cm³ Calibrated Glass Burette Clamped to Retort Stand, Filled with Solution N (dilute HCl), Conical Flask on White Ceramic Tile, and Interactive Stopcock Flow Controls (Slow, Dropwise, Fast).</w:t>
      </w:r>
    </w:p>
    <w:p>
      <w:pPr>
        <w:pStyle w:val="ListParagraph"/>
        <w:numPr>
          <w:ilvl w:val="0"/>
          <w:numId w:val="1"/>
        </w:numPr>
        <w:spacing w:after="60" w:before="40"/>
      </w:pPr>
      <w:r>
        <w:rPr>
          <w:rFonts w:ascii="Calibri" w:cs="Calibri" w:eastAsia="Calibri" w:hAnsi="Calibri"/>
          <w:b/>
          <w:bCs/>
          <w:color w:val="0F172A"/>
          <w:sz w:val="22"/>
          <w:szCs w:val="22"/>
        </w:rPr>
        <w:t xml:space="preserve">Step 7 (Endpoint Transition &amp; Telemetry): </w:t>
      </w:r>
      <w:r>
        <w:rPr>
          <w:rFonts w:ascii="Calibri" w:cs="Calibri" w:eastAsia="Calibri" w:hAnsi="Calibri"/>
          <w:color w:val="334155"/>
          <w:sz w:val="22"/>
          <w:szCs w:val="22"/>
        </w:rPr>
        <w:t xml:space="preserve">At the stoichiometric equivalence point (approx. 24.50 cm3), the flask undergoes an instantaneous, permanent color shift to Orange / Salmon Pink (#f97316). If over-titrated, it turns distinct Magenta/Red.</w:t>
      </w:r>
    </w:p>
    <w:p>
      <w:pPr>
        <w:spacing w:after="60" w:before="200"/>
        <w:jc w:val="center"/>
      </w:pPr>
      <w:r>
        <w:drawing>
          <wp:inline distT="0" distB="0" distL="0" distR="0">
            <wp:extent cx="5143500" cy="2895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200" w:before="40"/>
        <w:jc w:val="center"/>
      </w:pPr>
      <w:r>
        <w:rPr>
          <w:rFonts w:ascii="Calibri" w:cs="Calibri" w:eastAsia="Calibri" w:hAnsi="Calibri"/>
          <w:i/>
          <w:iCs/>
          <w:color w:val="64748B"/>
          <w:sz w:val="19"/>
          <w:szCs w:val="19"/>
        </w:rPr>
        <w:t xml:space="preserve">Figure 3.4: Workflow B (Step 7) — Stoichiometric Equivalence Point Transition at 24.50 cm³, Observing Permanent Color Shift to Orange/Pink with Real-Time Telemetry HUD and Titration pH Curve.</w:t>
      </w:r>
    </w:p>
    <w:p>
      <w:pPr>
        <w:pStyle w:val="ListParagraph"/>
        <w:numPr>
          <w:ilvl w:val="0"/>
          <w:numId w:val="1"/>
        </w:numPr>
        <w:spacing w:after="60" w:before="40"/>
      </w:pPr>
      <w:r>
        <w:rPr>
          <w:rFonts w:ascii="Calibri" w:cs="Calibri" w:eastAsia="Calibri" w:hAnsi="Calibri"/>
          <w:b/>
          <w:bCs/>
          <w:color w:val="0F172A"/>
          <w:sz w:val="22"/>
          <w:szCs w:val="22"/>
        </w:rPr>
        <w:t xml:space="preserve">Step 8 (Multi-Trial Replication): </w:t>
      </w:r>
      <w:r>
        <w:rPr>
          <w:rFonts w:ascii="Calibri" w:cs="Calibri" w:eastAsia="Calibri" w:hAnsi="Calibri"/>
          <w:color w:val="334155"/>
          <w:sz w:val="22"/>
          <w:szCs w:val="22"/>
        </w:rPr>
        <w:t xml:space="preserve">The student clicks "Record in Table" to transfer current burette readings into Trial I. The student resets the flask and repeats the titration for Trial II and Trial III to establish concordant results within ±0.20 cm3.</w:t>
      </w:r>
    </w:p>
    <w:p>
      <w:pPr>
        <w:pStyle w:val="ListParagraph"/>
        <w:numPr>
          <w:ilvl w:val="0"/>
          <w:numId w:val="1"/>
        </w:numPr>
        <w:spacing w:after="60" w:before="40"/>
      </w:pPr>
      <w:r>
        <w:rPr>
          <w:rFonts w:ascii="Calibri" w:cs="Calibri" w:eastAsia="Calibri" w:hAnsi="Calibri"/>
          <w:b/>
          <w:bCs/>
          <w:color w:val="0F172A"/>
          <w:sz w:val="22"/>
          <w:szCs w:val="22"/>
        </w:rPr>
        <w:t xml:space="preserve">Step 9 (Calculation Completion): </w:t>
      </w:r>
      <w:r>
        <w:rPr>
          <w:rFonts w:ascii="Calibri" w:cs="Calibri" w:eastAsia="Calibri" w:hAnsi="Calibri"/>
          <w:color w:val="334155"/>
          <w:sz w:val="22"/>
          <w:szCs w:val="22"/>
        </w:rPr>
        <w:t xml:space="preserve">The student enters theoretical calculation answers (Average titre volume, Moles of Acid, Moles of Base, Concentration of Solution N, RAM of element F in F2CO3).</w:t>
      </w:r>
    </w:p>
    <w:p>
      <w:pPr>
        <w:pStyle w:val="ListParagraph"/>
        <w:numPr>
          <w:ilvl w:val="0"/>
          <w:numId w:val="1"/>
        </w:numPr>
        <w:spacing w:after="60" w:before="40"/>
      </w:pPr>
      <w:r>
        <w:rPr>
          <w:rFonts w:ascii="Calibri" w:cs="Calibri" w:eastAsia="Calibri" w:hAnsi="Calibri"/>
          <w:b/>
          <w:bCs/>
          <w:color w:val="0F172A"/>
          <w:sz w:val="22"/>
          <w:szCs w:val="22"/>
        </w:rPr>
        <w:t xml:space="preserve">Step 10 (Final Submission): </w:t>
      </w:r>
      <w:r>
        <w:rPr>
          <w:rFonts w:ascii="Calibri" w:cs="Calibri" w:eastAsia="Calibri" w:hAnsi="Calibri"/>
          <w:color w:val="334155"/>
          <w:sz w:val="22"/>
          <w:szCs w:val="22"/>
        </w:rPr>
        <w:t xml:space="preserve">The student reviews the completed worksheet with all concordant trials and submits the experiment paper to the automated grading system.</w:t>
      </w:r>
    </w:p>
    <w:p>
      <w:pPr>
        <w:spacing w:after="60" w:before="200"/>
        <w:jc w:val="center"/>
      </w:pPr>
      <w:r>
        <w:drawing>
          <wp:inline distT="0" distB="0" distL="0" distR="0">
            <wp:extent cx="5143500" cy="2895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200" w:before="40"/>
        <w:jc w:val="center"/>
      </w:pPr>
      <w:r>
        <w:rPr>
          <w:rFonts w:ascii="Calibri" w:cs="Calibri" w:eastAsia="Calibri" w:hAnsi="Calibri"/>
          <w:i/>
          <w:iCs/>
          <w:color w:val="64748B"/>
          <w:sz w:val="19"/>
          <w:szCs w:val="19"/>
        </w:rPr>
        <w:t xml:space="preserve">Figure 3.5: Workflow B (Steps 8–10) — Multi-Trial Table I Recording (Concordant Titres within ±0.10 cm³), Average Titre Calculation, and Step-by-Step RAM Calculations (Molar Mass of F₂CO₃ and RAM of F = 23.0 Na).</w:t>
      </w:r>
    </w:p>
    <w:p>
      <w:pPr>
        <w:pStyle w:val="Heading2"/>
        <w:spacing w:after="80" w:before="200"/>
      </w:pPr>
      <w:r>
        <w:rPr>
          <w:rFonts w:ascii="Calibri" w:cs="Calibri" w:eastAsia="Calibri" w:hAnsi="Calibri"/>
          <w:b/>
          <w:bCs/>
          <w:color w:val="1E40AF"/>
        </w:rPr>
        <w:t xml:space="preserve">3.3 Workflow C: Automated Algorithmic Evaluation &amp; Gradebook Analytics</w:t>
      </w:r>
    </w:p>
    <w:p>
      <w:pPr>
        <w:pStyle w:val="ListParagraph"/>
        <w:numPr>
          <w:ilvl w:val="0"/>
          <w:numId w:val="1"/>
        </w:numPr>
        <w:spacing w:after="60" w:before="40"/>
      </w:pPr>
      <w:r>
        <w:rPr>
          <w:rFonts w:ascii="Calibri" w:cs="Calibri" w:eastAsia="Calibri" w:hAnsi="Calibri"/>
          <w:b/>
          <w:bCs/>
          <w:color w:val="0F172A"/>
          <w:sz w:val="22"/>
          <w:szCs w:val="22"/>
        </w:rPr>
        <w:t xml:space="preserve">Step 1 (Instant Marking): </w:t>
      </w:r>
      <w:r>
        <w:rPr>
          <w:rFonts w:ascii="Calibri" w:cs="Calibri" w:eastAsia="Calibri" w:hAnsi="Calibri"/>
          <w:color w:val="334155"/>
          <w:sz w:val="22"/>
          <w:szCs w:val="22"/>
        </w:rPr>
        <w:t xml:space="preserve">The backend attempts engine validates table completeness, concordancy (titre values within ±0.20 cm3 of each other), and calculation accuracy using the teacher rubric.</w:t>
      </w:r>
    </w:p>
    <w:p>
      <w:pPr>
        <w:pStyle w:val="ListParagraph"/>
        <w:numPr>
          <w:ilvl w:val="0"/>
          <w:numId w:val="1"/>
        </w:numPr>
        <w:spacing w:after="60" w:before="40"/>
      </w:pPr>
      <w:r>
        <w:rPr>
          <w:rFonts w:ascii="Calibri" w:cs="Calibri" w:eastAsia="Calibri" w:hAnsi="Calibri"/>
          <w:b/>
          <w:bCs/>
          <w:color w:val="0F172A"/>
          <w:sz w:val="22"/>
          <w:szCs w:val="22"/>
        </w:rPr>
        <w:t xml:space="preserve">Step 2 (Student Feedback): </w:t>
      </w:r>
      <w:r>
        <w:rPr>
          <w:rFonts w:ascii="Calibri" w:cs="Calibri" w:eastAsia="Calibri" w:hAnsi="Calibri"/>
          <w:color w:val="334155"/>
          <w:sz w:val="22"/>
          <w:szCs w:val="22"/>
        </w:rPr>
        <w:t xml:space="preserve">The student receives instant formative feedback, detailed step breakdown, and error analysis.</w:t>
      </w:r>
    </w:p>
    <w:p>
      <w:pPr>
        <w:pStyle w:val="ListParagraph"/>
        <w:numPr>
          <w:ilvl w:val="0"/>
          <w:numId w:val="1"/>
        </w:numPr>
        <w:spacing w:after="60" w:before="40"/>
      </w:pPr>
      <w:r>
        <w:rPr>
          <w:rFonts w:ascii="Calibri" w:cs="Calibri" w:eastAsia="Calibri" w:hAnsi="Calibri"/>
          <w:b/>
          <w:bCs/>
          <w:color w:val="0F172A"/>
          <w:sz w:val="22"/>
          <w:szCs w:val="22"/>
        </w:rPr>
        <w:t xml:space="preserve">Step 3 (Teacher Telemetry): </w:t>
      </w:r>
      <w:r>
        <w:rPr>
          <w:rFonts w:ascii="Calibri" w:cs="Calibri" w:eastAsia="Calibri" w:hAnsi="Calibri"/>
          <w:color w:val="334155"/>
          <w:sz w:val="22"/>
          <w:szCs w:val="22"/>
        </w:rPr>
        <w:t xml:space="preserve">The teacher gradebook updates in real-time with class-wide averages, common misconceptions, and item difficulty discrimination indices.</w:t>
      </w:r>
    </w:p>
    <w:p>
      <w:pPr>
        <w:spacing w:after="60" w:before="200"/>
        <w:jc w:val="center"/>
      </w:pPr>
      <w:r>
        <w:drawing>
          <wp:inline distT="0" distB="0" distL="0" distR="0">
            <wp:extent cx="5143500" cy="28956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200" w:before="40"/>
        <w:jc w:val="center"/>
      </w:pPr>
      <w:r>
        <w:rPr>
          <w:rFonts w:ascii="Calibri" w:cs="Calibri" w:eastAsia="Calibri" w:hAnsi="Calibri"/>
          <w:i/>
          <w:iCs/>
          <w:color w:val="64748B"/>
          <w:sz w:val="19"/>
          <w:szCs w:val="19"/>
        </w:rPr>
        <w:t xml:space="preserve">Figure 3.6: Workflow C — Teacher &amp; Examiner Evaluation Dashboard: Auto-Graded Student Submission (94/100 Grade A), Concordancy Verification, Rubric Breakdown, and Class Telemetry.</w:t>
      </w:r>
    </w:p>
    <w:p>
      <w:pPr>
        <w:pStyle w:val="Heading1"/>
        <w:spacing w:after="120" w:before="280"/>
      </w:pPr>
      <w:r>
        <w:rPr>
          <w:rFonts w:ascii="Calibri" w:cs="Calibri" w:eastAsia="Calibri" w:hAnsi="Calibri"/>
          <w:b/>
          <w:bCs/>
          <w:color w:val="0F172A"/>
        </w:rPr>
        <w:t xml:space="preserve">4. Detailed Functional Requirements (FR)</w:t>
      </w:r>
    </w:p>
    <w:p>
      <w:pPr>
        <w:spacing w:after="100" w:before="60" w:line="276"/>
      </w:pPr>
      <w:r>
        <w:rPr>
          <w:rFonts w:ascii="Calibri" w:cs="Calibri" w:eastAsia="Calibri" w:hAnsi="Calibri"/>
          <w:color w:val="334155"/>
          <w:sz w:val="22"/>
          <w:szCs w:val="22"/>
        </w:rPr>
        <w:t xml:space="preserve">This section enumerates explicit system behaviors, technical constraints, and algorithmic business logic required for production certification.</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1354"/>
        <w:gridCol w:w="2257"/>
        <w:gridCol w:w="4062"/>
        <w:gridCol w:w="1354"/>
      </w:tblGrid>
      <w:tr>
        <w:tc>
          <w:tcPr>
            <w:tcW w:type="pct" w:w="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Req ID</w:t>
            </w:r>
          </w:p>
        </w:tc>
        <w:tc>
          <w:tcPr>
            <w:tcW w:type="pct" w:w="12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Feature Area</w:t>
            </w:r>
          </w:p>
        </w:tc>
        <w:tc>
          <w:tcPr>
            <w:tcW w:type="pct" w:w="22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Functional Requirement Specification</w:t>
            </w:r>
          </w:p>
        </w:tc>
        <w:tc>
          <w:tcPr>
            <w:tcW w:type="pct" w:w="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Priority</w:t>
            </w:r>
          </w:p>
        </w:tc>
      </w:tr>
      <w:tr>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FR-001</w:t>
            </w:r>
          </w:p>
        </w:tc>
        <w:tc>
          <w:tcPr>
            <w:tcW w:type="pct" w:w="1250"/>
            <w:shd w:fill="FFFFFF" w:val="clear"/>
            <w:tcMar>
              <w:top w:type="dxa" w:w="100"/>
              <w:left w:type="dxa" w:w="140"/>
              <w:bottom w:type="dxa" w:w="100"/>
              <w:right w:type="dxa" w:w="140"/>
            </w:tcMar>
          </w:tcPr>
          <w:p>
            <w:r>
              <w:rPr>
                <w:rFonts w:ascii="Calibri" w:cs="Calibri" w:eastAsia="Calibri" w:hAnsi="Calibri"/>
                <w:color w:val="334155"/>
                <w:sz w:val="20"/>
                <w:szCs w:val="20"/>
              </w:rPr>
              <w:t xml:space="preserve">Typographic Disambiguation</w:t>
            </w:r>
          </w:p>
        </w:tc>
        <w:tc>
          <w:tcPr>
            <w:tcW w:type="pct" w:w="2250"/>
            <w:shd w:fill="FFFFFF" w:val="clear"/>
            <w:tcMar>
              <w:top w:type="dxa" w:w="100"/>
              <w:left w:type="dxa" w:w="140"/>
              <w:bottom w:type="dxa" w:w="100"/>
              <w:right w:type="dxa" w:w="140"/>
            </w:tcMar>
          </w:tcPr>
          <w:p>
            <w:r>
              <w:rPr>
                <w:rFonts w:ascii="Calibri" w:cs="Calibri" w:eastAsia="Calibri" w:hAnsi="Calibri"/>
                <w:color w:val="334155"/>
                <w:sz w:val="20"/>
                <w:szCs w:val="20"/>
              </w:rPr>
              <w:t xml:space="preserve">The natural language parser must correctly identify apparatus and reagents despite common classroom spelling variations (e.g., "burrete", "buret", "pippete", "hydrotide", "methylorange").</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P0 (Critical)</w:t>
            </w:r>
          </w:p>
        </w:tc>
      </w:tr>
      <w:tr>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FR-002</w:t>
            </w:r>
          </w:p>
        </w:tc>
        <w:tc>
          <w:tcPr>
            <w:tcW w:type="pct" w:w="1250"/>
            <w:shd w:fill="F8FAFC" w:val="clear"/>
            <w:tcMar>
              <w:top w:type="dxa" w:w="100"/>
              <w:left w:type="dxa" w:w="140"/>
              <w:bottom w:type="dxa" w:w="100"/>
              <w:right w:type="dxa" w:w="140"/>
            </w:tcMar>
          </w:tcPr>
          <w:p>
            <w:r>
              <w:rPr>
                <w:rFonts w:ascii="Calibri" w:cs="Calibri" w:eastAsia="Calibri" w:hAnsi="Calibri"/>
                <w:color w:val="334155"/>
                <w:sz w:val="20"/>
                <w:szCs w:val="20"/>
              </w:rPr>
              <w:t xml:space="preserve">Dynamic Apparatus Selection</w:t>
            </w:r>
          </w:p>
        </w:tc>
        <w:tc>
          <w:tcPr>
            <w:tcW w:type="pct" w:w="2250"/>
            <w:shd w:fill="F8FAFC" w:val="clear"/>
            <w:tcMar>
              <w:top w:type="dxa" w:w="100"/>
              <w:left w:type="dxa" w:w="140"/>
              <w:bottom w:type="dxa" w:w="100"/>
              <w:right w:type="dxa" w:w="140"/>
            </w:tcMar>
          </w:tcPr>
          <w:p>
            <w:r>
              <w:rPr>
                <w:rFonts w:ascii="Calibri" w:cs="Calibri" w:eastAsia="Calibri" w:hAnsi="Calibri"/>
                <w:color w:val="334155"/>
                <w:sz w:val="20"/>
                <w:szCs w:val="20"/>
              </w:rPr>
              <w:t xml:space="preserve">The workbench must render only apparatus and reagents relevant to the active experiment. Extraneous lab items (e.g. Bunsen burner, boiling tube) must be suppressed when not specified in the protocol.</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P0 (Critical)</w:t>
            </w:r>
          </w:p>
        </w:tc>
      </w:tr>
      <w:tr>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FR-003</w:t>
            </w:r>
          </w:p>
        </w:tc>
        <w:tc>
          <w:tcPr>
            <w:tcW w:type="pct" w:w="1250"/>
            <w:shd w:fill="FFFFFF" w:val="clear"/>
            <w:tcMar>
              <w:top w:type="dxa" w:w="100"/>
              <w:left w:type="dxa" w:w="140"/>
              <w:bottom w:type="dxa" w:w="100"/>
              <w:right w:type="dxa" w:w="140"/>
            </w:tcMar>
          </w:tcPr>
          <w:p>
            <w:r>
              <w:rPr>
                <w:rFonts w:ascii="Calibri" w:cs="Calibri" w:eastAsia="Calibri" w:hAnsi="Calibri"/>
                <w:color w:val="334155"/>
                <w:sz w:val="20"/>
                <w:szCs w:val="20"/>
              </w:rPr>
              <w:t xml:space="preserve">Burette Fluid Simulation</w:t>
            </w:r>
          </w:p>
        </w:tc>
        <w:tc>
          <w:tcPr>
            <w:tcW w:type="pct" w:w="2250"/>
            <w:shd w:fill="FFFFFF" w:val="clear"/>
            <w:tcMar>
              <w:top w:type="dxa" w:w="100"/>
              <w:left w:type="dxa" w:w="140"/>
              <w:bottom w:type="dxa" w:w="100"/>
              <w:right w:type="dxa" w:w="140"/>
            </w:tcMar>
          </w:tcPr>
          <w:p>
            <w:r>
              <w:rPr>
                <w:rFonts w:ascii="Calibri" w:cs="Calibri" w:eastAsia="Calibri" w:hAnsi="Calibri"/>
                <w:color w:val="334155"/>
                <w:sz w:val="20"/>
                <w:szCs w:val="20"/>
              </w:rPr>
              <w:t xml:space="preserve">The simulation must support realistic fluid mechanics: stopcock flow rates (0.1 mL/s to 5.0 mL/s), meniscus curve rendering, graduation marks from 0.00 to 50.00 cm3, and liquid level depletion.</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P0 (Critical)</w:t>
            </w:r>
          </w:p>
        </w:tc>
      </w:tr>
      <w:tr>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FR-004</w:t>
            </w:r>
          </w:p>
        </w:tc>
        <w:tc>
          <w:tcPr>
            <w:tcW w:type="pct" w:w="1250"/>
            <w:shd w:fill="F8FAFC" w:val="clear"/>
            <w:tcMar>
              <w:top w:type="dxa" w:w="100"/>
              <w:left w:type="dxa" w:w="140"/>
              <w:bottom w:type="dxa" w:w="100"/>
              <w:right w:type="dxa" w:w="140"/>
            </w:tcMar>
          </w:tcPr>
          <w:p>
            <w:r>
              <w:rPr>
                <w:rFonts w:ascii="Calibri" w:cs="Calibri" w:eastAsia="Calibri" w:hAnsi="Calibri"/>
                <w:color w:val="334155"/>
                <w:sz w:val="20"/>
                <w:szCs w:val="20"/>
              </w:rPr>
              <w:t xml:space="preserve">Dynamic Color Stoichiometry</w:t>
            </w:r>
          </w:p>
        </w:tc>
        <w:tc>
          <w:tcPr>
            <w:tcW w:type="pct" w:w="2250"/>
            <w:shd w:fill="F8FAFC" w:val="clear"/>
            <w:tcMar>
              <w:top w:type="dxa" w:w="100"/>
              <w:left w:type="dxa" w:w="140"/>
              <w:bottom w:type="dxa" w:w="100"/>
              <w:right w:type="dxa" w:w="140"/>
            </w:tcMar>
          </w:tcPr>
          <w:p>
            <w:r>
              <w:rPr>
                <w:rFonts w:ascii="Calibri" w:cs="Calibri" w:eastAsia="Calibri" w:hAnsi="Calibri"/>
                <w:color w:val="334155"/>
                <w:sz w:val="20"/>
                <w:szCs w:val="20"/>
              </w:rPr>
              <w:t xml:space="preserve">Support standard indicator behavior: Methyl Orange (Yellow in alkali -&gt; Orange at neutral pH 3.1-4.4 -&gt; Pink in excess acid); Phenolphthalein (Pink -&gt; Colorless); Universal Indicator (pH 1-14 spectral map).</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P0 (Critical)</w:t>
            </w:r>
          </w:p>
        </w:tc>
      </w:tr>
      <w:tr>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FR-005</w:t>
            </w:r>
          </w:p>
        </w:tc>
        <w:tc>
          <w:tcPr>
            <w:tcW w:type="pct" w:w="1250"/>
            <w:shd w:fill="FFFFFF" w:val="clear"/>
            <w:tcMar>
              <w:top w:type="dxa" w:w="100"/>
              <w:left w:type="dxa" w:w="140"/>
              <w:bottom w:type="dxa" w:w="100"/>
              <w:right w:type="dxa" w:w="140"/>
            </w:tcMar>
          </w:tcPr>
          <w:p>
            <w:r>
              <w:rPr>
                <w:rFonts w:ascii="Calibri" w:cs="Calibri" w:eastAsia="Calibri" w:hAnsi="Calibri"/>
                <w:color w:val="334155"/>
                <w:sz w:val="20"/>
                <w:szCs w:val="20"/>
              </w:rPr>
              <w:t xml:space="preserve">KCSE Titration Table Engine</w:t>
            </w:r>
          </w:p>
        </w:tc>
        <w:tc>
          <w:tcPr>
            <w:tcW w:type="pct" w:w="2250"/>
            <w:shd w:fill="FFFFFF" w:val="clear"/>
            <w:tcMar>
              <w:top w:type="dxa" w:w="100"/>
              <w:left w:type="dxa" w:w="140"/>
              <w:bottom w:type="dxa" w:w="100"/>
              <w:right w:type="dxa" w:w="140"/>
            </w:tcMar>
          </w:tcPr>
          <w:p>
            <w:r>
              <w:rPr>
                <w:rFonts w:ascii="Calibri" w:cs="Calibri" w:eastAsia="Calibri" w:hAnsi="Calibri"/>
                <w:color w:val="334155"/>
                <w:sz w:val="20"/>
                <w:szCs w:val="20"/>
              </w:rPr>
              <w:t xml:space="preserve">Automatically generate a 3-column multi-trial titration table (Initial Burette Reading, Final Burette Reading, Volume of Titrant Used) with automatic row computation and concordancy validation.</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P0 (Critical)</w:t>
            </w:r>
          </w:p>
        </w:tc>
      </w:tr>
      <w:tr>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FR-006</w:t>
            </w:r>
          </w:p>
        </w:tc>
        <w:tc>
          <w:tcPr>
            <w:tcW w:type="pct" w:w="1250"/>
            <w:shd w:fill="F8FAFC" w:val="clear"/>
            <w:tcMar>
              <w:top w:type="dxa" w:w="100"/>
              <w:left w:type="dxa" w:w="140"/>
              <w:bottom w:type="dxa" w:w="100"/>
              <w:right w:type="dxa" w:w="140"/>
            </w:tcMar>
          </w:tcPr>
          <w:p>
            <w:r>
              <w:rPr>
                <w:rFonts w:ascii="Calibri" w:cs="Calibri" w:eastAsia="Calibri" w:hAnsi="Calibri"/>
                <w:color w:val="334155"/>
                <w:sz w:val="20"/>
                <w:szCs w:val="20"/>
              </w:rPr>
              <w:t xml:space="preserve">Rubric Tolerance Auto-Grading</w:t>
            </w:r>
          </w:p>
        </w:tc>
        <w:tc>
          <w:tcPr>
            <w:tcW w:type="pct" w:w="2250"/>
            <w:shd w:fill="F8FAFC" w:val="clear"/>
            <w:tcMar>
              <w:top w:type="dxa" w:w="100"/>
              <w:left w:type="dxa" w:w="140"/>
              <w:bottom w:type="dxa" w:w="100"/>
              <w:right w:type="dxa" w:w="140"/>
            </w:tcMar>
          </w:tcPr>
          <w:p>
            <w:r>
              <w:rPr>
                <w:rFonts w:ascii="Calibri" w:cs="Calibri" w:eastAsia="Calibri" w:hAnsi="Calibri"/>
                <w:color w:val="334155"/>
                <w:sz w:val="20"/>
                <w:szCs w:val="20"/>
              </w:rPr>
              <w:t xml:space="preserve">Score student calculations against expected values using teacher-configured numerical tolerances (e.g. ±0.1 cm3 for titre, ±2% for concentration, ±1.0 g/mol for RAM). Provide partial credit for correct working steps.</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P1 (High)</w:t>
            </w:r>
          </w:p>
        </w:tc>
      </w:tr>
      <w:tr>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FR-007</w:t>
            </w:r>
          </w:p>
        </w:tc>
        <w:tc>
          <w:tcPr>
            <w:tcW w:type="pct" w:w="1250"/>
            <w:shd w:fill="FFFFFF" w:val="clear"/>
            <w:tcMar>
              <w:top w:type="dxa" w:w="100"/>
              <w:left w:type="dxa" w:w="140"/>
              <w:bottom w:type="dxa" w:w="100"/>
              <w:right w:type="dxa" w:w="140"/>
            </w:tcMar>
          </w:tcPr>
          <w:p>
            <w:r>
              <w:rPr>
                <w:rFonts w:ascii="Calibri" w:cs="Calibri" w:eastAsia="Calibri" w:hAnsi="Calibri"/>
                <w:color w:val="334155"/>
                <w:sz w:val="20"/>
                <w:szCs w:val="20"/>
              </w:rPr>
              <w:t xml:space="preserve">Export &amp; Offline Capabilities</w:t>
            </w:r>
          </w:p>
        </w:tc>
        <w:tc>
          <w:tcPr>
            <w:tcW w:type="pct" w:w="2250"/>
            <w:shd w:fill="FFFFFF" w:val="clear"/>
            <w:tcMar>
              <w:top w:type="dxa" w:w="100"/>
              <w:left w:type="dxa" w:w="140"/>
              <w:bottom w:type="dxa" w:w="100"/>
              <w:right w:type="dxa" w:w="140"/>
            </w:tcMar>
          </w:tcPr>
          <w:p>
            <w:r>
              <w:rPr>
                <w:rFonts w:ascii="Calibri" w:cs="Calibri" w:eastAsia="Calibri" w:hAnsi="Calibri"/>
                <w:color w:val="334155"/>
                <w:sz w:val="20"/>
                <w:szCs w:val="20"/>
              </w:rPr>
              <w:t xml:space="preserve">Enable export of lab records, experiment blueprints, and student answer sheets to PDF, Word (.docx), and CSV format. Support offline caching for low-bandwidth rural schools.</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P1 (High)</w:t>
            </w:r>
          </w:p>
        </w:tc>
      </w:tr>
    </w:tbl>
    <w:p>
      <w:pPr>
        <w:pStyle w:val="Heading1"/>
        <w:spacing w:after="120" w:before="280"/>
      </w:pPr>
      <w:r>
        <w:rPr>
          <w:rFonts w:ascii="Calibri" w:cs="Calibri" w:eastAsia="Calibri" w:hAnsi="Calibri"/>
          <w:b/>
          <w:bCs/>
          <w:color w:val="0F172A"/>
        </w:rPr>
        <w:t xml:space="preserve">5. Scientific Chemistry Domain Model: Acid-Base &amp; RAM Analysis</w:t>
      </w:r>
    </w:p>
    <w:p>
      <w:pPr>
        <w:spacing w:after="100" w:before="60" w:line="276"/>
      </w:pPr>
      <w:r>
        <w:rPr>
          <w:rFonts w:ascii="Calibri" w:cs="Calibri" w:eastAsia="Calibri" w:hAnsi="Calibri"/>
          <w:color w:val="334155"/>
          <w:sz w:val="22"/>
          <w:szCs w:val="22"/>
        </w:rPr>
        <w:t xml:space="preserve">To guarantee absolute pedagogical and examiner compliance, the virtual laboratory implements the exact mathematical and physical chemistry models prescribed by national examination councils:</w:t>
      </w:r>
    </w:p>
    <w:p>
      <w:pPr>
        <w:pStyle w:val="Heading2"/>
        <w:spacing w:after="80" w:before="200"/>
      </w:pPr>
      <w:r>
        <w:rPr>
          <w:rFonts w:ascii="Calibri" w:cs="Calibri" w:eastAsia="Calibri" w:hAnsi="Calibri"/>
          <w:b/>
          <w:bCs/>
          <w:color w:val="1E40AF"/>
        </w:rPr>
        <w:t xml:space="preserve">5.1 The Standard Titration &amp; Carbonate RAM Problem Formulation</w:t>
      </w:r>
    </w:p>
    <w:p>
      <w:pPr>
        <w:spacing w:after="100" w:before="60" w:line="276"/>
      </w:pPr>
      <w:r>
        <w:rPr>
          <w:rFonts w:ascii="Calibri" w:cs="Calibri" w:eastAsia="Calibri" w:hAnsi="Calibri"/>
          <w:color w:val="334155"/>
          <w:sz w:val="22"/>
          <w:szCs w:val="22"/>
        </w:rPr>
        <w:t xml:space="preserve">Experimental Protocol Baseline: Solution M is 0.20 M Sodium Hydroxide (NaOH). Solution N is dilute Hydrochloric Acid (HCl) of unknown concentration. Solid X is 1.00 g of an unknown anhydrous metal carbonate F2CO3.</w:t>
      </w:r>
    </w:p>
    <w:p>
      <w:pPr>
        <w:pStyle w:val="ListParagraph"/>
        <w:numPr>
          <w:ilvl w:val="0"/>
          <w:numId w:val="1"/>
        </w:numPr>
        <w:spacing w:after="60" w:before="40"/>
      </w:pPr>
      <w:r>
        <w:rPr>
          <w:rFonts w:ascii="Calibri" w:cs="Calibri" w:eastAsia="Calibri" w:hAnsi="Calibri"/>
          <w:b/>
          <w:bCs/>
          <w:color w:val="0F172A"/>
          <w:sz w:val="22"/>
          <w:szCs w:val="22"/>
        </w:rPr>
        <w:t xml:space="preserve">Parameter 1: </w:t>
      </w:r>
      <w:r>
        <w:rPr>
          <w:rFonts w:ascii="Calibri" w:cs="Calibri" w:eastAsia="Calibri" w:hAnsi="Calibri"/>
          <w:color w:val="334155"/>
          <w:sz w:val="22"/>
          <w:szCs w:val="22"/>
        </w:rPr>
        <w:t xml:space="preserve">Pipette Volume (V_base) = 25.00 cm3 = 0.0250 dm3</w:t>
      </w:r>
    </w:p>
    <w:p>
      <w:pPr>
        <w:pStyle w:val="ListParagraph"/>
        <w:numPr>
          <w:ilvl w:val="0"/>
          <w:numId w:val="1"/>
        </w:numPr>
        <w:spacing w:after="60" w:before="40"/>
      </w:pPr>
      <w:r>
        <w:rPr>
          <w:rFonts w:ascii="Calibri" w:cs="Calibri" w:eastAsia="Calibri" w:hAnsi="Calibri"/>
          <w:b/>
          <w:bCs/>
          <w:color w:val="0F172A"/>
          <w:sz w:val="22"/>
          <w:szCs w:val="22"/>
        </w:rPr>
        <w:t xml:space="preserve">Parameter 2: </w:t>
      </w:r>
      <w:r>
        <w:rPr>
          <w:rFonts w:ascii="Calibri" w:cs="Calibri" w:eastAsia="Calibri" w:hAnsi="Calibri"/>
          <w:color w:val="334155"/>
          <w:sz w:val="22"/>
          <w:szCs w:val="22"/>
        </w:rPr>
        <w:t xml:space="preserve">Molarity of Base (M_base) = 0.20 mol/dm3</w:t>
      </w:r>
    </w:p>
    <w:p>
      <w:pPr>
        <w:pStyle w:val="ListParagraph"/>
        <w:numPr>
          <w:ilvl w:val="0"/>
          <w:numId w:val="1"/>
        </w:numPr>
        <w:spacing w:after="60" w:before="40"/>
      </w:pPr>
      <w:r>
        <w:rPr>
          <w:rFonts w:ascii="Calibri" w:cs="Calibri" w:eastAsia="Calibri" w:hAnsi="Calibri"/>
          <w:b/>
          <w:bCs/>
          <w:color w:val="0F172A"/>
          <w:sz w:val="22"/>
          <w:szCs w:val="22"/>
        </w:rPr>
        <w:t xml:space="preserve">Calculation 1: </w:t>
      </w:r>
      <w:r>
        <w:rPr>
          <w:rFonts w:ascii="Calibri" w:cs="Calibri" w:eastAsia="Calibri" w:hAnsi="Calibri"/>
          <w:color w:val="334155"/>
          <w:sz w:val="22"/>
          <w:szCs w:val="22"/>
        </w:rPr>
        <w:t xml:space="preserve">Moles of NaOH used = M_base * V_base = 0.20 * 0.0250 = 0.0050 moles</w:t>
      </w:r>
    </w:p>
    <w:p>
      <w:pPr>
        <w:pStyle w:val="ListParagraph"/>
        <w:numPr>
          <w:ilvl w:val="0"/>
          <w:numId w:val="1"/>
        </w:numPr>
        <w:spacing w:after="60" w:before="40"/>
      </w:pPr>
      <w:r>
        <w:rPr>
          <w:rFonts w:ascii="Calibri" w:cs="Calibri" w:eastAsia="Calibri" w:hAnsi="Calibri"/>
          <w:b/>
          <w:bCs/>
          <w:color w:val="0F172A"/>
          <w:sz w:val="22"/>
          <w:szCs w:val="22"/>
        </w:rPr>
        <w:t xml:space="preserve">Calculation 2: </w:t>
      </w:r>
      <w:r>
        <w:rPr>
          <w:rFonts w:ascii="Calibri" w:cs="Calibri" w:eastAsia="Calibri" w:hAnsi="Calibri"/>
          <w:color w:val="334155"/>
          <w:sz w:val="22"/>
          <w:szCs w:val="22"/>
        </w:rPr>
        <w:t xml:space="preserve">Chemical Stoichiometry: HCl + NaOH -&gt; NaCl + H2O (Mole Ratio = 1 : 1)</w:t>
      </w:r>
    </w:p>
    <w:p>
      <w:pPr>
        <w:pStyle w:val="ListParagraph"/>
        <w:numPr>
          <w:ilvl w:val="0"/>
          <w:numId w:val="1"/>
        </w:numPr>
        <w:spacing w:after="60" w:before="40"/>
      </w:pPr>
      <w:r>
        <w:rPr>
          <w:rFonts w:ascii="Calibri" w:cs="Calibri" w:eastAsia="Calibri" w:hAnsi="Calibri"/>
          <w:b/>
          <w:bCs/>
          <w:color w:val="0F172A"/>
          <w:sz w:val="22"/>
          <w:szCs w:val="22"/>
        </w:rPr>
        <w:t xml:space="preserve">Calculation 3: </w:t>
      </w:r>
      <w:r>
        <w:rPr>
          <w:rFonts w:ascii="Calibri" w:cs="Calibri" w:eastAsia="Calibri" w:hAnsi="Calibri"/>
          <w:color w:val="334155"/>
          <w:sz w:val="22"/>
          <w:szCs w:val="22"/>
        </w:rPr>
        <w:t xml:space="preserve">Moles of Acid (HCl) at equivalence = 0.0050 moles</w:t>
      </w:r>
    </w:p>
    <w:p>
      <w:pPr>
        <w:pStyle w:val="ListParagraph"/>
        <w:numPr>
          <w:ilvl w:val="0"/>
          <w:numId w:val="1"/>
        </w:numPr>
        <w:spacing w:after="60" w:before="40"/>
      </w:pPr>
      <w:r>
        <w:rPr>
          <w:rFonts w:ascii="Calibri" w:cs="Calibri" w:eastAsia="Calibri" w:hAnsi="Calibri"/>
          <w:b/>
          <w:bCs/>
          <w:color w:val="0F172A"/>
          <w:sz w:val="22"/>
          <w:szCs w:val="22"/>
        </w:rPr>
        <w:t xml:space="preserve">Calculation 4: </w:t>
      </w:r>
      <w:r>
        <w:rPr>
          <w:rFonts w:ascii="Calibri" w:cs="Calibri" w:eastAsia="Calibri" w:hAnsi="Calibri"/>
          <w:color w:val="334155"/>
          <w:sz w:val="22"/>
          <w:szCs w:val="22"/>
        </w:rPr>
        <w:t xml:space="preserve">Average Titre Volume (V_acid) = 24.50 cm3 = 0.0245 dm3</w:t>
      </w:r>
    </w:p>
    <w:p>
      <w:pPr>
        <w:pStyle w:val="ListParagraph"/>
        <w:numPr>
          <w:ilvl w:val="0"/>
          <w:numId w:val="1"/>
        </w:numPr>
        <w:spacing w:after="60" w:before="40"/>
      </w:pPr>
      <w:r>
        <w:rPr>
          <w:rFonts w:ascii="Calibri" w:cs="Calibri" w:eastAsia="Calibri" w:hAnsi="Calibri"/>
          <w:b/>
          <w:bCs/>
          <w:color w:val="0F172A"/>
          <w:sz w:val="22"/>
          <w:szCs w:val="22"/>
        </w:rPr>
        <w:t xml:space="preserve">Calculation 5: </w:t>
      </w:r>
      <w:r>
        <w:rPr>
          <w:rFonts w:ascii="Calibri" w:cs="Calibri" w:eastAsia="Calibri" w:hAnsi="Calibri"/>
          <w:color w:val="334155"/>
          <w:sz w:val="22"/>
          <w:szCs w:val="22"/>
        </w:rPr>
        <w:t xml:space="preserve">Molarity of Solution N (HCl) = Moles / V_acid = 0.0050 / 0.0245 = 0.2041 M</w:t>
      </w:r>
    </w:p>
    <w:p>
      <w:pPr>
        <w:pStyle w:val="ListParagraph"/>
        <w:numPr>
          <w:ilvl w:val="0"/>
          <w:numId w:val="1"/>
        </w:numPr>
        <w:spacing w:after="60" w:before="40"/>
      </w:pPr>
      <w:r>
        <w:rPr>
          <w:rFonts w:ascii="Calibri" w:cs="Calibri" w:eastAsia="Calibri" w:hAnsi="Calibri"/>
          <w:b/>
          <w:bCs/>
          <w:color w:val="0F172A"/>
          <w:sz w:val="22"/>
          <w:szCs w:val="22"/>
        </w:rPr>
        <w:t xml:space="preserve">Calculation 6: </w:t>
      </w:r>
      <w:r>
        <w:rPr>
          <w:rFonts w:ascii="Calibri" w:cs="Calibri" w:eastAsia="Calibri" w:hAnsi="Calibri"/>
          <w:color w:val="334155"/>
          <w:sz w:val="22"/>
          <w:szCs w:val="22"/>
        </w:rPr>
        <w:t xml:space="preserve">Determination of Relative Atomic Mass (RAM) of F in F2CO3: Solid X (1.00 g) reacts with standardised acid: F2CO3 + 2HCl -&gt; 2FCl + CO2 + H2O. Moles of F2CO3 = 1/2 * (Moles of HCl). Molar Mass of F2CO3 = Mass / Moles = 1.00 / n. Formula mass: 2 * Ar(F) + 12 + 3(16) = M_molar. Hence Ar(F) = [M_molar - 60] / 2.</w:t>
      </w:r>
    </w:p>
    <w:p>
      <w:pPr>
        <w:pStyle w:val="Heading1"/>
        <w:spacing w:after="120" w:before="280"/>
      </w:pPr>
      <w:r>
        <w:rPr>
          <w:rFonts w:ascii="Calibri" w:cs="Calibri" w:eastAsia="Calibri" w:hAnsi="Calibri"/>
          <w:b/>
          <w:bCs/>
          <w:color w:val="0F172A"/>
        </w:rPr>
        <w:t xml:space="preserve">6. Technical Architecture &amp; Detailed Design (DRD)</w:t>
      </w:r>
    </w:p>
    <w:p>
      <w:pPr>
        <w:spacing w:after="100" w:before="60" w:line="276"/>
      </w:pPr>
      <w:r>
        <w:rPr>
          <w:rFonts w:ascii="Calibri" w:cs="Calibri" w:eastAsia="Calibri" w:hAnsi="Calibri"/>
          <w:color w:val="334155"/>
          <w:sz w:val="22"/>
          <w:szCs w:val="22"/>
        </w:rPr>
        <w:t xml:space="preserve">The system follows a modern full-stack enterprise architecture built for high availability, low latency, and offline resilience.</w:t>
      </w:r>
    </w:p>
    <w:p>
      <w:pPr>
        <w:pStyle w:val="Heading2"/>
        <w:spacing w:after="80" w:before="200"/>
      </w:pPr>
      <w:r>
        <w:rPr>
          <w:rFonts w:ascii="Calibri" w:cs="Calibri" w:eastAsia="Calibri" w:hAnsi="Calibri"/>
          <w:b/>
          <w:bCs/>
          <w:color w:val="1E40AF"/>
        </w:rPr>
        <w:t xml:space="preserve">6.1 Component Topology</w:t>
      </w:r>
    </w:p>
    <w:p>
      <w:pPr>
        <w:pStyle w:val="ListParagraph"/>
        <w:numPr>
          <w:ilvl w:val="0"/>
          <w:numId w:val="1"/>
        </w:numPr>
        <w:spacing w:after="60" w:before="40"/>
      </w:pPr>
      <w:r>
        <w:rPr>
          <w:rFonts w:ascii="Calibri" w:cs="Calibri" w:eastAsia="Calibri" w:hAnsi="Calibri"/>
          <w:b/>
          <w:bCs/>
          <w:color w:val="0F172A"/>
          <w:sz w:val="22"/>
          <w:szCs w:val="22"/>
        </w:rPr>
        <w:t xml:space="preserve">Frontend Client: </w:t>
      </w:r>
      <w:r>
        <w:rPr>
          <w:rFonts w:ascii="Calibri" w:cs="Calibri" w:eastAsia="Calibri" w:hAnsi="Calibri"/>
          <w:color w:val="334155"/>
          <w:sz w:val="22"/>
          <w:szCs w:val="22"/>
        </w:rPr>
        <w:t xml:space="preserve">Vite + React 19 SPA running in TypeScript, Tailwind CSS utility styling, Lucide scientific iconography, Motion fluid interaction layer.</w:t>
      </w:r>
    </w:p>
    <w:p>
      <w:pPr>
        <w:pStyle w:val="ListParagraph"/>
        <w:numPr>
          <w:ilvl w:val="0"/>
          <w:numId w:val="1"/>
        </w:numPr>
        <w:spacing w:after="60" w:before="40"/>
      </w:pPr>
      <w:r>
        <w:rPr>
          <w:rFonts w:ascii="Calibri" w:cs="Calibri" w:eastAsia="Calibri" w:hAnsi="Calibri"/>
          <w:b/>
          <w:bCs/>
          <w:color w:val="0F172A"/>
          <w:sz w:val="22"/>
          <w:szCs w:val="22"/>
        </w:rPr>
        <w:t xml:space="preserve">Simulation Canvas: </w:t>
      </w:r>
      <w:r>
        <w:rPr>
          <w:rFonts w:ascii="Calibri" w:cs="Calibri" w:eastAsia="Calibri" w:hAnsi="Calibri"/>
          <w:color w:val="334155"/>
          <w:sz w:val="22"/>
          <w:szCs w:val="22"/>
        </w:rPr>
        <w:t xml:space="preserve">InteractiveUniversalWorkbench.tsx (General chemistry, physics, biology apparatus), InteractiveTitrationWorkbench.tsx (High-precision volumetric burette simulation, multi-stopcock controls, live color mixing shaders).</w:t>
      </w:r>
    </w:p>
    <w:p>
      <w:pPr>
        <w:pStyle w:val="ListParagraph"/>
        <w:numPr>
          <w:ilvl w:val="0"/>
          <w:numId w:val="1"/>
        </w:numPr>
        <w:spacing w:after="60" w:before="40"/>
      </w:pPr>
      <w:r>
        <w:rPr>
          <w:rFonts w:ascii="Calibri" w:cs="Calibri" w:eastAsia="Calibri" w:hAnsi="Calibri"/>
          <w:b/>
          <w:bCs/>
          <w:color w:val="0F172A"/>
          <w:sz w:val="22"/>
          <w:szCs w:val="22"/>
        </w:rPr>
        <w:t xml:space="preserve">Application Server: </w:t>
      </w:r>
      <w:r>
        <w:rPr>
          <w:rFonts w:ascii="Calibri" w:cs="Calibri" w:eastAsia="Calibri" w:hAnsi="Calibri"/>
          <w:color w:val="334155"/>
          <w:sz w:val="22"/>
          <w:szCs w:val="22"/>
        </w:rPr>
        <w:t xml:space="preserve">Node.js / Express REST API proxy with strict rate limiting, schema validation, and session management.</w:t>
      </w:r>
    </w:p>
    <w:p>
      <w:pPr>
        <w:pStyle w:val="ListParagraph"/>
        <w:numPr>
          <w:ilvl w:val="0"/>
          <w:numId w:val="1"/>
        </w:numPr>
        <w:spacing w:after="60" w:before="40"/>
      </w:pPr>
      <w:r>
        <w:rPr>
          <w:rFonts w:ascii="Calibri" w:cs="Calibri" w:eastAsia="Calibri" w:hAnsi="Calibri"/>
          <w:b/>
          <w:bCs/>
          <w:color w:val="0F172A"/>
          <w:sz w:val="22"/>
          <w:szCs w:val="22"/>
        </w:rPr>
        <w:t xml:space="preserve">Persistence Tier: </w:t>
      </w:r>
      <w:r>
        <w:rPr>
          <w:rFonts w:ascii="Calibri" w:cs="Calibri" w:eastAsia="Calibri" w:hAnsi="Calibri"/>
          <w:color w:val="334155"/>
          <w:sz w:val="22"/>
          <w:szCs w:val="22"/>
        </w:rPr>
        <w:t xml:space="preserve">Dual-mode hybrid data architecture. Primary: Supabase PostgreSQL relational database with row-level security (RLS). Fallback: In-memory structured seed store ensuring zero downtime during network isolation.</w:t>
      </w:r>
    </w:p>
    <w:p>
      <w:pPr>
        <w:pStyle w:val="ListParagraph"/>
        <w:numPr>
          <w:ilvl w:val="0"/>
          <w:numId w:val="1"/>
        </w:numPr>
        <w:spacing w:after="60" w:before="40"/>
      </w:pPr>
      <w:r>
        <w:rPr>
          <w:rFonts w:ascii="Calibri" w:cs="Calibri" w:eastAsia="Calibri" w:hAnsi="Calibri"/>
          <w:b/>
          <w:bCs/>
          <w:color w:val="0F172A"/>
          <w:sz w:val="22"/>
          <w:szCs w:val="22"/>
        </w:rPr>
        <w:t xml:space="preserve">AI Inference Engine: </w:t>
      </w:r>
      <w:r>
        <w:rPr>
          <w:rFonts w:ascii="Calibri" w:cs="Calibri" w:eastAsia="Calibri" w:hAnsi="Calibri"/>
          <w:color w:val="334155"/>
          <w:sz w:val="22"/>
          <w:szCs w:val="22"/>
        </w:rPr>
        <w:t xml:space="preserve">Google Gemini multimodal integration via server-side SDK proxy with strict regex-assisted heuristic fallbacks for offline and zero-token resilience.</w:t>
      </w:r>
    </w:p>
    <w:p>
      <w:pPr>
        <w:pStyle w:val="Heading2"/>
        <w:spacing w:after="80" w:before="200"/>
      </w:pPr>
      <w:r>
        <w:rPr>
          <w:rFonts w:ascii="Calibri" w:cs="Calibri" w:eastAsia="Calibri" w:hAnsi="Calibri"/>
          <w:b/>
          <w:bCs/>
          <w:color w:val="1E40AF"/>
        </w:rPr>
        <w:t xml:space="preserve">6.2 Entity-Relationship &amp; Schema Architecture</w:t>
      </w:r>
    </w:p>
    <w:p>
      <w:pPr>
        <w:spacing w:after="100" w:before="60" w:line="276"/>
      </w:pPr>
      <w:r>
        <w:rPr>
          <w:rFonts w:ascii="Calibri" w:cs="Calibri" w:eastAsia="Calibri" w:hAnsi="Calibri"/>
          <w:color w:val="334155"/>
          <w:sz w:val="22"/>
          <w:szCs w:val="22"/>
        </w:rPr>
        <w:t xml:space="preserve">The core relational model enforces strict multi-tenancy and auditability:</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2257"/>
        <w:gridCol w:w="3610"/>
        <w:gridCol w:w="3159"/>
      </w:tblGrid>
      <w:tr>
        <w:tc>
          <w:tcPr>
            <w:tcW w:type="pct" w:w="12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Table / Entity</w:t>
            </w:r>
          </w:p>
        </w:tc>
        <w:tc>
          <w:tcPr>
            <w:tcW w:type="pct" w:w="200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Key Attributes</w:t>
            </w:r>
          </w:p>
        </w:tc>
        <w:tc>
          <w:tcPr>
            <w:tcW w:type="pct" w:w="1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Foreign Key Relationships &amp; Constraints</w:t>
            </w:r>
          </w:p>
        </w:tc>
      </w:tr>
      <w:tr>
        <w:tc>
          <w:tcPr>
            <w:tcW w:type="pct" w:w="1250"/>
            <w:shd w:fill="FFFFFF" w:val="clear"/>
            <w:tcMar>
              <w:top w:type="dxa" w:w="100"/>
              <w:left w:type="dxa" w:w="140"/>
              <w:bottom w:type="dxa" w:w="100"/>
              <w:right w:type="dxa" w:w="140"/>
            </w:tcMar>
          </w:tcPr>
          <w:p>
            <w:r>
              <w:rPr>
                <w:rFonts w:ascii="Calibri" w:cs="Calibri" w:eastAsia="Calibri" w:hAnsi="Calibri"/>
                <w:color w:val="334155"/>
                <w:sz w:val="20"/>
                <w:szCs w:val="20"/>
              </w:rPr>
              <w:t xml:space="preserve">schools</w:t>
            </w:r>
          </w:p>
        </w:tc>
        <w:tc>
          <w:tcPr>
            <w:tcW w:type="pct" w:w="2000"/>
            <w:shd w:fill="FFFFFF" w:val="clear"/>
            <w:tcMar>
              <w:top w:type="dxa" w:w="100"/>
              <w:left w:type="dxa" w:w="140"/>
              <w:bottom w:type="dxa" w:w="100"/>
              <w:right w:type="dxa" w:w="140"/>
            </w:tcMar>
          </w:tcPr>
          <w:p>
            <w:r>
              <w:rPr>
                <w:rFonts w:ascii="Calibri" w:cs="Calibri" w:eastAsia="Calibri" w:hAnsi="Calibri"/>
                <w:color w:val="334155"/>
                <w:sz w:val="20"/>
                <w:szCs w:val="20"/>
              </w:rPr>
              <w:t xml:space="preserve">id (UUID), name, code, county, created_at</w:t>
            </w:r>
          </w:p>
        </w:tc>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Tenant boundary root entity</w:t>
            </w:r>
          </w:p>
        </w:tc>
      </w:tr>
      <w:tr>
        <w:tc>
          <w:tcPr>
            <w:tcW w:type="pct" w:w="1250"/>
            <w:shd w:fill="F8FAFC" w:val="clear"/>
            <w:tcMar>
              <w:top w:type="dxa" w:w="100"/>
              <w:left w:type="dxa" w:w="140"/>
              <w:bottom w:type="dxa" w:w="100"/>
              <w:right w:type="dxa" w:w="140"/>
            </w:tcMar>
          </w:tcPr>
          <w:p>
            <w:r>
              <w:rPr>
                <w:rFonts w:ascii="Calibri" w:cs="Calibri" w:eastAsia="Calibri" w:hAnsi="Calibri"/>
                <w:color w:val="334155"/>
                <w:sz w:val="20"/>
                <w:szCs w:val="20"/>
              </w:rPr>
              <w:t xml:space="preserve">users</w:t>
            </w:r>
          </w:p>
        </w:tc>
        <w:tc>
          <w:tcPr>
            <w:tcW w:type="pct" w:w="2000"/>
            <w:shd w:fill="F8FAFC" w:val="clear"/>
            <w:tcMar>
              <w:top w:type="dxa" w:w="100"/>
              <w:left w:type="dxa" w:w="140"/>
              <w:bottom w:type="dxa" w:w="100"/>
              <w:right w:type="dxa" w:w="140"/>
            </w:tcMar>
          </w:tcPr>
          <w:p>
            <w:r>
              <w:rPr>
                <w:rFonts w:ascii="Calibri" w:cs="Calibri" w:eastAsia="Calibri" w:hAnsi="Calibri"/>
                <w:color w:val="334155"/>
                <w:sz w:val="20"/>
                <w:szCs w:val="20"/>
              </w:rPr>
              <w:t xml:space="preserve">id, school_id, email, role, full_name, knec_reg_no</w:t>
            </w:r>
          </w:p>
        </w:tc>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FK -&gt; schools.id; Role ENUM (admin, teacher, student)</w:t>
            </w:r>
          </w:p>
        </w:tc>
      </w:tr>
      <w:tr>
        <w:tc>
          <w:tcPr>
            <w:tcW w:type="pct" w:w="1250"/>
            <w:shd w:fill="FFFFFF" w:val="clear"/>
            <w:tcMar>
              <w:top w:type="dxa" w:w="100"/>
              <w:left w:type="dxa" w:w="140"/>
              <w:bottom w:type="dxa" w:w="100"/>
              <w:right w:type="dxa" w:w="140"/>
            </w:tcMar>
          </w:tcPr>
          <w:p>
            <w:r>
              <w:rPr>
                <w:rFonts w:ascii="Calibri" w:cs="Calibri" w:eastAsia="Calibri" w:hAnsi="Calibri"/>
                <w:color w:val="334155"/>
                <w:sz w:val="20"/>
                <w:szCs w:val="20"/>
              </w:rPr>
              <w:t xml:space="preserve">experiments</w:t>
            </w:r>
          </w:p>
        </w:tc>
        <w:tc>
          <w:tcPr>
            <w:tcW w:type="pct" w:w="2000"/>
            <w:shd w:fill="FFFFFF" w:val="clear"/>
            <w:tcMar>
              <w:top w:type="dxa" w:w="100"/>
              <w:left w:type="dxa" w:w="140"/>
              <w:bottom w:type="dxa" w:w="100"/>
              <w:right w:type="dxa" w:w="140"/>
            </w:tcMar>
          </w:tcPr>
          <w:p>
            <w:r>
              <w:rPr>
                <w:rFonts w:ascii="Calibri" w:cs="Calibri" w:eastAsia="Calibri" w:hAnsi="Calibri"/>
                <w:color w:val="334155"/>
                <w:sz w:val="20"/>
                <w:szCs w:val="20"/>
              </w:rPr>
              <w:t xml:space="preserve">id, school_id, title, subject, simulation_type, steps, apparatus, answer_sheet, rubric</w:t>
            </w:r>
          </w:p>
        </w:tc>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FK -&gt; schools.id; JSONB attributes for steps &amp; rubric</w:t>
            </w:r>
          </w:p>
        </w:tc>
      </w:tr>
      <w:tr>
        <w:tc>
          <w:tcPr>
            <w:tcW w:type="pct" w:w="1250"/>
            <w:shd w:fill="F8FAFC" w:val="clear"/>
            <w:tcMar>
              <w:top w:type="dxa" w:w="100"/>
              <w:left w:type="dxa" w:w="140"/>
              <w:bottom w:type="dxa" w:w="100"/>
              <w:right w:type="dxa" w:w="140"/>
            </w:tcMar>
          </w:tcPr>
          <w:p>
            <w:r>
              <w:rPr>
                <w:rFonts w:ascii="Calibri" w:cs="Calibri" w:eastAsia="Calibri" w:hAnsi="Calibri"/>
                <w:color w:val="334155"/>
                <w:sz w:val="20"/>
                <w:szCs w:val="20"/>
              </w:rPr>
              <w:t xml:space="preserve">assignments</w:t>
            </w:r>
          </w:p>
        </w:tc>
        <w:tc>
          <w:tcPr>
            <w:tcW w:type="pct" w:w="2000"/>
            <w:shd w:fill="F8FAFC" w:val="clear"/>
            <w:tcMar>
              <w:top w:type="dxa" w:w="100"/>
              <w:left w:type="dxa" w:w="140"/>
              <w:bottom w:type="dxa" w:w="100"/>
              <w:right w:type="dxa" w:w="140"/>
            </w:tcMar>
          </w:tcPr>
          <w:p>
            <w:r>
              <w:rPr>
                <w:rFonts w:ascii="Calibri" w:cs="Calibri" w:eastAsia="Calibri" w:hAnsi="Calibri"/>
                <w:color w:val="334155"/>
                <w:sz w:val="20"/>
                <w:szCs w:val="20"/>
              </w:rPr>
              <w:t xml:space="preserve">id, experiment_id, class_id, teacher_id, due_date, status</w:t>
            </w:r>
          </w:p>
        </w:tc>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FK -&gt; experiments.id, classes.id, users.id</w:t>
            </w:r>
          </w:p>
        </w:tc>
      </w:tr>
      <w:tr>
        <w:tc>
          <w:tcPr>
            <w:tcW w:type="pct" w:w="1250"/>
            <w:shd w:fill="FFFFFF" w:val="clear"/>
            <w:tcMar>
              <w:top w:type="dxa" w:w="100"/>
              <w:left w:type="dxa" w:w="140"/>
              <w:bottom w:type="dxa" w:w="100"/>
              <w:right w:type="dxa" w:w="140"/>
            </w:tcMar>
          </w:tcPr>
          <w:p>
            <w:r>
              <w:rPr>
                <w:rFonts w:ascii="Calibri" w:cs="Calibri" w:eastAsia="Calibri" w:hAnsi="Calibri"/>
                <w:color w:val="334155"/>
                <w:sz w:val="20"/>
                <w:szCs w:val="20"/>
              </w:rPr>
              <w:t xml:space="preserve">student_attempts</w:t>
            </w:r>
          </w:p>
        </w:tc>
        <w:tc>
          <w:tcPr>
            <w:tcW w:type="pct" w:w="2000"/>
            <w:shd w:fill="FFFFFF" w:val="clear"/>
            <w:tcMar>
              <w:top w:type="dxa" w:w="100"/>
              <w:left w:type="dxa" w:w="140"/>
              <w:bottom w:type="dxa" w:w="100"/>
              <w:right w:type="dxa" w:w="140"/>
            </w:tcMar>
          </w:tcPr>
          <w:p>
            <w:r>
              <w:rPr>
                <w:rFonts w:ascii="Calibri" w:cs="Calibri" w:eastAsia="Calibri" w:hAnsi="Calibri"/>
                <w:color w:val="334155"/>
                <w:sz w:val="20"/>
                <w:szCs w:val="20"/>
              </w:rPr>
              <w:t xml:space="preserve">id, assignment_id, student_id, student_data, total_score, max_score, status, graded_at</w:t>
            </w:r>
          </w:p>
        </w:tc>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FK -&gt; assignments.id, users.id; JSONB student_data</w:t>
            </w:r>
          </w:p>
        </w:tc>
      </w:tr>
    </w:tbl>
    <w:p>
      <w:pPr>
        <w:pStyle w:val="Heading1"/>
        <w:spacing w:after="120" w:before="280"/>
      </w:pPr>
      <w:r>
        <w:rPr>
          <w:rFonts w:ascii="Calibri" w:cs="Calibri" w:eastAsia="Calibri" w:hAnsi="Calibri"/>
          <w:b/>
          <w:bCs/>
          <w:color w:val="0F172A"/>
        </w:rPr>
        <w:t xml:space="preserve">7. Non-Functional Requirements &amp; Security Compliance</w:t>
      </w:r>
    </w:p>
    <w:p>
      <w:pPr>
        <w:pStyle w:val="ListParagraph"/>
        <w:numPr>
          <w:ilvl w:val="0"/>
          <w:numId w:val="1"/>
        </w:numPr>
        <w:spacing w:after="60" w:before="40"/>
      </w:pPr>
      <w:r>
        <w:rPr>
          <w:rFonts w:ascii="Calibri" w:cs="Calibri" w:eastAsia="Calibri" w:hAnsi="Calibri"/>
          <w:b/>
          <w:bCs/>
          <w:color w:val="0F172A"/>
          <w:sz w:val="22"/>
          <w:szCs w:val="22"/>
        </w:rPr>
        <w:t xml:space="preserve">Performance &amp; Latency (NFR-001): </w:t>
      </w:r>
      <w:r>
        <w:rPr>
          <w:rFonts w:ascii="Calibri" w:cs="Calibri" w:eastAsia="Calibri" w:hAnsi="Calibri"/>
          <w:color w:val="334155"/>
          <w:sz w:val="22"/>
          <w:szCs w:val="22"/>
        </w:rPr>
        <w:t xml:space="preserve">Workbench simulation frame rate must sustain &gt;= 55 FPS on standard Intel Core i3 / Chromebook hardware without GPU acceleration.</w:t>
      </w:r>
    </w:p>
    <w:p>
      <w:pPr>
        <w:pStyle w:val="ListParagraph"/>
        <w:numPr>
          <w:ilvl w:val="0"/>
          <w:numId w:val="1"/>
        </w:numPr>
        <w:spacing w:after="60" w:before="40"/>
      </w:pPr>
      <w:r>
        <w:rPr>
          <w:rFonts w:ascii="Calibri" w:cs="Calibri" w:eastAsia="Calibri" w:hAnsi="Calibri"/>
          <w:b/>
          <w:bCs/>
          <w:color w:val="0F172A"/>
          <w:sz w:val="22"/>
          <w:szCs w:val="22"/>
        </w:rPr>
        <w:t xml:space="preserve">Throughput (NFR-002): </w:t>
      </w:r>
      <w:r>
        <w:rPr>
          <w:rFonts w:ascii="Calibri" w:cs="Calibri" w:eastAsia="Calibri" w:hAnsi="Calibri"/>
          <w:color w:val="334155"/>
          <w:sz w:val="22"/>
          <w:szCs w:val="22"/>
        </w:rPr>
        <w:t xml:space="preserve">AI natural language parsing roundtrip must complete within 2.5 seconds on server endpoints, with instantaneous (&lt;50ms) heuristic fallback.</w:t>
      </w:r>
    </w:p>
    <w:p>
      <w:pPr>
        <w:pStyle w:val="ListParagraph"/>
        <w:numPr>
          <w:ilvl w:val="0"/>
          <w:numId w:val="1"/>
        </w:numPr>
        <w:spacing w:after="60" w:before="40"/>
      </w:pPr>
      <w:r>
        <w:rPr>
          <w:rFonts w:ascii="Calibri" w:cs="Calibri" w:eastAsia="Calibri" w:hAnsi="Calibri"/>
          <w:b/>
          <w:bCs/>
          <w:color w:val="0F172A"/>
          <w:sz w:val="22"/>
          <w:szCs w:val="22"/>
        </w:rPr>
        <w:t xml:space="preserve">Data Security (NFR-003): </w:t>
      </w:r>
      <w:r>
        <w:rPr>
          <w:rFonts w:ascii="Calibri" w:cs="Calibri" w:eastAsia="Calibri" w:hAnsi="Calibri"/>
          <w:color w:val="334155"/>
          <w:sz w:val="22"/>
          <w:szCs w:val="22"/>
        </w:rPr>
        <w:t xml:space="preserve">Data Protection Act 2019 (Kenya) &amp; GDPR compliance. Student identities and examination scripts are encrypted at rest (AES-256) and in transit (TLS 1.3).</w:t>
      </w:r>
    </w:p>
    <w:p>
      <w:pPr>
        <w:pStyle w:val="ListParagraph"/>
        <w:numPr>
          <w:ilvl w:val="0"/>
          <w:numId w:val="1"/>
        </w:numPr>
        <w:spacing w:after="60" w:before="40"/>
      </w:pPr>
      <w:r>
        <w:rPr>
          <w:rFonts w:ascii="Calibri" w:cs="Calibri" w:eastAsia="Calibri" w:hAnsi="Calibri"/>
          <w:b/>
          <w:bCs/>
          <w:color w:val="0F172A"/>
          <w:sz w:val="22"/>
          <w:szCs w:val="22"/>
        </w:rPr>
        <w:t xml:space="preserve">Multi-Tenancy (NFR-004): </w:t>
      </w:r>
      <w:r>
        <w:rPr>
          <w:rFonts w:ascii="Calibri" w:cs="Calibri" w:eastAsia="Calibri" w:hAnsi="Calibri"/>
          <w:color w:val="334155"/>
          <w:sz w:val="22"/>
          <w:szCs w:val="22"/>
        </w:rPr>
        <w:t xml:space="preserve">Full tenant isolation. School A cannot query, view, or aggregate student attempts or proprietary teacher examination papers belonging to School B.</w:t>
      </w:r>
    </w:p>
    <w:p>
      <w:pPr>
        <w:pStyle w:val="Heading1"/>
        <w:spacing w:after="120" w:before="280"/>
      </w:pPr>
      <w:r>
        <w:rPr>
          <w:rFonts w:ascii="Calibri" w:cs="Calibri" w:eastAsia="Calibri" w:hAnsi="Calibri"/>
          <w:b/>
          <w:bCs/>
          <w:color w:val="0F172A"/>
        </w:rPr>
        <w:t xml:space="preserve">8. Corporate RACI Matrix &amp; Implementation Roadmap</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3159"/>
        <w:gridCol w:w="1805"/>
        <w:gridCol w:w="1354"/>
        <w:gridCol w:w="1354"/>
        <w:gridCol w:w="1354"/>
      </w:tblGrid>
      <w:tr>
        <w:tc>
          <w:tcPr>
            <w:tcW w:type="pct" w:w="1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Project Milestone / Phase</w:t>
            </w:r>
          </w:p>
        </w:tc>
        <w:tc>
          <w:tcPr>
            <w:tcW w:type="pct" w:w="100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Responsible (R)</w:t>
            </w:r>
          </w:p>
        </w:tc>
        <w:tc>
          <w:tcPr>
            <w:tcW w:type="pct" w:w="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Accountable (A)</w:t>
            </w:r>
          </w:p>
        </w:tc>
        <w:tc>
          <w:tcPr>
            <w:tcW w:type="pct" w:w="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Consulted (C)</w:t>
            </w:r>
          </w:p>
        </w:tc>
        <w:tc>
          <w:tcPr>
            <w:tcW w:type="pct" w:w="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Informed (I)</w:t>
            </w:r>
          </w:p>
        </w:tc>
      </w:tr>
      <w:tr>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Phase 1: Typo &amp; Apparatus Disambiguation Engine</w:t>
            </w:r>
          </w:p>
        </w:tc>
        <w:tc>
          <w:tcPr>
            <w:tcW w:type="pct" w:w="1000"/>
            <w:shd w:fill="FFFFFF" w:val="clear"/>
            <w:tcMar>
              <w:top w:type="dxa" w:w="100"/>
              <w:left w:type="dxa" w:w="140"/>
              <w:bottom w:type="dxa" w:w="100"/>
              <w:right w:type="dxa" w:w="140"/>
            </w:tcMar>
          </w:tcPr>
          <w:p>
            <w:r>
              <w:rPr>
                <w:rFonts w:ascii="Calibri" w:cs="Calibri" w:eastAsia="Calibri" w:hAnsi="Calibri"/>
                <w:color w:val="334155"/>
                <w:sz w:val="20"/>
                <w:szCs w:val="20"/>
              </w:rPr>
              <w:t xml:space="preserve">Senior AI Engineer</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Tech Lead</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Science HOD</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Teachers</w:t>
            </w:r>
          </w:p>
        </w:tc>
      </w:tr>
      <w:tr>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Phase 2: High-Fidelity Titration &amp; Fluid Workbench</w:t>
            </w:r>
          </w:p>
        </w:tc>
        <w:tc>
          <w:tcPr>
            <w:tcW w:type="pct" w:w="1000"/>
            <w:shd w:fill="F8FAFC" w:val="clear"/>
            <w:tcMar>
              <w:top w:type="dxa" w:w="100"/>
              <w:left w:type="dxa" w:w="140"/>
              <w:bottom w:type="dxa" w:w="100"/>
              <w:right w:type="dxa" w:w="140"/>
            </w:tcMar>
          </w:tcPr>
          <w:p>
            <w:r>
              <w:rPr>
                <w:rFonts w:ascii="Calibri" w:cs="Calibri" w:eastAsia="Calibri" w:hAnsi="Calibri"/>
                <w:color w:val="334155"/>
                <w:sz w:val="20"/>
                <w:szCs w:val="20"/>
              </w:rPr>
              <w:t xml:space="preserve">Frontend Simulation Eng</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UX Architect</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KNEC Examiner</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Students</w:t>
            </w:r>
          </w:p>
        </w:tc>
      </w:tr>
      <w:tr>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Phase 3: Multi-Trial Table &amp; Concordancy Evaluator</w:t>
            </w:r>
          </w:p>
        </w:tc>
        <w:tc>
          <w:tcPr>
            <w:tcW w:type="pct" w:w="1000"/>
            <w:shd w:fill="FFFFFF" w:val="clear"/>
            <w:tcMar>
              <w:top w:type="dxa" w:w="100"/>
              <w:left w:type="dxa" w:w="140"/>
              <w:bottom w:type="dxa" w:w="100"/>
              <w:right w:type="dxa" w:w="140"/>
            </w:tcMar>
          </w:tcPr>
          <w:p>
            <w:r>
              <w:rPr>
                <w:rFonts w:ascii="Calibri" w:cs="Calibri" w:eastAsia="Calibri" w:hAnsi="Calibri"/>
                <w:color w:val="334155"/>
                <w:sz w:val="20"/>
                <w:szCs w:val="20"/>
              </w:rPr>
              <w:t xml:space="preserve">Full-Stack Engineer</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Lead Architect</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Curriculum Lead</w:t>
            </w:r>
          </w:p>
        </w:tc>
        <w:tc>
          <w:tcPr>
            <w:tcW w:type="pct" w:w="750"/>
            <w:shd w:fill="FFFFFF" w:val="clear"/>
            <w:tcMar>
              <w:top w:type="dxa" w:w="100"/>
              <w:left w:type="dxa" w:w="140"/>
              <w:bottom w:type="dxa" w:w="100"/>
              <w:right w:type="dxa" w:w="140"/>
            </w:tcMar>
          </w:tcPr>
          <w:p>
            <w:r>
              <w:rPr>
                <w:rFonts w:ascii="Calibri" w:cs="Calibri" w:eastAsia="Calibri" w:hAnsi="Calibri"/>
                <w:color w:val="334155"/>
                <w:sz w:val="20"/>
                <w:szCs w:val="20"/>
              </w:rPr>
              <w:t xml:space="preserve">School HOD</w:t>
            </w:r>
          </w:p>
        </w:tc>
      </w:tr>
      <w:tr>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Phase 4: Multi-Tenant RBAC &amp; Auto-Grading Rollout</w:t>
            </w:r>
          </w:p>
        </w:tc>
        <w:tc>
          <w:tcPr>
            <w:tcW w:type="pct" w:w="1000"/>
            <w:shd w:fill="F8FAFC" w:val="clear"/>
            <w:tcMar>
              <w:top w:type="dxa" w:w="100"/>
              <w:left w:type="dxa" w:w="140"/>
              <w:bottom w:type="dxa" w:w="100"/>
              <w:right w:type="dxa" w:w="140"/>
            </w:tcMar>
          </w:tcPr>
          <w:p>
            <w:r>
              <w:rPr>
                <w:rFonts w:ascii="Calibri" w:cs="Calibri" w:eastAsia="Calibri" w:hAnsi="Calibri"/>
                <w:color w:val="334155"/>
                <w:sz w:val="20"/>
                <w:szCs w:val="20"/>
              </w:rPr>
              <w:t xml:space="preserve">Cloud &amp; DevOps Lead</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Platform Director</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MoE Auditors</w:t>
            </w:r>
          </w:p>
        </w:tc>
        <w:tc>
          <w:tcPr>
            <w:tcW w:type="pct" w:w="750"/>
            <w:shd w:fill="F8FAFC" w:val="clear"/>
            <w:tcMar>
              <w:top w:type="dxa" w:w="100"/>
              <w:left w:type="dxa" w:w="140"/>
              <w:bottom w:type="dxa" w:w="100"/>
              <w:right w:type="dxa" w:w="140"/>
            </w:tcMar>
          </w:tcPr>
          <w:p>
            <w:r>
              <w:rPr>
                <w:rFonts w:ascii="Calibri" w:cs="Calibri" w:eastAsia="Calibri" w:hAnsi="Calibri"/>
                <w:color w:val="334155"/>
                <w:sz w:val="20"/>
                <w:szCs w:val="20"/>
              </w:rPr>
              <w:t xml:space="preserve">All Users</w:t>
            </w:r>
          </w:p>
        </w:tc>
      </w:tr>
    </w:tbl>
    <w:p>
      <w:pPr>
        <w:pStyle w:val="Heading1"/>
        <w:spacing w:after="120" w:before="280"/>
      </w:pPr>
      <w:r>
        <w:rPr>
          <w:rFonts w:ascii="Calibri" w:cs="Calibri" w:eastAsia="Calibri" w:hAnsi="Calibri"/>
          <w:b/>
          <w:bCs/>
          <w:color w:val="0F172A"/>
        </w:rPr>
        <w:t xml:space="preserve">9. Executive Document Sign-Off &amp; Approvals</w:t>
      </w:r>
    </w:p>
    <w:p>
      <w:pPr>
        <w:spacing w:after="100" w:before="60" w:line="276"/>
      </w:pPr>
      <w:r>
        <w:rPr>
          <w:rFonts w:ascii="Calibri" w:cs="Calibri" w:eastAsia="Calibri" w:hAnsi="Calibri"/>
          <w:color w:val="334155"/>
          <w:sz w:val="22"/>
          <w:szCs w:val="22"/>
        </w:rPr>
        <w:t xml:space="preserve">By signing below, the executive stakeholders confirm that this Business Requirements Document (BRD) and Detailed Requirements Document (DRD) accurately and exhaustively represent the operational, pedagogical, and technical expectations of the STEM-SPARK-LAB enterprise platform.</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2708"/>
        <w:gridCol w:w="3159"/>
        <w:gridCol w:w="3159"/>
      </w:tblGrid>
      <w:tr>
        <w:tc>
          <w:tcPr>
            <w:tcW w:type="pct" w:w="150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Sign-off Authority</w:t>
            </w:r>
          </w:p>
        </w:tc>
        <w:tc>
          <w:tcPr>
            <w:tcW w:type="pct" w:w="1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Name &amp; Designation</w:t>
            </w:r>
          </w:p>
        </w:tc>
        <w:tc>
          <w:tcPr>
            <w:tcW w:type="pct" w:w="1750"/>
            <w:shd w:fill="1E293B" w:val="clear"/>
            <w:tcMar>
              <w:top w:type="dxa" w:w="120"/>
              <w:left w:type="dxa" w:w="140"/>
              <w:bottom w:type="dxa" w:w="120"/>
              <w:right w:type="dxa" w:w="140"/>
            </w:tcMar>
          </w:tcPr>
          <w:p>
            <w:r>
              <w:rPr>
                <w:rFonts w:ascii="Calibri" w:cs="Calibri" w:eastAsia="Calibri" w:hAnsi="Calibri"/>
                <w:b/>
                <w:bCs/>
                <w:color w:val="FFFFFF"/>
                <w:sz w:val="20"/>
                <w:szCs w:val="20"/>
              </w:rPr>
              <w:t xml:space="preserve">Signature &amp; Approval Date</w:t>
            </w:r>
          </w:p>
        </w:tc>
      </w:tr>
      <w:tr>
        <w:tc>
          <w:tcPr>
            <w:tcW w:type="pct" w:w="1500"/>
            <w:shd w:fill="FFFFFF" w:val="clear"/>
            <w:tcMar>
              <w:top w:type="dxa" w:w="100"/>
              <w:left w:type="dxa" w:w="140"/>
              <w:bottom w:type="dxa" w:w="100"/>
              <w:right w:type="dxa" w:w="140"/>
            </w:tcMar>
          </w:tcPr>
          <w:p>
            <w:r>
              <w:rPr>
                <w:rFonts w:ascii="Calibri" w:cs="Calibri" w:eastAsia="Calibri" w:hAnsi="Calibri"/>
                <w:color w:val="334155"/>
                <w:sz w:val="20"/>
                <w:szCs w:val="20"/>
              </w:rPr>
              <w:t xml:space="preserve">Business Sponsor</w:t>
            </w:r>
          </w:p>
        </w:tc>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Director of STEM Education &amp; Digital Learning</w:t>
            </w:r>
          </w:p>
        </w:tc>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APPROVED - 09/10/2026</w:t>
            </w:r>
          </w:p>
        </w:tc>
      </w:tr>
      <w:tr>
        <w:tc>
          <w:tcPr>
            <w:tcW w:type="pct" w:w="1500"/>
            <w:shd w:fill="F8FAFC" w:val="clear"/>
            <w:tcMar>
              <w:top w:type="dxa" w:w="100"/>
              <w:left w:type="dxa" w:w="140"/>
              <w:bottom w:type="dxa" w:w="100"/>
              <w:right w:type="dxa" w:w="140"/>
            </w:tcMar>
          </w:tcPr>
          <w:p>
            <w:r>
              <w:rPr>
                <w:rFonts w:ascii="Calibri" w:cs="Calibri" w:eastAsia="Calibri" w:hAnsi="Calibri"/>
                <w:color w:val="334155"/>
                <w:sz w:val="20"/>
                <w:szCs w:val="20"/>
              </w:rPr>
              <w:t xml:space="preserve">Chief Technology Officer</w:t>
            </w:r>
          </w:p>
        </w:tc>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VP of Platform &amp; Simulation Engineering</w:t>
            </w:r>
          </w:p>
        </w:tc>
        <w:tc>
          <w:tcPr>
            <w:tcW w:type="pct" w:w="1750"/>
            <w:shd w:fill="F8FAFC" w:val="clear"/>
            <w:tcMar>
              <w:top w:type="dxa" w:w="100"/>
              <w:left w:type="dxa" w:w="140"/>
              <w:bottom w:type="dxa" w:w="100"/>
              <w:right w:type="dxa" w:w="140"/>
            </w:tcMar>
          </w:tcPr>
          <w:p>
            <w:r>
              <w:rPr>
                <w:rFonts w:ascii="Calibri" w:cs="Calibri" w:eastAsia="Calibri" w:hAnsi="Calibri"/>
                <w:color w:val="334155"/>
                <w:sz w:val="20"/>
                <w:szCs w:val="20"/>
              </w:rPr>
              <w:t xml:space="preserve">APPROVED - 09/10/2026</w:t>
            </w:r>
          </w:p>
        </w:tc>
      </w:tr>
      <w:tr>
        <w:tc>
          <w:tcPr>
            <w:tcW w:type="pct" w:w="1500"/>
            <w:shd w:fill="FFFFFF" w:val="clear"/>
            <w:tcMar>
              <w:top w:type="dxa" w:w="100"/>
              <w:left w:type="dxa" w:w="140"/>
              <w:bottom w:type="dxa" w:w="100"/>
              <w:right w:type="dxa" w:w="140"/>
            </w:tcMar>
          </w:tcPr>
          <w:p>
            <w:r>
              <w:rPr>
                <w:rFonts w:ascii="Calibri" w:cs="Calibri" w:eastAsia="Calibri" w:hAnsi="Calibri"/>
                <w:color w:val="334155"/>
                <w:sz w:val="20"/>
                <w:szCs w:val="20"/>
              </w:rPr>
              <w:t xml:space="preserve">Chief Academic Examiner</w:t>
            </w:r>
          </w:p>
        </w:tc>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Senior Science Examination Lead (KNEC Chemistry)</w:t>
            </w:r>
          </w:p>
        </w:tc>
        <w:tc>
          <w:tcPr>
            <w:tcW w:type="pct" w:w="1750"/>
            <w:shd w:fill="FFFFFF" w:val="clear"/>
            <w:tcMar>
              <w:top w:type="dxa" w:w="100"/>
              <w:left w:type="dxa" w:w="140"/>
              <w:bottom w:type="dxa" w:w="100"/>
              <w:right w:type="dxa" w:w="140"/>
            </w:tcMar>
          </w:tcPr>
          <w:p>
            <w:r>
              <w:rPr>
                <w:rFonts w:ascii="Calibri" w:cs="Calibri" w:eastAsia="Calibri" w:hAnsi="Calibri"/>
                <w:color w:val="334155"/>
                <w:sz w:val="20"/>
                <w:szCs w:val="20"/>
              </w:rPr>
              <w:t xml:space="preserve">APPROVED - 09/10/2026</w:t>
            </w:r>
          </w:p>
        </w:tc>
      </w:tr>
    </w:tbl>
    <w:p>
      <w:pPr>
        <w:spacing w:before="400"/>
      </w:pPr>
    </w:p>
    <w:p>
      <w:pPr>
        <w:jc w:val="center"/>
      </w:pPr>
      <w:r>
        <w:rPr>
          <w:b/>
          <w:bCs/>
          <w:color w:val="94A3B8"/>
          <w:sz w:val="20"/>
          <w:szCs w:val="20"/>
        </w:rPr>
        <w:t xml:space="preserve">--- END OF FORMAL SPECIFICATION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r>
      <w:rPr>
        <w:rFonts w:ascii="Calibri" w:cs="Calibri" w:eastAsia="Calibri" w:hAnsi="Calibri"/>
        <w:color w:val="94A3B8"/>
        <w:sz w:val="16"/>
        <w:szCs w:val="16"/>
      </w:rPr>
      <w:t xml:space="preserve">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STEM-SPARK-LAB | Corporate Business &amp; Detailed Requirements Document (BRD / DRD)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a072fed238cfcebe39535fa27efd948f157c844.jpg"/><Relationship Id="rId10" Type="http://schemas.openxmlformats.org/officeDocument/2006/relationships/image" Target="media/ca0fac56192839c12848d1eea161cde27cba7b46.jpg"/><Relationship Id="rId11" Type="http://schemas.openxmlformats.org/officeDocument/2006/relationships/image" Target="media/6033d2007cbb40b5e7142010fd64dad5fff84ae6.jpg"/><Relationship Id="rId12" Type="http://schemas.openxmlformats.org/officeDocument/2006/relationships/image" Target="media/111b7e40cec0d9f3babe0e6ea9f85e18719bab60.jpg"/><Relationship Id="rId13" Type="http://schemas.openxmlformats.org/officeDocument/2006/relationships/image" Target="media/d60308641f140078662f4622062ab73895b9568a.jpg"/><Relationship Id="rId14" Type="http://schemas.openxmlformats.org/officeDocument/2006/relationships/image" Target="media/36a94e5bf9908f94729d822e313ff4cf3370581c.jpg"/><Relationship Id="rId15" Type="http://schemas.openxmlformats.org/officeDocument/2006/relationships/image" Target="media/7a632b973cb65df17b3ef7d407d9e01d8666a4bf.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2026-10-09T15:56:23.469Z</dcterms:created>
  <dcterms:modified xsi:type="dcterms:W3CDTF">2026-10-09T15:56:23.469Z</dcterms:modified>
</cp:coreProperties>
</file>

<file path=docProps/custom.xml><?xml version="1.0" encoding="utf-8"?>
<Properties xmlns="http://schemas.openxmlformats.org/officeDocument/2006/custom-properties" xmlns:vt="http://schemas.openxmlformats.org/officeDocument/2006/docPropsVTypes"/>
</file>