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D58" w:rsidRDefault="00942D58" w:rsidP="00942D58">
      <w:pPr>
        <w:pStyle w:val="a0"/>
        <w:spacing w:before="156" w:after="156" w:line="360" w:lineRule="auto"/>
        <w:jc w:val="left"/>
        <w:rPr>
          <w:color w:val="000000" w:themeColor="text1"/>
        </w:rPr>
      </w:pPr>
      <w:bookmarkStart w:id="0" w:name="_Toc503187650"/>
      <w:bookmarkStart w:id="1" w:name="_Toc14924"/>
      <w:r>
        <w:rPr>
          <w:rFonts w:hint="eastAsia"/>
          <w:color w:val="000000" w:themeColor="text1"/>
        </w:rPr>
        <w:t>协议使用要求</w:t>
      </w:r>
      <w:bookmarkEnd w:id="0"/>
      <w:bookmarkEnd w:id="1"/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</w:rPr>
      </w:pPr>
      <w:bookmarkStart w:id="2" w:name="_Toc12443"/>
      <w:r>
        <w:rPr>
          <w:rFonts w:hint="eastAsia"/>
          <w:color w:val="000000" w:themeColor="text1"/>
        </w:rPr>
        <w:t>基本要求</w:t>
      </w:r>
      <w:bookmarkEnd w:id="2"/>
    </w:p>
    <w:p w:rsidR="00942D58" w:rsidRDefault="00942D58" w:rsidP="00942D58">
      <w:pPr>
        <w:pStyle w:val="ad"/>
        <w:rPr>
          <w:color w:val="000000" w:themeColor="text1"/>
        </w:rPr>
      </w:pPr>
      <w:r>
        <w:rPr>
          <w:rFonts w:hint="eastAsia"/>
          <w:color w:val="000000" w:themeColor="text1"/>
        </w:rPr>
        <w:t>应用此规范的</w:t>
      </w:r>
      <w:r>
        <w:rPr>
          <w:color w:val="000000" w:themeColor="text1"/>
        </w:rPr>
        <w:t>接口</w:t>
      </w:r>
      <w:r>
        <w:rPr>
          <w:rFonts w:hint="eastAsia"/>
          <w:color w:val="000000" w:themeColor="text1"/>
        </w:rPr>
        <w:t>时，应满足以下要求：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传输格式要求：JSON。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编码格式要求：UTF-8。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业务字段命名规范要求：小驼峰形式(如：deviceId)。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上行接口必须使用Https,下行接口优先使用Https，条件不具备的，可以使用TCP长连接。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协议请求满足以下基本格式：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请求数据基本格式</w:t>
      </w:r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timestamp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时间戳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见术语表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</w:t>
            </w:r>
            <w:r>
              <w:rPr>
                <w:rFonts w:ascii="Times New Roman"/>
                <w:color w:val="000000" w:themeColor="text1"/>
                <w:szCs w:val="18"/>
              </w:rPr>
              <w:t>ign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签名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AF2C42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加密格式由自己设置的秘钥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+timestamp+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接口编号（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command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）拼接起来，并采用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Md5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方式加密生成小写字符串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请求数据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List&lt;Object&gt;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942D58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根据接口不同请求数据数据不同（系统流畅后面需要对</w:t>
            </w: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data.data</w:t>
            </w:r>
            <w:r>
              <w:rPr>
                <w:rFonts w:ascii="Times New Roman" w:hint="eastAsia"/>
                <w:color w:val="000000" w:themeColor="text1"/>
                <w:kern w:val="2"/>
                <w:szCs w:val="24"/>
              </w:rPr>
              <w:t>进行加密）</w:t>
            </w:r>
          </w:p>
        </w:tc>
      </w:tr>
    </w:tbl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协议应答必须满足以下基本格式：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r>
        <w:rPr>
          <w:rFonts w:hint="eastAsia"/>
          <w:color w:val="000000" w:themeColor="text1"/>
        </w:rPr>
        <w:t>应答数据基本格式</w:t>
      </w:r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resultCode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Int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系统编码，参见附录</w:t>
            </w: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REF _Ref525737674 \r \h \* MERGEFORMAT </w:instrText>
            </w:r>
            <w:r>
              <w:rPr>
                <w:szCs w:val="18"/>
              </w:rPr>
            </w:r>
            <w:r>
              <w:rPr>
                <w:szCs w:val="18"/>
              </w:rPr>
              <w:fldChar w:fldCharType="separate"/>
            </w:r>
            <w:r>
              <w:rPr>
                <w:rFonts w:ascii="Times New Roman"/>
                <w:color w:val="000000" w:themeColor="text1"/>
                <w:szCs w:val="18"/>
              </w:rPr>
              <w:t>B.1</w:t>
            </w:r>
            <w:r>
              <w:rPr>
                <w:rFonts w:ascii="Times New Roman"/>
                <w:color w:val="000000" w:themeColor="text1"/>
                <w:szCs w:val="18"/>
              </w:rPr>
              <w:fldChar w:fldCharType="end"/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reslultMsg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系统消息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255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系统编码对应的消息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timestamp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时间戳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Timestamp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见术语表</w:t>
            </w:r>
          </w:p>
        </w:tc>
      </w:tr>
      <w:tr w:rsidR="00942D58" w:rsidTr="00E4534A">
        <w:tc>
          <w:tcPr>
            <w:tcW w:w="138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返回数据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List&lt;Object&gt;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根据接口不同返回数据不同</w:t>
            </w:r>
          </w:p>
        </w:tc>
      </w:tr>
    </w:tbl>
    <w:p w:rsidR="00942D58" w:rsidRDefault="00942D58" w:rsidP="00942D58">
      <w:pPr>
        <w:pStyle w:val="ad"/>
        <w:ind w:left="420" w:firstLineChars="0" w:firstLine="0"/>
        <w:rPr>
          <w:color w:val="000000" w:themeColor="text1"/>
        </w:rPr>
      </w:pP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本规范中有引用（使用）到其它规范的，以其它规范为准。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使用接口一次发送数据的大小不应该超过10M字节。</w:t>
      </w:r>
    </w:p>
    <w:p w:rsidR="00942D58" w:rsidRDefault="00942D58" w:rsidP="00942D58">
      <w:pPr>
        <w:pStyle w:val="ad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云平台、第三方平台必须采用如NTP等时间同步技术和格林威治时间保持同步。</w:t>
      </w:r>
    </w:p>
    <w:p w:rsidR="00942D58" w:rsidRDefault="00942D58" w:rsidP="00942D58">
      <w:pPr>
        <w:pStyle w:val="ad"/>
        <w:rPr>
          <w:color w:val="000000" w:themeColor="text1"/>
        </w:rPr>
      </w:pP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</w:rPr>
      </w:pPr>
      <w:bookmarkStart w:id="3" w:name="_Toc13111"/>
      <w:r>
        <w:rPr>
          <w:rFonts w:hint="eastAsia"/>
          <w:color w:val="000000" w:themeColor="text1"/>
        </w:rPr>
        <w:t>TCP 接口</w:t>
      </w:r>
      <w:bookmarkEnd w:id="3"/>
    </w:p>
    <w:p w:rsidR="00942D58" w:rsidRDefault="00942D58" w:rsidP="00942D58">
      <w:pPr>
        <w:pStyle w:val="ad"/>
        <w:rPr>
          <w:color w:val="000000" w:themeColor="text1"/>
        </w:rPr>
      </w:pPr>
      <w:r>
        <w:rPr>
          <w:color w:val="000000" w:themeColor="text1"/>
        </w:rPr>
        <w:t>TCP</w:t>
      </w:r>
      <w:r>
        <w:rPr>
          <w:rFonts w:hint="eastAsia"/>
          <w:color w:val="000000" w:themeColor="text1"/>
        </w:rPr>
        <w:t>接口应满足以下要求：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模型要求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采用请求应答模型，平台做为服务端，各第三方系统做为客户端，客户端应定时向服务端发送心跳以维持连接。云平台终结点（IP:PORT）在正式应用前由平台方提供。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发送数据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当客户端与服务端建立连接后，服务端可主动推送数据客户端，数据对齐方式采用1字节对齐；大小端模式采用大端模式；数据格式应遵循</w:t>
      </w:r>
      <w:r>
        <w:rPr>
          <w:rFonts w:hint="eastAsia"/>
        </w:rPr>
        <w:fldChar w:fldCharType="begin"/>
      </w:r>
      <w:r>
        <w:instrText xml:space="preserve">REF _Ref526004210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表26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定义：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4" w:name="_Ref526004210"/>
      <w:r>
        <w:rPr>
          <w:rFonts w:hint="eastAsia"/>
          <w:color w:val="000000" w:themeColor="text1"/>
        </w:rPr>
        <w:t>消息头定义</w:t>
      </w:r>
      <w:bookmarkEnd w:id="4"/>
    </w:p>
    <w:tbl>
      <w:tblPr>
        <w:tblStyle w:val="ae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276"/>
        <w:gridCol w:w="1134"/>
        <w:gridCol w:w="5387"/>
      </w:tblGrid>
      <w:tr w:rsidR="00942D58" w:rsidTr="00E4534A">
        <w:tc>
          <w:tcPr>
            <w:tcW w:w="675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序号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字段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长度（字节）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headFlag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 0-3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标志位：固定四个字符‘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SZTC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’怡丰平台：固定</w:t>
            </w:r>
            <w:r>
              <w:rPr>
                <w:rFonts w:ascii="Times New Roman" w:hint="eastAsia"/>
                <w:color w:val="000000" w:themeColor="text1"/>
                <w:szCs w:val="18"/>
              </w:rPr>
              <w:t xml:space="preserve"> SZYF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version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  <w:r>
              <w:rPr>
                <w:rFonts w:ascii="Times New Roman" w:hint="eastAsia"/>
                <w:szCs w:val="18"/>
              </w:rPr>
              <w:t xml:space="preserve"> 4-5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主版本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.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次版本，各一个字节</w:t>
            </w:r>
            <w:r>
              <w:rPr>
                <w:rFonts w:ascii="Times New Roman" w:hint="eastAsia"/>
                <w:color w:val="000000" w:themeColor="text1"/>
                <w:szCs w:val="18"/>
              </w:rPr>
              <w:t xml:space="preserve"> 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怡丰平台：主版本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.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次版本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FF FF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3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packetNo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  <w:r>
              <w:rPr>
                <w:rFonts w:ascii="Times New Roman" w:hint="eastAsia"/>
                <w:szCs w:val="18"/>
              </w:rPr>
              <w:t xml:space="preserve"> 6-9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无符号整数，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1-int.Max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之间循环，应答必须和请求包号相同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length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4</w:t>
            </w:r>
            <w:r>
              <w:rPr>
                <w:rFonts w:ascii="Times New Roman" w:hint="eastAsia"/>
                <w:szCs w:val="18"/>
              </w:rPr>
              <w:t xml:space="preserve"> 10-13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数据区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5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direction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  <w:r>
              <w:rPr>
                <w:rFonts w:ascii="Times New Roman" w:hint="eastAsia"/>
                <w:szCs w:val="18"/>
              </w:rPr>
              <w:t xml:space="preserve"> 14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0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：请求，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1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：应答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6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command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</w:t>
            </w:r>
            <w:r>
              <w:rPr>
                <w:rFonts w:ascii="Times New Roman" w:hint="eastAsia"/>
                <w:szCs w:val="18"/>
              </w:rPr>
              <w:t xml:space="preserve"> 15-16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采用接口编号</w:t>
            </w:r>
            <w:r>
              <w:rPr>
                <w:rFonts w:hAnsi="宋体" w:hint="eastAsia"/>
                <w:szCs w:val="18"/>
              </w:rPr>
              <w:t>:1-66536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7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data</w:t>
            </w:r>
          </w:p>
        </w:tc>
        <w:tc>
          <w:tcPr>
            <w:tcW w:w="1134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 xml:space="preserve">N </w:t>
            </w:r>
            <w:r>
              <w:rPr>
                <w:rFonts w:ascii="Times New Roman" w:hint="eastAsia"/>
                <w:szCs w:val="18"/>
              </w:rPr>
              <w:t>17-length+16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 xml:space="preserve">length 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指定长度，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JSON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格式，编码采用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UTF-8</w:t>
            </w:r>
          </w:p>
        </w:tc>
      </w:tr>
      <w:tr w:rsidR="00942D58" w:rsidTr="00E4534A">
        <w:tc>
          <w:tcPr>
            <w:tcW w:w="675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8</w:t>
            </w:r>
          </w:p>
        </w:tc>
        <w:tc>
          <w:tcPr>
            <w:tcW w:w="12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crc16</w:t>
            </w:r>
          </w:p>
        </w:tc>
        <w:tc>
          <w:tcPr>
            <w:tcW w:w="1134" w:type="dxa"/>
          </w:tcPr>
          <w:p w:rsidR="00942D58" w:rsidRDefault="000C1583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4</w:t>
            </w:r>
            <w:bookmarkStart w:id="5" w:name="_GoBack"/>
            <w:bookmarkEnd w:id="5"/>
            <w:r w:rsidR="00942D58">
              <w:rPr>
                <w:rFonts w:ascii="Times New Roman" w:hint="eastAsia"/>
                <w:szCs w:val="18"/>
              </w:rPr>
              <w:t xml:space="preserve"> length+17 - 18</w:t>
            </w:r>
          </w:p>
        </w:tc>
        <w:tc>
          <w:tcPr>
            <w:tcW w:w="538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从</w:t>
            </w:r>
            <w:r>
              <w:rPr>
                <w:rFonts w:ascii="Times New Roman" w:hint="eastAsia"/>
                <w:color w:val="000000" w:themeColor="text1"/>
                <w:szCs w:val="18"/>
              </w:rPr>
              <w:t xml:space="preserve"> headFlag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到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data(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包括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)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所有数据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crc16(ccitt-xmodem)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校验</w:t>
            </w:r>
          </w:p>
        </w:tc>
      </w:tr>
    </w:tbl>
    <w:p w:rsidR="00942D58" w:rsidRDefault="00942D58" w:rsidP="00942D58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数据定义</w:t>
      </w:r>
    </w:p>
    <w:p w:rsidR="00942D58" w:rsidRDefault="00942D58" w:rsidP="00942D58">
      <w:pPr>
        <w:pStyle w:val="ad"/>
        <w:ind w:left="1200" w:firstLineChars="0" w:firstLine="0"/>
        <w:rPr>
          <w:color w:val="000000" w:themeColor="text1"/>
        </w:rPr>
      </w:pPr>
      <w:r>
        <w:rPr>
          <w:color w:val="000000" w:themeColor="text1"/>
        </w:rPr>
        <w:t xml:space="preserve">data </w:t>
      </w:r>
      <w:r>
        <w:rPr>
          <w:rFonts w:hint="eastAsia"/>
          <w:color w:val="000000" w:themeColor="text1"/>
        </w:rPr>
        <w:t>字段为业务数据，数据格式定义遵循和业务数据相同的数据定义。</w:t>
      </w:r>
    </w:p>
    <w:p w:rsidR="00942D58" w:rsidRDefault="00942D58" w:rsidP="00942D58">
      <w:pPr>
        <w:pStyle w:val="ad"/>
        <w:numPr>
          <w:ilvl w:val="0"/>
          <w:numId w:val="6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加密方式</w:t>
      </w:r>
    </w:p>
    <w:p w:rsidR="00942D58" w:rsidRDefault="00942D58" w:rsidP="00942D58">
      <w:pPr>
        <w:pStyle w:val="ad"/>
        <w:ind w:left="120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传输加密：传输加密采用TLS证书加密方式。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连接断开: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当TCP连接建立后，服务端和客户端均可主动断开连接；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服务端在一定时间内（9秒）未收到客户端的心跳请求，则主动断开连接；</w:t>
      </w:r>
    </w:p>
    <w:p w:rsidR="00942D58" w:rsidRDefault="00942D58" w:rsidP="00942D58">
      <w:pPr>
        <w:pStyle w:val="ad"/>
        <w:numPr>
          <w:ilvl w:val="0"/>
          <w:numId w:val="7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客户端在向服务端发送心跳时，在3秒内未收到响应，再重发2次任然收不到响应则主动断开连接；</w:t>
      </w:r>
    </w:p>
    <w:p w:rsidR="00942D58" w:rsidRDefault="00942D58" w:rsidP="00942D58">
      <w:pPr>
        <w:pStyle w:val="ad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重新连接：</w:t>
      </w:r>
    </w:p>
    <w:p w:rsidR="00942D58" w:rsidRDefault="00942D58" w:rsidP="00942D58">
      <w:pPr>
        <w:pStyle w:val="ad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当连接断开后，要保证业务正常执行，各客户端应主动重新连接。</w:t>
      </w:r>
    </w:p>
    <w:p w:rsidR="00942D58" w:rsidRDefault="00942D58" w:rsidP="00942D58">
      <w:pPr>
        <w:pStyle w:val="a0"/>
        <w:spacing w:before="156" w:after="156" w:line="360" w:lineRule="auto"/>
        <w:jc w:val="left"/>
        <w:rPr>
          <w:color w:val="000000" w:themeColor="text1"/>
        </w:rPr>
      </w:pPr>
      <w:bookmarkStart w:id="6" w:name="_Toc29367"/>
      <w:r>
        <w:rPr>
          <w:rFonts w:hint="eastAsia"/>
          <w:color w:val="000000" w:themeColor="text1"/>
        </w:rPr>
        <w:t>安全认证接口</w:t>
      </w:r>
      <w:bookmarkEnd w:id="6"/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7" w:name="_Ref526006858"/>
      <w:bookmarkStart w:id="8" w:name="_Toc5881"/>
      <w:r>
        <w:rPr>
          <w:rFonts w:hint="eastAsia"/>
          <w:color w:val="000000" w:themeColor="text1"/>
          <w:szCs w:val="22"/>
        </w:rPr>
        <w:t>1004登录(TCP)</w:t>
      </w:r>
      <w:bookmarkEnd w:id="7"/>
      <w:bookmarkEnd w:id="8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：当客户端通过TCP协议连接到服务端后，应首先通过业务登录，登录使用用户名密码方式。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：请求和发送数据属性定义见</w:t>
      </w:r>
      <w:r>
        <w:rPr>
          <w:rFonts w:hint="eastAsia"/>
        </w:rPr>
        <w:fldChar w:fldCharType="begin"/>
      </w:r>
      <w:r>
        <w:instrText xml:space="preserve">REF _Ref525916581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表33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、</w:t>
      </w:r>
      <w:r>
        <w:rPr>
          <w:rFonts w:hint="eastAsia"/>
        </w:rPr>
        <w:fldChar w:fldCharType="begin"/>
      </w:r>
      <w:r>
        <w:instrText xml:space="preserve">REF _Ref525916585 \r \h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  <w:color w:val="000000" w:themeColor="text1"/>
        </w:rPr>
        <w:t xml:space="preserve">表34　</w:t>
      </w:r>
      <w:r>
        <w:rPr>
          <w:rFonts w:hint="eastAsia"/>
          <w:color w:val="000000" w:themeColor="text1"/>
        </w:rPr>
        <w:fldChar w:fldCharType="end"/>
      </w:r>
      <w:r>
        <w:rPr>
          <w:rFonts w:hint="eastAsia"/>
          <w:color w:val="000000" w:themeColor="text1"/>
        </w:rPr>
        <w:t>。</w:t>
      </w:r>
    </w:p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9" w:name="_Ref525916581"/>
      <w:r>
        <w:rPr>
          <w:rFonts w:hint="eastAsia"/>
          <w:color w:val="000000" w:themeColor="text1"/>
        </w:rPr>
        <w:t>请求数据</w:t>
      </w:r>
      <w:r>
        <w:rPr>
          <w:color w:val="000000" w:themeColor="text1"/>
        </w:rPr>
        <w:t>属性定义</w:t>
      </w:r>
      <w:bookmarkEnd w:id="9"/>
    </w:p>
    <w:tbl>
      <w:tblPr>
        <w:tblStyle w:val="ae"/>
        <w:tblW w:w="864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user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Id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用户唯一标识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32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</w:tr>
      <w:tr w:rsidR="00942D58" w:rsidTr="00E4534A"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password</w:t>
            </w:r>
          </w:p>
        </w:tc>
        <w:tc>
          <w:tcPr>
            <w:tcW w:w="1418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用户密码</w:t>
            </w:r>
          </w:p>
        </w:tc>
        <w:tc>
          <w:tcPr>
            <w:tcW w:w="1417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/>
                <w:color w:val="000000" w:themeColor="text1"/>
                <w:szCs w:val="18"/>
              </w:rPr>
              <w:t>64</w:t>
            </w:r>
          </w:p>
        </w:tc>
        <w:tc>
          <w:tcPr>
            <w:tcW w:w="709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密码不能明文传输，需要用平台分</w:t>
            </w:r>
            <w:r>
              <w:rPr>
                <w:rFonts w:ascii="Times New Roman" w:hint="eastAsia"/>
                <w:color w:val="000000" w:themeColor="text1"/>
                <w:szCs w:val="18"/>
              </w:rPr>
              <w:lastRenderedPageBreak/>
              <w:t>配的密钥进行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DES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加密（加密模式：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CBC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模式；填充模式：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PKCS7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）转</w:t>
            </w:r>
            <w:r>
              <w:rPr>
                <w:rFonts w:ascii="Times New Roman" w:hint="eastAsia"/>
                <w:color w:val="000000" w:themeColor="text1"/>
                <w:szCs w:val="18"/>
              </w:rPr>
              <w:t>Base64</w:t>
            </w:r>
          </w:p>
        </w:tc>
      </w:tr>
    </w:tbl>
    <w:p w:rsidR="00942D58" w:rsidRDefault="00942D58" w:rsidP="00942D58">
      <w:pPr>
        <w:pStyle w:val="a4"/>
        <w:spacing w:before="156" w:after="156"/>
        <w:ind w:left="0"/>
        <w:rPr>
          <w:color w:val="000000" w:themeColor="text1"/>
        </w:rPr>
      </w:pPr>
      <w:bookmarkStart w:id="10" w:name="_Ref525916585"/>
      <w:r>
        <w:rPr>
          <w:rFonts w:hint="eastAsia"/>
          <w:color w:val="000000" w:themeColor="text1"/>
        </w:rPr>
        <w:lastRenderedPageBreak/>
        <w:t>应答数据</w:t>
      </w:r>
      <w:r>
        <w:rPr>
          <w:color w:val="000000" w:themeColor="text1"/>
        </w:rPr>
        <w:t>属性定义</w:t>
      </w:r>
      <w:bookmarkEnd w:id="10"/>
    </w:p>
    <w:tbl>
      <w:tblPr>
        <w:tblStyle w:val="ae"/>
        <w:tblW w:w="8613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417"/>
        <w:gridCol w:w="709"/>
        <w:gridCol w:w="709"/>
        <w:gridCol w:w="2976"/>
      </w:tblGrid>
      <w:tr w:rsidR="00942D58" w:rsidTr="00E4534A">
        <w:tc>
          <w:tcPr>
            <w:tcW w:w="1384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属性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名称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数据类型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必须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说明</w:t>
            </w: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code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消息码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Int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是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</w:p>
        </w:tc>
      </w:tr>
      <w:tr w:rsidR="00942D58" w:rsidTr="00E4534A">
        <w:tc>
          <w:tcPr>
            <w:tcW w:w="1384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message</w:t>
            </w:r>
          </w:p>
        </w:tc>
        <w:tc>
          <w:tcPr>
            <w:tcW w:w="1418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消息详细</w:t>
            </w:r>
          </w:p>
        </w:tc>
        <w:tc>
          <w:tcPr>
            <w:tcW w:w="1417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String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255</w:t>
            </w:r>
          </w:p>
        </w:tc>
        <w:tc>
          <w:tcPr>
            <w:tcW w:w="709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否</w:t>
            </w:r>
          </w:p>
        </w:tc>
        <w:tc>
          <w:tcPr>
            <w:tcW w:w="2976" w:type="dxa"/>
            <w:vAlign w:val="center"/>
          </w:tcPr>
          <w:p w:rsidR="00942D58" w:rsidRDefault="00942D58" w:rsidP="00E4534A">
            <w:pPr>
              <w:pStyle w:val="ad"/>
              <w:ind w:firstLineChars="0" w:firstLine="0"/>
              <w:rPr>
                <w:rFonts w:ascii="Times New Roman"/>
                <w:color w:val="000000" w:themeColor="text1"/>
              </w:rPr>
            </w:pPr>
            <w:r>
              <w:rPr>
                <w:rFonts w:ascii="Times New Roman" w:hint="eastAsia"/>
                <w:color w:val="000000" w:themeColor="text1"/>
                <w:szCs w:val="18"/>
              </w:rPr>
              <w:t>业务异常信息</w:t>
            </w:r>
          </w:p>
        </w:tc>
      </w:tr>
    </w:tbl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11" w:name="_Toc23150"/>
      <w:bookmarkStart w:id="12" w:name="_Ref526006876"/>
      <w:r>
        <w:rPr>
          <w:rFonts w:hint="eastAsia"/>
          <w:color w:val="000000" w:themeColor="text1"/>
          <w:szCs w:val="22"/>
        </w:rPr>
        <w:t>1005登出(TCP)</w:t>
      </w:r>
      <w:bookmarkEnd w:id="11"/>
      <w:bookmarkEnd w:id="12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：当客户端通过TCP协议连接到服务端后，需要断开连接时应首先执行业务登出。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请求：空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应答：空</w:t>
      </w:r>
    </w:p>
    <w:p w:rsidR="00942D58" w:rsidRDefault="00942D58" w:rsidP="00942D58">
      <w:pPr>
        <w:pStyle w:val="a1"/>
        <w:spacing w:before="156" w:after="156" w:line="360" w:lineRule="auto"/>
        <w:rPr>
          <w:color w:val="000000" w:themeColor="text1"/>
          <w:szCs w:val="22"/>
        </w:rPr>
      </w:pPr>
      <w:bookmarkStart w:id="13" w:name="_Toc4437"/>
      <w:bookmarkStart w:id="14" w:name="_Ref526006885"/>
      <w:r>
        <w:rPr>
          <w:rFonts w:hint="eastAsia"/>
          <w:color w:val="000000" w:themeColor="text1"/>
          <w:szCs w:val="22"/>
        </w:rPr>
        <w:t>1006心跳(TCP)</w:t>
      </w:r>
      <w:bookmarkEnd w:id="13"/>
      <w:bookmarkEnd w:id="14"/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场景</w:t>
      </w:r>
      <w:r>
        <w:rPr>
          <w:rFonts w:hint="eastAsia"/>
          <w:color w:val="000000" w:themeColor="text1"/>
        </w:rPr>
        <w:t>：当客户端通过TCP协议连接到服务端后，应定时向服务端发送心跳，双方根据心跳响应或接收状态做业务判断是否断开或重连。</w:t>
      </w:r>
    </w:p>
    <w:p w:rsidR="00942D58" w:rsidRDefault="00942D58" w:rsidP="00942D58">
      <w:pPr>
        <w:pStyle w:val="ad"/>
        <w:ind w:firstLine="422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数据属性</w:t>
      </w:r>
      <w:r>
        <w:rPr>
          <w:rFonts w:hint="eastAsia"/>
          <w:color w:val="000000" w:themeColor="text1"/>
        </w:rPr>
        <w:t>：请求和发送数据属性定义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请求：空</w:t>
      </w:r>
    </w:p>
    <w:p w:rsidR="00942D58" w:rsidRDefault="00942D58" w:rsidP="00942D58">
      <w:pPr>
        <w:pStyle w:val="ad"/>
        <w:ind w:firstLineChars="450" w:firstLine="945"/>
        <w:rPr>
          <w:color w:val="000000" w:themeColor="text1"/>
        </w:rPr>
      </w:pPr>
      <w:r>
        <w:rPr>
          <w:rFonts w:hint="eastAsia"/>
          <w:color w:val="000000" w:themeColor="text1"/>
        </w:rPr>
        <w:t>应答：空</w:t>
      </w:r>
    </w:p>
    <w:p w:rsidR="003610B2" w:rsidRDefault="003610B2"/>
    <w:sectPr w:rsidR="003610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82C" w:rsidRDefault="006D182C" w:rsidP="00942D58">
      <w:r>
        <w:separator/>
      </w:r>
    </w:p>
  </w:endnote>
  <w:endnote w:type="continuationSeparator" w:id="0">
    <w:p w:rsidR="006D182C" w:rsidRDefault="006D182C" w:rsidP="00942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82C" w:rsidRDefault="006D182C" w:rsidP="00942D58">
      <w:r>
        <w:separator/>
      </w:r>
    </w:p>
  </w:footnote>
  <w:footnote w:type="continuationSeparator" w:id="0">
    <w:p w:rsidR="006D182C" w:rsidRDefault="006D182C" w:rsidP="00942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A099F"/>
    <w:multiLevelType w:val="multilevel"/>
    <w:tmpl w:val="0FBA099F"/>
    <w:lvl w:ilvl="0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pStyle w:val="a"/>
      <w:suff w:val="nothing"/>
      <w:lvlText w:val="%1　"/>
      <w:lvlJc w:val="left"/>
      <w:pPr>
        <w:ind w:left="85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0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1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3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2" w15:restartNumberingAfterBreak="0">
    <w:nsid w:val="30ED26E3"/>
    <w:multiLevelType w:val="multilevel"/>
    <w:tmpl w:val="30ED26E3"/>
    <w:lvl w:ilvl="0">
      <w:start w:val="1"/>
      <w:numFmt w:val="decimal"/>
      <w:lvlText w:val="%1)"/>
      <w:lvlJc w:val="left"/>
      <w:pPr>
        <w:ind w:left="12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43A5728"/>
    <w:multiLevelType w:val="multilevel"/>
    <w:tmpl w:val="343A5728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E6B6FA9"/>
    <w:multiLevelType w:val="multilevel"/>
    <w:tmpl w:val="5E6B6FA9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B96043"/>
    <w:multiLevelType w:val="multilevel"/>
    <w:tmpl w:val="60B96043"/>
    <w:lvl w:ilvl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46260FA"/>
    <w:multiLevelType w:val="multilevel"/>
    <w:tmpl w:val="646260FA"/>
    <w:lvl w:ilvl="0">
      <w:start w:val="1"/>
      <w:numFmt w:val="decimal"/>
      <w:pStyle w:val="a4"/>
      <w:suff w:val="nothing"/>
      <w:lvlText w:val="表%1　"/>
      <w:lvlJc w:val="left"/>
      <w:pPr>
        <w:ind w:left="4253" w:firstLine="0"/>
      </w:pPr>
      <w:rPr>
        <w:rFonts w:ascii="黑体" w:eastAsia="黑体" w:hAnsi="Times New Roman" w:hint="eastAsia"/>
        <w:b w:val="0"/>
        <w:i w:val="0"/>
        <w:color w:val="000000" w:themeColor="text1"/>
        <w:sz w:val="21"/>
        <w:lang w:val="en-US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5D6D"/>
    <w:rsid w:val="000C1583"/>
    <w:rsid w:val="003610B2"/>
    <w:rsid w:val="006D182C"/>
    <w:rsid w:val="00942D58"/>
    <w:rsid w:val="00986EA0"/>
    <w:rsid w:val="009D5D6D"/>
    <w:rsid w:val="00A71E65"/>
    <w:rsid w:val="00A8626E"/>
    <w:rsid w:val="00AF2C42"/>
    <w:rsid w:val="00BA4F8A"/>
    <w:rsid w:val="00F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25BF"/>
  <w15:docId w15:val="{D38A866A-9CD4-2344-9FD4-8B16BD68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942D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942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6"/>
    <w:link w:val="a9"/>
    <w:uiPriority w:val="99"/>
    <w:rsid w:val="00942D58"/>
    <w:rPr>
      <w:sz w:val="18"/>
      <w:szCs w:val="18"/>
    </w:rPr>
  </w:style>
  <w:style w:type="paragraph" w:styleId="ab">
    <w:name w:val="footer"/>
    <w:basedOn w:val="a5"/>
    <w:link w:val="ac"/>
    <w:uiPriority w:val="99"/>
    <w:unhideWhenUsed/>
    <w:rsid w:val="00942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6"/>
    <w:link w:val="ab"/>
    <w:uiPriority w:val="99"/>
    <w:rsid w:val="00942D58"/>
    <w:rPr>
      <w:sz w:val="18"/>
      <w:szCs w:val="18"/>
    </w:rPr>
  </w:style>
  <w:style w:type="paragraph" w:customStyle="1" w:styleId="ad">
    <w:name w:val="段"/>
    <w:link w:val="Char"/>
    <w:qFormat/>
    <w:rsid w:val="00942D58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kern w:val="0"/>
      <w:szCs w:val="20"/>
    </w:rPr>
  </w:style>
  <w:style w:type="table" w:styleId="ae">
    <w:name w:val="Table Grid"/>
    <w:basedOn w:val="a7"/>
    <w:uiPriority w:val="99"/>
    <w:qFormat/>
    <w:rsid w:val="00942D58"/>
    <w:pPr>
      <w:ind w:firstLine="425"/>
      <w:jc w:val="both"/>
    </w:pPr>
    <w:rPr>
      <w:rFonts w:ascii="宋体" w:eastAsia="宋体" w:hAnsi="Times New Roman" w:cs="Times New Roman"/>
      <w:kern w:val="0"/>
      <w:sz w:val="18"/>
      <w:szCs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">
    <w:name w:val="段 Char"/>
    <w:link w:val="ad"/>
    <w:qFormat/>
    <w:rsid w:val="00942D58"/>
    <w:rPr>
      <w:rFonts w:ascii="宋体" w:eastAsia="宋体" w:hAnsi="Times New Roman" w:cs="Times New Roman"/>
      <w:kern w:val="0"/>
      <w:szCs w:val="20"/>
    </w:rPr>
  </w:style>
  <w:style w:type="paragraph" w:customStyle="1" w:styleId="a0">
    <w:name w:val="一级条标题"/>
    <w:next w:val="ad"/>
    <w:link w:val="Char0"/>
    <w:qFormat/>
    <w:rsid w:val="00942D58"/>
    <w:pPr>
      <w:numPr>
        <w:ilvl w:val="1"/>
        <w:numId w:val="1"/>
      </w:numPr>
      <w:spacing w:beforeLines="50" w:afterLines="50"/>
      <w:jc w:val="both"/>
      <w:outlineLvl w:val="2"/>
    </w:pPr>
    <w:rPr>
      <w:rFonts w:ascii="黑体" w:eastAsia="黑体" w:hAnsi="Times New Roman" w:cs="Times New Roman"/>
      <w:kern w:val="0"/>
      <w:szCs w:val="21"/>
    </w:rPr>
  </w:style>
  <w:style w:type="paragraph" w:customStyle="1" w:styleId="a">
    <w:name w:val="章标题"/>
    <w:next w:val="ad"/>
    <w:qFormat/>
    <w:rsid w:val="00942D58"/>
    <w:pPr>
      <w:numPr>
        <w:numId w:val="1"/>
      </w:numPr>
      <w:spacing w:beforeLines="100" w:afterLines="10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1">
    <w:name w:val="二级条标题"/>
    <w:basedOn w:val="a0"/>
    <w:next w:val="ad"/>
    <w:link w:val="Char1"/>
    <w:qFormat/>
    <w:rsid w:val="00942D58"/>
    <w:pPr>
      <w:numPr>
        <w:ilvl w:val="2"/>
      </w:numPr>
      <w:spacing w:before="50" w:after="50"/>
      <w:outlineLvl w:val="3"/>
    </w:pPr>
  </w:style>
  <w:style w:type="paragraph" w:customStyle="1" w:styleId="a2">
    <w:name w:val="四级条标题"/>
    <w:basedOn w:val="a5"/>
    <w:next w:val="ad"/>
    <w:qFormat/>
    <w:rsid w:val="00942D58"/>
    <w:pPr>
      <w:widowControl/>
      <w:numPr>
        <w:ilvl w:val="4"/>
        <w:numId w:val="1"/>
      </w:numPr>
      <w:spacing w:beforeLines="50" w:afterLines="50"/>
      <w:outlineLvl w:val="5"/>
    </w:pPr>
    <w:rPr>
      <w:rFonts w:ascii="黑体" w:eastAsia="黑体"/>
      <w:kern w:val="0"/>
      <w:szCs w:val="21"/>
    </w:rPr>
  </w:style>
  <w:style w:type="paragraph" w:customStyle="1" w:styleId="a3">
    <w:name w:val="五级条标题"/>
    <w:basedOn w:val="a2"/>
    <w:next w:val="ad"/>
    <w:qFormat/>
    <w:rsid w:val="00942D58"/>
    <w:pPr>
      <w:numPr>
        <w:ilvl w:val="5"/>
      </w:numPr>
      <w:outlineLvl w:val="6"/>
    </w:pPr>
  </w:style>
  <w:style w:type="character" w:customStyle="1" w:styleId="Char0">
    <w:name w:val="一级条标题 Char"/>
    <w:link w:val="a0"/>
    <w:qFormat/>
    <w:locked/>
    <w:rsid w:val="00942D58"/>
    <w:rPr>
      <w:rFonts w:ascii="黑体" w:eastAsia="黑体" w:hAnsi="Times New Roman" w:cs="Times New Roman"/>
      <w:kern w:val="0"/>
      <w:szCs w:val="21"/>
    </w:rPr>
  </w:style>
  <w:style w:type="character" w:customStyle="1" w:styleId="Char1">
    <w:name w:val="二级条标题 Char"/>
    <w:link w:val="a1"/>
    <w:qFormat/>
    <w:rsid w:val="00942D58"/>
    <w:rPr>
      <w:rFonts w:ascii="黑体" w:eastAsia="黑体" w:hAnsi="Times New Roman" w:cs="Times New Roman"/>
      <w:kern w:val="0"/>
      <w:szCs w:val="21"/>
    </w:rPr>
  </w:style>
  <w:style w:type="paragraph" w:customStyle="1" w:styleId="a4">
    <w:name w:val="正文表标题"/>
    <w:next w:val="ad"/>
    <w:qFormat/>
    <w:rsid w:val="00942D58"/>
    <w:pPr>
      <w:numPr>
        <w:numId w:val="2"/>
      </w:numPr>
      <w:spacing w:beforeLines="50" w:afterLines="50"/>
      <w:jc w:val="center"/>
    </w:pPr>
    <w:rPr>
      <w:rFonts w:ascii="黑体" w:eastAsia="黑体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312</Words>
  <Characters>1779</Characters>
  <Application>Microsoft Office Word</Application>
  <DocSecurity>0</DocSecurity>
  <Lines>14</Lines>
  <Paragraphs>4</Paragraphs>
  <ScaleCrop>false</ScaleCrop>
  <Company>Microsoft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Panjl</dc:creator>
  <cp:keywords/>
  <dc:description/>
  <cp:lastModifiedBy>郑 少洪</cp:lastModifiedBy>
  <cp:revision>5</cp:revision>
  <dcterms:created xsi:type="dcterms:W3CDTF">2019-03-29T02:51:00Z</dcterms:created>
  <dcterms:modified xsi:type="dcterms:W3CDTF">2019-04-09T15:00:00Z</dcterms:modified>
</cp:coreProperties>
</file>