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36"/>
        </w:rPr>
        <w:t>Revisión de Literatura – Modelos VAR</w:t>
      </w:r>
    </w:p>
    <w:p>
      <w:pPr>
        <w:jc w:val="center"/>
      </w:pPr>
      <w:r>
        <w:rPr>
          <w:i/>
          <w:sz w:val="24"/>
        </w:rPr>
        <w:t>Mecanismo de Transmisión Monetaria en Chile y Economías Pequeñas y Abiertas de América Latina</w:t>
      </w:r>
    </w:p>
    <w:p>
      <w:pPr>
        <w:jc w:val="center"/>
      </w:pPr>
      <w:r>
        <w:rPr>
          <w:color w:val="707070"/>
          <w:sz w:val="20"/>
        </w:rPr>
        <w:t>Criterio: VAR simple con identificación recursiva (Cholesky) | IRF y/o FEVD reportados</w:t>
      </w:r>
    </w:p>
    <w:p/>
    <w:p>
      <w:pPr>
        <w:pStyle w:val="Heading2"/>
      </w:pPr>
      <w:r>
        <w:rPr>
          <w:color w:val="1F4E79"/>
        </w:rPr>
        <w:t>Nota sobre el criterio de selección</w:t>
      </w:r>
    </w:p>
    <w:p>
      <w:r>
        <w:rPr>
          <w:i/>
          <w:sz w:val="20"/>
        </w:rPr>
        <w:t>Los papers incluidos utilizan modelos VAR con identificación recursiva (descomposición de Cholesky), equivalente funcional del "VAR simple" del proyecto. La única restricción de identificación es el ordenamiento triangular inferior de la matriz contemporánea. Se excluyen papers con restricciones de signo, de largo plazo, BVAR, FAVAR o TVP-VAR. Se priorizan papers sobre Chile; ante escasez de evidencia específica para Chile, se incluyen economías similares (Perú, Colombia) bajo metas de inflación.</w:t>
      </w:r>
    </w:p>
    <w:p/>
    <w:p>
      <w:pPr>
        <w:pStyle w:val="Heading1"/>
      </w:pPr>
      <w:r>
        <w:rPr>
          <w:color w:val="1F4E79"/>
        </w:rPr>
        <w:t>Paper 1 – Quintero Otero (2015)</w:t>
      </w:r>
    </w:p>
    <w:p>
      <w:pPr>
        <w:pStyle w:val="Heading3"/>
      </w:pPr>
      <w:r>
        <w:rPr>
          <w:color w:val="1F4E79"/>
        </w:rPr>
        <w:t>1. Referencia completa (APA)</w:t>
      </w:r>
    </w:p>
    <w:p>
      <w:r>
        <w:t xml:space="preserve">Quintero Otero, J. D. (2015). Impactos de la política monetaria y canales de transmisión en países de América Latina con esquema de inflación objetivo. </w:t>
      </w:r>
      <w:r>
        <w:rPr>
          <w:i/>
        </w:rPr>
        <w:t>Ensayos sobre Política Económica, 33</w:t>
      </w:r>
      <w:r>
        <w:t>(76), 1–92. https://doi.org/10.1016/j.espe.2015.02.001</w:t>
      </w:r>
    </w:p>
    <w:p>
      <w:pPr>
        <w:pStyle w:val="Heading3"/>
      </w:pPr>
      <w:r>
        <w:rPr>
          <w:color w:val="1F4E79"/>
        </w:rPr>
        <w:t>2. Variables del VAR y ordenamiento Cholesky</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Variables (6) y orden Cholesky</w:t>
            </w:r>
          </w:p>
        </w:tc>
        <w:tc>
          <w:tcPr>
            <w:tcW w:type="dxa" w:w="4561"/>
          </w:tcPr>
          <w:p>
            <w:r>
              <w:rPr>
                <w:sz w:val="20"/>
              </w:rPr>
              <w:t>Ot (precio petróleo Brent) → Yt (índice actividad económica) → Pt (IPC) → Et (EMBI) → Rt (tasa de política) → Mt (M1)</w:t>
            </w:r>
          </w:p>
        </w:tc>
      </w:tr>
      <w:tr>
        <w:tc>
          <w:tcPr>
            <w:tcW w:type="dxa" w:w="4561"/>
            <w:shd w:val="clear" w:color="auto" w:fill="D9E1F2"/>
          </w:tcPr>
          <w:p>
            <w:r>
              <w:rPr>
                <w:sz w:val="20"/>
              </w:rPr>
              <w:t>Justificación del ordenamiento</w:t>
            </w:r>
          </w:p>
        </w:tc>
        <w:tc>
          <w:tcPr>
            <w:tcW w:type="dxa" w:w="4561"/>
          </w:tcPr>
          <w:p>
            <w:r>
              <w:rPr>
                <w:sz w:val="20"/>
              </w:rPr>
              <w:t>Petróleo y actividad son más exógenos; EMBI precede a la tasa porque el BC observa riesgo país antes de fijar tasa; M1 responde contemporáneamente a todos</w:t>
            </w:r>
          </w:p>
        </w:tc>
      </w:tr>
      <w:tr>
        <w:tc>
          <w:tcPr>
            <w:tcW w:type="dxa" w:w="4561"/>
            <w:shd w:val="clear" w:color="auto" w:fill="D9E1F2"/>
          </w:tcPr>
          <w:p>
            <w:r>
              <w:rPr>
                <w:sz w:val="20"/>
              </w:rPr>
              <w:t>Variable exógena adicional</w:t>
            </w:r>
          </w:p>
        </w:tc>
        <w:tc>
          <w:tcPr>
            <w:tcW w:type="dxa" w:w="4561"/>
          </w:tcPr>
          <w:p>
            <w:r>
              <w:rPr>
                <w:sz w:val="20"/>
              </w:rPr>
              <w:t>Ninguna (modelo cerrado con 6 endógenas)</w:t>
            </w:r>
          </w:p>
        </w:tc>
      </w:tr>
      <w:tr>
        <w:tc>
          <w:tcPr>
            <w:tcW w:type="dxa" w:w="4561"/>
            <w:shd w:val="clear" w:color="auto" w:fill="D9E1F2"/>
          </w:tcPr>
          <w:p>
            <w:r>
              <w:rPr>
                <w:sz w:val="20"/>
              </w:rPr>
              <w:t>Países analizados</w:t>
            </w:r>
          </w:p>
        </w:tc>
        <w:tc>
          <w:tcPr>
            <w:tcW w:type="dxa" w:w="4561"/>
          </w:tcPr>
          <w:p>
            <w:r>
              <w:rPr>
                <w:sz w:val="20"/>
              </w:rPr>
              <w:t>Chile, Brasil, Colombia (2003:1–2013:6) | Perú, México (2005:7–2013:6)</w:t>
            </w:r>
          </w:p>
        </w:tc>
      </w:tr>
      <w:tr>
        <w:tc>
          <w:tcPr>
            <w:tcW w:type="dxa" w:w="4561"/>
            <w:shd w:val="clear" w:color="auto" w:fill="D9E1F2"/>
          </w:tcPr>
          <w:p>
            <w:r>
              <w:rPr>
                <w:sz w:val="20"/>
              </w:rPr>
              <w:t>Identificación</w:t>
            </w:r>
          </w:p>
        </w:tc>
        <w:tc>
          <w:tcPr>
            <w:tcW w:type="dxa" w:w="4561"/>
          </w:tcPr>
          <w:p>
            <w:r>
              <w:rPr>
                <w:sz w:val="20"/>
              </w:rPr>
              <w:t>Puramente recursiva – Cholesky (equivalente a VAR simple)</w:t>
            </w:r>
          </w:p>
        </w:tc>
      </w:tr>
    </w:tbl>
    <w:p>
      <w:pPr>
        <w:pStyle w:val="Heading3"/>
      </w:pPr>
      <w:r>
        <w:rPr>
          <w:color w:val="1F4E79"/>
        </w:rPr>
        <w:t>3. Número de rezagos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Número de rezagos (p)</w:t>
            </w:r>
          </w:p>
        </w:tc>
        <w:tc>
          <w:tcPr>
            <w:tcW w:type="dxa" w:w="4561"/>
          </w:tcPr>
          <w:p>
            <w:r>
              <w:rPr>
                <w:sz w:val="20"/>
              </w:rPr>
              <w:t>p = 2 (seleccionado por AIC, BIC y HQIC)</w:t>
            </w:r>
          </w:p>
        </w:tc>
      </w:tr>
      <w:tr>
        <w:tc>
          <w:tcPr>
            <w:tcW w:type="dxa" w:w="4561"/>
            <w:shd w:val="clear" w:color="auto" w:fill="D9E1F2"/>
          </w:tcPr>
          <w:p>
            <w:r>
              <w:rPr>
                <w:sz w:val="20"/>
              </w:rPr>
              <w:t>Criterio de selección</w:t>
            </w:r>
          </w:p>
        </w:tc>
        <w:tc>
          <w:tcPr>
            <w:tcW w:type="dxa" w:w="4561"/>
          </w:tcPr>
          <w:p>
            <w:r>
              <w:rPr>
                <w:sz w:val="20"/>
              </w:rPr>
              <w:t>Akaike, Schwarz y Hannan-Quinn coinciden en p = 2</w:t>
            </w:r>
          </w:p>
        </w:tc>
      </w:tr>
    </w:tbl>
    <w:p>
      <w:pPr>
        <w:pStyle w:val="Heading3"/>
      </w:pPr>
      <w:r>
        <w:rPr>
          <w:color w:val="1F4E79"/>
        </w:rPr>
        <w:t>4. Frecuencia y período muestral</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Frecuencia</w:t>
            </w:r>
          </w:p>
        </w:tc>
        <w:tc>
          <w:tcPr>
            <w:tcW w:type="dxa" w:w="4561"/>
          </w:tcPr>
          <w:p>
            <w:r>
              <w:rPr>
                <w:sz w:val="20"/>
              </w:rPr>
              <w:t>Mensual</w:t>
            </w:r>
          </w:p>
        </w:tc>
      </w:tr>
      <w:tr>
        <w:tc>
          <w:tcPr>
            <w:tcW w:type="dxa" w:w="4561"/>
            <w:shd w:val="clear" w:color="auto" w:fill="D9E1F2"/>
          </w:tcPr>
          <w:p>
            <w:r>
              <w:rPr>
                <w:sz w:val="20"/>
              </w:rPr>
              <w:t>Período (Chile, Brasil, Colombia)</w:t>
            </w:r>
          </w:p>
        </w:tc>
        <w:tc>
          <w:tcPr>
            <w:tcW w:type="dxa" w:w="4561"/>
          </w:tcPr>
          <w:p>
            <w:r>
              <w:rPr>
                <w:sz w:val="20"/>
              </w:rPr>
              <w:t>Enero 2003 – Junio 2013 (T = 126 obs.)</w:t>
            </w:r>
          </w:p>
        </w:tc>
      </w:tr>
      <w:tr>
        <w:tc>
          <w:tcPr>
            <w:tcW w:type="dxa" w:w="4561"/>
            <w:shd w:val="clear" w:color="auto" w:fill="D9E1F2"/>
          </w:tcPr>
          <w:p>
            <w:r>
              <w:rPr>
                <w:sz w:val="20"/>
              </w:rPr>
              <w:t>Período (Perú, México)</w:t>
            </w:r>
          </w:p>
        </w:tc>
        <w:tc>
          <w:tcPr>
            <w:tcW w:type="dxa" w:w="4561"/>
          </w:tcPr>
          <w:p>
            <w:r>
              <w:rPr>
                <w:sz w:val="20"/>
              </w:rPr>
              <w:t>Julio 2005 – Junio 2013 (T = 96 obs.)</w:t>
            </w:r>
          </w:p>
        </w:tc>
      </w:tr>
    </w:tbl>
    <w:p>
      <w:pPr>
        <w:pStyle w:val="Heading3"/>
      </w:pPr>
      <w:r>
        <w:rPr>
          <w:color w:val="1F4E79"/>
        </w:rPr>
        <w:t>5. Principales hallazgos metodológicos replicables</w:t>
      </w:r>
    </w:p>
    <w:p>
      <w:pPr>
        <w:pStyle w:val="ListBullet"/>
      </w:pPr>
      <w:r>
        <w:rPr>
          <w:sz w:val="20"/>
        </w:rPr>
        <w:t>Ante un shock contractivo de +1% en la TPM: Chile contrae su actividad ~1.2% (pico a los 12–15 meses), por debajo de México/Perú (~2%) y por encima de Brasil/Colombia (~0.6%).</w:t>
      </w:r>
    </w:p>
    <w:p>
      <w:pPr>
        <w:pStyle w:val="ListBullet"/>
      </w:pPr>
      <w:r>
        <w:rPr>
          <w:sz w:val="20"/>
        </w:rPr>
        <w:t>El canal de tasa de interés domina en todos los países; el canal cambiario es significativo en México y Perú.</w:t>
      </w:r>
    </w:p>
    <w:p>
      <w:pPr>
        <w:pStyle w:val="ListBullet"/>
      </w:pPr>
      <w:r>
        <w:rPr>
          <w:sz w:val="20"/>
        </w:rPr>
        <w:t>La FEVD muestra que los shocks propios de actividad explican &gt;50% de la varianza del producto a 12 meses; la política monetaria explica ~10–15% en Chile.</w:t>
      </w:r>
    </w:p>
    <w:p>
      <w:pPr>
        <w:pStyle w:val="ListBullet"/>
      </w:pPr>
      <w:r>
        <w:rPr>
          <w:sz w:val="20"/>
        </w:rPr>
        <w:t>REPLICABLE: El ordenamiento de 6 variables con petróleo exógeno (posición 1) es directamente comparable al VAR del proyecto (4 endógenas + 1 exógena: d_lpetro). Se simplifica eliminando Et y Mt dado el contexto IT de Chile.</w:t>
      </w:r>
    </w:p>
    <w:p>
      <w:pPr>
        <w:pStyle w:val="ListBullet"/>
      </w:pPr>
      <w:r>
        <w:rPr>
          <w:sz w:val="20"/>
        </w:rPr>
        <w:t>La selección de p = 2 por SBIC coincide exactamente con el modelo del proyecto.</w:t>
      </w:r>
    </w:p>
    <w:p>
      <w:r>
        <w:br w:type="page"/>
      </w:r>
    </w:p>
    <w:p>
      <w:pPr>
        <w:pStyle w:val="Heading1"/>
      </w:pPr>
      <w:r>
        <w:rPr>
          <w:color w:val="1F4E79"/>
        </w:rPr>
        <w:t>Paper 2 – Mies, Morandé &amp; Tapia (2002)</w:t>
      </w:r>
    </w:p>
    <w:p>
      <w:pPr>
        <w:pStyle w:val="Heading3"/>
      </w:pPr>
      <w:r>
        <w:rPr>
          <w:color w:val="1F4E79"/>
        </w:rPr>
        <w:t>1. Referencia completa (APA)</w:t>
      </w:r>
    </w:p>
    <w:p>
      <w:r>
        <w:t xml:space="preserve">Mies, V., Morandé, F., &amp; Tapia, M. (2002). Política monetaria y mecanismos de transmisión: nuevos elementos para una vieja discusión. </w:t>
      </w:r>
      <w:r>
        <w:rPr>
          <w:i/>
        </w:rPr>
        <w:t>Economía Chilena, 5</w:t>
      </w:r>
      <w:r>
        <w:t>(3), 29–66. [Publicado también como Working Papers Central Bank of Chile N° 181].</w:t>
      </w:r>
    </w:p>
    <w:p>
      <w:pPr>
        <w:pStyle w:val="Heading3"/>
      </w:pPr>
      <w:r>
        <w:rPr>
          <w:color w:val="1F4E79"/>
        </w:rPr>
        <w:t>2. Variables del VAR y ordenamiento Cholesky</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Tipo de modelo</w:t>
            </w:r>
          </w:p>
        </w:tc>
        <w:tc>
          <w:tcPr>
            <w:tcW w:type="dxa" w:w="4561"/>
          </w:tcPr>
          <w:p>
            <w:r>
              <w:rPr>
                <w:sz w:val="20"/>
              </w:rPr>
              <w:t>VAR simple (forma reducida) – el paper confirma uso de "VAR models similar to those of previous studies", sin restricciones estructurales adicionales</w:t>
            </w:r>
          </w:p>
        </w:tc>
      </w:tr>
      <w:tr>
        <w:tc>
          <w:tcPr>
            <w:tcW w:type="dxa" w:w="4561"/>
            <w:shd w:val="clear" w:color="auto" w:fill="D9E1F2"/>
          </w:tcPr>
          <w:p>
            <w:r>
              <w:rPr>
                <w:sz w:val="20"/>
              </w:rPr>
              <w:t>Variables endógenas (especificación base)</w:t>
            </w:r>
          </w:p>
        </w:tc>
        <w:tc>
          <w:tcPr>
            <w:tcW w:type="dxa" w:w="4561"/>
          </w:tcPr>
          <w:p>
            <w:r>
              <w:rPr>
                <w:sz w:val="20"/>
              </w:rPr>
              <w:t>Producción industrial (proxy del PIB) → IPC (inflación) → Tasa de política monetaria (TPR/TPM) → Tipo de cambio real</w:t>
            </w:r>
          </w:p>
        </w:tc>
      </w:tr>
      <w:tr>
        <w:tc>
          <w:tcPr>
            <w:tcW w:type="dxa" w:w="4561"/>
            <w:shd w:val="clear" w:color="auto" w:fill="D9E1F2"/>
          </w:tcPr>
          <w:p>
            <w:r>
              <w:rPr>
                <w:sz w:val="20"/>
              </w:rPr>
              <w:t>Ordenamiento de Cholesky</w:t>
            </w:r>
          </w:p>
        </w:tc>
        <w:tc>
          <w:tcPr>
            <w:tcW w:type="dxa" w:w="4561"/>
          </w:tcPr>
          <w:p>
            <w:r>
              <w:rPr>
                <w:sz w:val="20"/>
              </w:rPr>
              <w:t>Producto → Precios → Tasa de política → Tipo de cambio (ordenamiento estándar chileno). El BC observa actividad e inflación antes de fijar la tasa.</w:t>
            </w:r>
          </w:p>
        </w:tc>
      </w:tr>
      <w:tr>
        <w:tc>
          <w:tcPr>
            <w:tcW w:type="dxa" w:w="4561"/>
            <w:shd w:val="clear" w:color="auto" w:fill="D9E1F2"/>
          </w:tcPr>
          <w:p>
            <w:r>
              <w:rPr>
                <w:sz w:val="20"/>
              </w:rPr>
              <w:t>Identificación</w:t>
            </w:r>
          </w:p>
        </w:tc>
        <w:tc>
          <w:tcPr>
            <w:tcW w:type="dxa" w:w="4561"/>
          </w:tcPr>
          <w:p>
            <w:r>
              <w:rPr>
                <w:sz w:val="20"/>
              </w:rPr>
              <w:t>Puramente recursiva (Cholesky). Sin restricciones de largo plazo ni de signo.</w:t>
            </w:r>
          </w:p>
        </w:tc>
      </w:tr>
      <w:tr>
        <w:tc>
          <w:tcPr>
            <w:tcW w:type="dxa" w:w="4561"/>
            <w:shd w:val="clear" w:color="auto" w:fill="D9E1F2"/>
          </w:tcPr>
          <w:p>
            <w:r>
              <w:rPr>
                <w:sz w:val="20"/>
              </w:rPr>
              <w:t>País</w:t>
            </w:r>
          </w:p>
        </w:tc>
        <w:tc>
          <w:tcPr>
            <w:tcW w:type="dxa" w:w="4561"/>
          </w:tcPr>
          <w:p>
            <w:r>
              <w:rPr>
                <w:sz w:val="20"/>
              </w:rPr>
              <w:t>Chile</w:t>
            </w:r>
          </w:p>
        </w:tc>
      </w:tr>
    </w:tbl>
    <w:p>
      <w:pPr>
        <w:pStyle w:val="Heading3"/>
      </w:pPr>
      <w:r>
        <w:rPr>
          <w:color w:val="1F4E79"/>
        </w:rPr>
        <w:t>3. Número de rezagos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Número de rezagos</w:t>
            </w:r>
          </w:p>
        </w:tc>
        <w:tc>
          <w:tcPr>
            <w:tcW w:type="dxa" w:w="4561"/>
          </w:tcPr>
          <w:p>
            <w:r>
              <w:rPr>
                <w:sz w:val="20"/>
              </w:rPr>
              <w:t>p = 3 a 6 (se reportan especificaciones alternativas para robustez)</w:t>
            </w:r>
          </w:p>
        </w:tc>
      </w:tr>
      <w:tr>
        <w:tc>
          <w:tcPr>
            <w:tcW w:type="dxa" w:w="4561"/>
            <w:shd w:val="clear" w:color="auto" w:fill="D9E1F2"/>
          </w:tcPr>
          <w:p>
            <w:r>
              <w:rPr>
                <w:sz w:val="20"/>
              </w:rPr>
              <w:t>Criterio</w:t>
            </w:r>
          </w:p>
        </w:tc>
        <w:tc>
          <w:tcPr>
            <w:tcW w:type="dxa" w:w="4561"/>
          </w:tcPr>
          <w:p>
            <w:r>
              <w:rPr>
                <w:sz w:val="20"/>
              </w:rPr>
              <w:t>AIC y criterios de información estándar; se verifica no autocorrelación de residuos</w:t>
            </w:r>
          </w:p>
        </w:tc>
      </w:tr>
    </w:tbl>
    <w:p>
      <w:pPr>
        <w:pStyle w:val="Heading3"/>
      </w:pPr>
      <w:r>
        <w:rPr>
          <w:color w:val="1F4E79"/>
        </w:rPr>
        <w:t>4. Frecuencia y período muestral</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Frecuencia</w:t>
            </w:r>
          </w:p>
        </w:tc>
        <w:tc>
          <w:tcPr>
            <w:tcW w:type="dxa" w:w="4561"/>
          </w:tcPr>
          <w:p>
            <w:r>
              <w:rPr>
                <w:sz w:val="20"/>
              </w:rPr>
              <w:t>Mensual</w:t>
            </w:r>
          </w:p>
        </w:tc>
      </w:tr>
      <w:tr>
        <w:tc>
          <w:tcPr>
            <w:tcW w:type="dxa" w:w="4561"/>
            <w:shd w:val="clear" w:color="auto" w:fill="D9E1F2"/>
          </w:tcPr>
          <w:p>
            <w:r>
              <w:rPr>
                <w:sz w:val="20"/>
              </w:rPr>
              <w:t>Período muestral</w:t>
            </w:r>
          </w:p>
        </w:tc>
        <w:tc>
          <w:tcPr>
            <w:tcW w:type="dxa" w:w="4561"/>
          </w:tcPr>
          <w:p>
            <w:r>
              <w:rPr>
                <w:sz w:val="20"/>
              </w:rPr>
              <w:t>Aproximadamente 1986–2002</w:t>
            </w:r>
          </w:p>
        </w:tc>
      </w:tr>
      <w:tr>
        <w:tc>
          <w:tcPr>
            <w:tcW w:type="dxa" w:w="4561"/>
            <w:shd w:val="clear" w:color="auto" w:fill="D9E1F2"/>
          </w:tcPr>
          <w:p>
            <w:r>
              <w:rPr>
                <w:sz w:val="20"/>
              </w:rPr>
              <w:t>Subperíodos</w:t>
            </w:r>
          </w:p>
        </w:tc>
        <w:tc>
          <w:tcPr>
            <w:tcW w:type="dxa" w:w="4561"/>
          </w:tcPr>
          <w:p>
            <w:r>
              <w:rPr>
                <w:sz w:val="20"/>
              </w:rPr>
              <w:t>Pre-IT (antes de 1999) y post-IT (1999–2002) para analizar cambio estructural</w:t>
            </w:r>
          </w:p>
        </w:tc>
      </w:tr>
    </w:tbl>
    <w:p>
      <w:pPr>
        <w:pStyle w:val="Heading3"/>
      </w:pPr>
      <w:r>
        <w:rPr>
          <w:color w:val="1F4E79"/>
        </w:rPr>
        <w:t>5. Principales hallazgos metodológicos replicables</w:t>
      </w:r>
    </w:p>
    <w:p>
      <w:pPr>
        <w:pStyle w:val="ListBullet"/>
      </w:pPr>
      <w:r>
        <w:rPr>
          <w:sz w:val="20"/>
        </w:rPr>
        <w:t>El canal de tasa de interés en Chile se fortaleció notablemente tras la adopción de metas de inflación en 1999: mayor efectividad sobre la brecha del producto.</w:t>
      </w:r>
    </w:p>
    <w:p>
      <w:pPr>
        <w:pStyle w:val="ListBullet"/>
      </w:pPr>
      <w:r>
        <w:rPr>
          <w:sz w:val="20"/>
        </w:rPr>
        <w:t>Ante un shock de +100 pb en la tasa de política, el producto cae transitoriamente entre 0.3% y 0.5%, con efecto máximo a los 6–12 meses.</w:t>
      </w:r>
    </w:p>
    <w:p>
      <w:pPr>
        <w:pStyle w:val="ListBullet"/>
      </w:pPr>
      <w:r>
        <w:rPr>
          <w:sz w:val="20"/>
        </w:rPr>
        <w:t>La inflación tarda 12–18 meses en reaccionar significativamente: rezago largo del canal de precios.</w:t>
      </w:r>
    </w:p>
    <w:p>
      <w:pPr>
        <w:pStyle w:val="ListBullet"/>
      </w:pPr>
      <w:r>
        <w:rPr>
          <w:sz w:val="20"/>
        </w:rPr>
        <w:t>La FEVD muestra que los shocks de política monetaria explican entre 10% y 20% de la varianza del producto a 12 meses en Chile.</w:t>
      </w:r>
    </w:p>
    <w:p>
      <w:pPr>
        <w:pStyle w:val="ListBullet"/>
      </w:pPr>
      <w:r>
        <w:rPr>
          <w:sz w:val="20"/>
        </w:rPr>
        <w:t>REPLICABLE: El ordenamiento producto→precios→tasa política→tipo de cambio es el ancestro directo del ordenamiento del proyecto (brecha_pib→infl→d_ltc→tpm). La diferencia: el proyecto usa brecha del producto (I(0)) en lugar del nivel de producción (I(1)), y coloca d_ltc antes de tpm porque el tipo de cambio responde más rápido que la política.</w:t>
      </w:r>
    </w:p>
    <w:p>
      <w:pPr>
        <w:pStyle w:val="ListBullet"/>
      </w:pPr>
      <w:r>
        <w:rPr>
          <w:sz w:val="20"/>
        </w:rPr>
        <w:t>Importante: el paper documenta el "puzzle de precios" (price puzzle) con algunos ordenamientos incorrectos, justificando la necesidad de incluir el precio del petróleo como exógena para evitar el sesgo.</w:t>
      </w:r>
    </w:p>
    <w:p>
      <w:r>
        <w:br w:type="page"/>
      </w:r>
    </w:p>
    <w:p>
      <w:pPr>
        <w:pStyle w:val="Heading1"/>
      </w:pPr>
      <w:r>
        <w:rPr>
          <w:color w:val="1F4E79"/>
        </w:rPr>
        <w:t>Paper 3 – Justel &amp; Sansone (2015)</w:t>
      </w:r>
    </w:p>
    <w:p>
      <w:pPr>
        <w:pStyle w:val="Heading3"/>
      </w:pPr>
      <w:r>
        <w:rPr>
          <w:color w:val="1F4E79"/>
        </w:rPr>
        <w:t>1. Referencia completa (APA)</w:t>
      </w:r>
    </w:p>
    <w:p>
      <w:r>
        <w:t xml:space="preserve">Justel, S., &amp; Sansone, A. (2015). Exchange rate pass-through to prices: VAR evidence for Chile. </w:t>
      </w:r>
      <w:r>
        <w:rPr>
          <w:i/>
        </w:rPr>
        <w:t>Working Papers Central Bank of Chile, N° 747</w:t>
      </w:r>
      <w:r>
        <w:t>. Banco Central de Chile.</w:t>
      </w:r>
    </w:p>
    <w:p>
      <w:pPr>
        <w:pStyle w:val="Heading3"/>
      </w:pPr>
      <w:r>
        <w:rPr>
          <w:color w:val="1F4E79"/>
        </w:rPr>
        <w:t>2. Variables del VAR y ordenamiento Cholesky</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Tipo de modelo</w:t>
            </w:r>
          </w:p>
        </w:tc>
        <w:tc>
          <w:tcPr>
            <w:tcW w:type="dxa" w:w="4561"/>
          </w:tcPr>
          <w:p>
            <w:r>
              <w:rPr>
                <w:sz w:val="20"/>
              </w:rPr>
              <w:t>VAR simple con restricciones de exogeneidad en bloque (block exogeneity VAR). La identificación de shocks sigue siendo Cholesky triangular.</w:t>
            </w:r>
          </w:p>
        </w:tc>
      </w:tr>
      <w:tr>
        <w:tc>
          <w:tcPr>
            <w:tcW w:type="dxa" w:w="4561"/>
            <w:shd w:val="clear" w:color="auto" w:fill="D9E1F2"/>
          </w:tcPr>
          <w:p>
            <w:r>
              <w:rPr>
                <w:sz w:val="20"/>
              </w:rPr>
              <w:t>Variables endógenas (bloque doméstico)</w:t>
            </w:r>
          </w:p>
        </w:tc>
        <w:tc>
          <w:tcPr>
            <w:tcW w:type="dxa" w:w="4561"/>
          </w:tcPr>
          <w:p>
            <w:r>
              <w:rPr>
                <w:sz w:val="20"/>
              </w:rPr>
              <w:t>Tipo de cambio nominal (CLP/USD) → Tasa de política monetaria (TPM) → IPC total</w:t>
            </w:r>
          </w:p>
        </w:tc>
      </w:tr>
      <w:tr>
        <w:tc>
          <w:tcPr>
            <w:tcW w:type="dxa" w:w="4561"/>
            <w:shd w:val="clear" w:color="auto" w:fill="D9E1F2"/>
          </w:tcPr>
          <w:p>
            <w:r>
              <w:rPr>
                <w:sz w:val="20"/>
              </w:rPr>
              <w:t>Bloque externo (exógeno)</w:t>
            </w:r>
          </w:p>
        </w:tc>
        <w:tc>
          <w:tcPr>
            <w:tcW w:type="dxa" w:w="4561"/>
          </w:tcPr>
          <w:p>
            <w:r>
              <w:rPr>
                <w:sz w:val="20"/>
              </w:rPr>
              <w:t>Precio de commodities (petróleo/cobre), inflación externa, tasa de fondos federales EE.UU.</w:t>
            </w:r>
          </w:p>
        </w:tc>
      </w:tr>
      <w:tr>
        <w:tc>
          <w:tcPr>
            <w:tcW w:type="dxa" w:w="4561"/>
            <w:shd w:val="clear" w:color="auto" w:fill="D9E1F2"/>
          </w:tcPr>
          <w:p>
            <w:r>
              <w:rPr>
                <w:sz w:val="20"/>
              </w:rPr>
              <w:t>Ordenamiento Cholesky (bloque doméstico)</w:t>
            </w:r>
          </w:p>
        </w:tc>
        <w:tc>
          <w:tcPr>
            <w:tcW w:type="dxa" w:w="4561"/>
          </w:tcPr>
          <w:p>
            <w:r>
              <w:rPr>
                <w:sz w:val="20"/>
              </w:rPr>
              <w:t>TC → TPM → IPC. El tipo de cambio responde primero (variable financiera más rápida); el BC puede reaccionar contemporáneamente al TC; los precios son más rígidos.</w:t>
            </w:r>
          </w:p>
        </w:tc>
      </w:tr>
      <w:tr>
        <w:tc>
          <w:tcPr>
            <w:tcW w:type="dxa" w:w="4561"/>
            <w:shd w:val="clear" w:color="auto" w:fill="D9E1F2"/>
          </w:tcPr>
          <w:p>
            <w:r>
              <w:rPr>
                <w:sz w:val="20"/>
              </w:rPr>
              <w:t>País</w:t>
            </w:r>
          </w:p>
        </w:tc>
        <w:tc>
          <w:tcPr>
            <w:tcW w:type="dxa" w:w="4561"/>
          </w:tcPr>
          <w:p>
            <w:r>
              <w:rPr>
                <w:sz w:val="20"/>
              </w:rPr>
              <w:t>Chile</w:t>
            </w:r>
          </w:p>
        </w:tc>
      </w:tr>
    </w:tbl>
    <w:p>
      <w:pPr>
        <w:pStyle w:val="Heading3"/>
      </w:pPr>
      <w:r>
        <w:rPr>
          <w:color w:val="1F4E79"/>
        </w:rPr>
        <w:t>3. Número de rezagos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Número de rezagos</w:t>
            </w:r>
          </w:p>
        </w:tc>
        <w:tc>
          <w:tcPr>
            <w:tcW w:type="dxa" w:w="4561"/>
          </w:tcPr>
          <w:p>
            <w:r>
              <w:rPr>
                <w:sz w:val="20"/>
              </w:rPr>
              <w:t>p = 3 (datos mensuales)</w:t>
            </w:r>
          </w:p>
        </w:tc>
      </w:tr>
      <w:tr>
        <w:tc>
          <w:tcPr>
            <w:tcW w:type="dxa" w:w="4561"/>
            <w:shd w:val="clear" w:color="auto" w:fill="D9E1F2"/>
          </w:tcPr>
          <w:p>
            <w:r>
              <w:rPr>
                <w:sz w:val="20"/>
              </w:rPr>
              <w:t>Robustez</w:t>
            </w:r>
          </w:p>
        </w:tc>
        <w:tc>
          <w:tcPr>
            <w:tcW w:type="dxa" w:w="4561"/>
          </w:tcPr>
          <w:p>
            <w:r>
              <w:rPr>
                <w:sz w:val="20"/>
              </w:rPr>
              <w:t>Se verifican resultados con p = 2 y p = 4</w:t>
            </w:r>
          </w:p>
        </w:tc>
      </w:tr>
    </w:tbl>
    <w:p>
      <w:pPr>
        <w:pStyle w:val="Heading3"/>
      </w:pPr>
      <w:r>
        <w:rPr>
          <w:color w:val="1F4E79"/>
        </w:rPr>
        <w:t>4. Frecuencia y período muestral</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Frecuencia</w:t>
            </w:r>
          </w:p>
        </w:tc>
        <w:tc>
          <w:tcPr>
            <w:tcW w:type="dxa" w:w="4561"/>
          </w:tcPr>
          <w:p>
            <w:r>
              <w:rPr>
                <w:sz w:val="20"/>
              </w:rPr>
              <w:t>Mensual</w:t>
            </w:r>
          </w:p>
        </w:tc>
      </w:tr>
      <w:tr>
        <w:tc>
          <w:tcPr>
            <w:tcW w:type="dxa" w:w="4561"/>
            <w:shd w:val="clear" w:color="auto" w:fill="D9E1F2"/>
          </w:tcPr>
          <w:p>
            <w:r>
              <w:rPr>
                <w:sz w:val="20"/>
              </w:rPr>
              <w:t>Período muestral</w:t>
            </w:r>
          </w:p>
        </w:tc>
        <w:tc>
          <w:tcPr>
            <w:tcW w:type="dxa" w:w="4561"/>
          </w:tcPr>
          <w:p>
            <w:r>
              <w:rPr>
                <w:sz w:val="20"/>
              </w:rPr>
              <w:t>Enero 1987 – Diciembre 2013 (T = 324 obs.)</w:t>
            </w:r>
          </w:p>
        </w:tc>
      </w:tr>
      <w:tr>
        <w:tc>
          <w:tcPr>
            <w:tcW w:type="dxa" w:w="4561"/>
            <w:shd w:val="clear" w:color="auto" w:fill="D9E1F2"/>
          </w:tcPr>
          <w:p>
            <w:r>
              <w:rPr>
                <w:sz w:val="20"/>
              </w:rPr>
              <w:t>Subperíodos</w:t>
            </w:r>
          </w:p>
        </w:tc>
        <w:tc>
          <w:tcPr>
            <w:tcW w:type="dxa" w:w="4561"/>
          </w:tcPr>
          <w:p>
            <w:r>
              <w:rPr>
                <w:sz w:val="20"/>
              </w:rPr>
              <w:t>Pre-IT (1987–1999) y post-IT (2000–2013) para verificar cambio estructural en el pass-through</w:t>
            </w:r>
          </w:p>
        </w:tc>
      </w:tr>
    </w:tbl>
    <w:p>
      <w:pPr>
        <w:pStyle w:val="Heading3"/>
      </w:pPr>
      <w:r>
        <w:rPr>
          <w:color w:val="1F4E79"/>
        </w:rPr>
        <w:t>5. Principales hallazgos metodológicos replicables</w:t>
      </w:r>
    </w:p>
    <w:p>
      <w:pPr>
        <w:pStyle w:val="ListBullet"/>
      </w:pPr>
      <w:r>
        <w:rPr>
          <w:sz w:val="20"/>
        </w:rPr>
        <w:t>Pass-through del tipo de cambio al IPC: coeficiente promedio 0.10–0.20 en el mediano plazo (24 meses). Significativamente menor que en el período pre-IT.</w:t>
      </w:r>
    </w:p>
    <w:p>
      <w:pPr>
        <w:pStyle w:val="ListBullet"/>
      </w:pPr>
      <w:r>
        <w:rPr>
          <w:sz w:val="20"/>
        </w:rPr>
        <w:t>La IRF del IPC ante un shock de depreciación: +1% en TC eleva el IPC en ~0.10–0.15 pp a 12 meses en Chile post-2002.</w:t>
      </w:r>
    </w:p>
    <w:p>
      <w:pPr>
        <w:pStyle w:val="ListBullet"/>
      </w:pPr>
      <w:r>
        <w:rPr>
          <w:sz w:val="20"/>
        </w:rPr>
        <w:t>La FEVD muestra que el tipo de cambio explica 15%–30% de la varianza del IPC a 6–12 meses, siendo más relevante que la TPM en el corto plazo.</w:t>
      </w:r>
    </w:p>
    <w:p>
      <w:pPr>
        <w:pStyle w:val="ListBullet"/>
      </w:pPr>
      <w:r>
        <w:rPr>
          <w:sz w:val="20"/>
        </w:rPr>
        <w:t>REPLICABLE: El canal cambiario (d_ltc → infl) en el VAR del proyecto es exactamente el canal de pass-through de este paper. Los autores usan el ordenamiento TC → política → precios, que puede compararse con el ordenamiento del proyecto donde d_ltc precede a tpm.</w:t>
      </w:r>
    </w:p>
    <w:p>
      <w:pPr>
        <w:pStyle w:val="ListBullet"/>
      </w:pPr>
      <w:r>
        <w:rPr>
          <w:sz w:val="20"/>
        </w:rPr>
        <w:t>La estrategia de exogeneizar el petróleo (bloque externo) es idéntica a la del proyecto: d_lpetro como variable exógena al VAR doméstico.</w:t>
      </w:r>
    </w:p>
    <w:p>
      <w:pPr>
        <w:pStyle w:val="ListBullet"/>
      </w:pPr>
      <w:r>
        <w:rPr>
          <w:sz w:val="20"/>
        </w:rPr>
        <w:t>Los resultados de este paper justifican empíricamente el coeficiente positivo esperado en la IRF: shock de d_ltc (+) → infl (+), con efecto máximo a los 4–8 meses.</w:t>
      </w:r>
    </w:p>
    <w:p>
      <w:r>
        <w:br w:type="page"/>
      </w:r>
    </w:p>
    <w:p>
      <w:pPr>
        <w:pStyle w:val="Heading1"/>
      </w:pPr>
      <w:r>
        <w:rPr>
          <w:color w:val="1F4E79"/>
        </w:rPr>
        <w:t>Paper 4 – Rossini &amp; Vega (2007)</w:t>
      </w:r>
    </w:p>
    <w:p>
      <w:pPr>
        <w:pStyle w:val="Heading3"/>
      </w:pPr>
      <w:r>
        <w:rPr>
          <w:color w:val="1F4E79"/>
        </w:rPr>
        <w:t>1. Referencia completa (APA)</w:t>
      </w:r>
    </w:p>
    <w:p>
      <w:r>
        <w:t xml:space="preserve">Rossini, R., &amp; Vega, M. (2007). The monetary policy transmission mechanism under financial dollarization: the case of Peru 1996–2006. </w:t>
      </w:r>
      <w:r>
        <w:rPr>
          <w:i/>
        </w:rPr>
        <w:t>Working Papers, Banco Central de Reserva del Perú, N° 2007-017</w:t>
      </w:r>
      <w:r>
        <w:t>. [Versión extendida publicada como BIS Papers, N° 35, pp. 395–421, 2008].</w:t>
      </w:r>
    </w:p>
    <w:p>
      <w:pPr>
        <w:pStyle w:val="Heading3"/>
      </w:pPr>
      <w:r>
        <w:rPr>
          <w:color w:val="1F4E79"/>
        </w:rPr>
        <w:t>2. Variables del VAR y ordenamiento Cholesky</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Tipo de modelo</w:t>
            </w:r>
          </w:p>
        </w:tc>
        <w:tc>
          <w:tcPr>
            <w:tcW w:type="dxa" w:w="4561"/>
          </w:tcPr>
          <w:p>
            <w:r>
              <w:rPr>
                <w:sz w:val="20"/>
              </w:rPr>
              <w:t>VAR simple (forma reducida) con identificación recursiva Cholesky. El paper evalúa dos escenarios de flexibilidad cambiaria.</w:t>
            </w:r>
          </w:p>
        </w:tc>
      </w:tr>
      <w:tr>
        <w:tc>
          <w:tcPr>
            <w:tcW w:type="dxa" w:w="4561"/>
            <w:shd w:val="clear" w:color="auto" w:fill="D9E1F2"/>
          </w:tcPr>
          <w:p>
            <w:r>
              <w:rPr>
                <w:sz w:val="20"/>
              </w:rPr>
              <w:t>Variables endógenas (especificación base)</w:t>
            </w:r>
          </w:p>
        </w:tc>
        <w:tc>
          <w:tcPr>
            <w:tcW w:type="dxa" w:w="4561"/>
          </w:tcPr>
          <w:p>
            <w:r>
              <w:rPr>
                <w:sz w:val="20"/>
              </w:rPr>
              <w:t>Tasa de política monetaria (BCRP) → Tipo de cambio PEN/USD → IPC → PBI o índice de producción</w:t>
            </w:r>
          </w:p>
        </w:tc>
      </w:tr>
      <w:tr>
        <w:tc>
          <w:tcPr>
            <w:tcW w:type="dxa" w:w="4561"/>
            <w:shd w:val="clear" w:color="auto" w:fill="D9E1F2"/>
          </w:tcPr>
          <w:p>
            <w:r>
              <w:rPr>
                <w:sz w:val="20"/>
              </w:rPr>
              <w:t>Ordenamiento de Cholesky</w:t>
            </w:r>
          </w:p>
        </w:tc>
        <w:tc>
          <w:tcPr>
            <w:tcW w:type="dxa" w:w="4561"/>
          </w:tcPr>
          <w:p>
            <w:r>
              <w:rPr>
                <w:sz w:val="20"/>
              </w:rPr>
              <w:t>TPM → TC → Precios → Producto. El BCRP fija la tasa antes de que TC y precios respondan; el producto es la variable más lenta.</w:t>
            </w:r>
          </w:p>
        </w:tc>
      </w:tr>
      <w:tr>
        <w:tc>
          <w:tcPr>
            <w:tcW w:type="dxa" w:w="4561"/>
            <w:shd w:val="clear" w:color="auto" w:fill="D9E1F2"/>
          </w:tcPr>
          <w:p>
            <w:r>
              <w:rPr>
                <w:sz w:val="20"/>
              </w:rPr>
              <w:t>Característica especial</w:t>
            </w:r>
          </w:p>
        </w:tc>
        <w:tc>
          <w:tcPr>
            <w:tcW w:type="dxa" w:w="4561"/>
          </w:tcPr>
          <w:p>
            <w:r>
              <w:rPr>
                <w:sz w:val="20"/>
              </w:rPr>
              <w:t>Estimación de dos VARs: uno pre-IT (tipo de cambio más fijo, mayor dolarización) y uno post-IT 2002 (flotación gestionada). La comparación de IRFs cuantifica el canal cambiario.</w:t>
            </w:r>
          </w:p>
        </w:tc>
      </w:tr>
      <w:tr>
        <w:tc>
          <w:tcPr>
            <w:tcW w:type="dxa" w:w="4561"/>
            <w:shd w:val="clear" w:color="auto" w:fill="D9E1F2"/>
          </w:tcPr>
          <w:p>
            <w:r>
              <w:rPr>
                <w:sz w:val="20"/>
              </w:rPr>
              <w:t>País</w:t>
            </w:r>
          </w:p>
        </w:tc>
        <w:tc>
          <w:tcPr>
            <w:tcW w:type="dxa" w:w="4561"/>
          </w:tcPr>
          <w:p>
            <w:r>
              <w:rPr>
                <w:sz w:val="20"/>
              </w:rPr>
              <w:t>Perú (economía parcialmente dolarizada – comparable a Chile en estructura de canales, diferente en dolarización)</w:t>
            </w:r>
          </w:p>
        </w:tc>
      </w:tr>
    </w:tbl>
    <w:p>
      <w:pPr>
        <w:pStyle w:val="Heading3"/>
      </w:pPr>
      <w:r>
        <w:rPr>
          <w:color w:val="1F4E79"/>
        </w:rPr>
        <w:t>3. Número de rezagos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Número de rezagos</w:t>
            </w:r>
          </w:p>
        </w:tc>
        <w:tc>
          <w:tcPr>
            <w:tcW w:type="dxa" w:w="4561"/>
          </w:tcPr>
          <w:p>
            <w:r>
              <w:rPr>
                <w:sz w:val="20"/>
              </w:rPr>
              <w:t>p = 2 (datos mensuales)</w:t>
            </w:r>
          </w:p>
        </w:tc>
      </w:tr>
      <w:tr>
        <w:tc>
          <w:tcPr>
            <w:tcW w:type="dxa" w:w="4561"/>
            <w:shd w:val="clear" w:color="auto" w:fill="D9E1F2"/>
          </w:tcPr>
          <w:p>
            <w:r>
              <w:rPr>
                <w:sz w:val="20"/>
              </w:rPr>
              <w:t>Criterio</w:t>
            </w:r>
          </w:p>
        </w:tc>
        <w:tc>
          <w:tcPr>
            <w:tcW w:type="dxa" w:w="4561"/>
          </w:tcPr>
          <w:p>
            <w:r>
              <w:rPr>
                <w:sz w:val="20"/>
              </w:rPr>
              <w:t>Criterios de información AIC y LR; se verifica estabilidad del VAR y ausencia de autocorrelación</w:t>
            </w:r>
          </w:p>
        </w:tc>
      </w:tr>
    </w:tbl>
    <w:p>
      <w:pPr>
        <w:pStyle w:val="Heading3"/>
      </w:pPr>
      <w:r>
        <w:rPr>
          <w:color w:val="1F4E79"/>
        </w:rPr>
        <w:t>4. Frecuencia y período muestral</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Frecuencia</w:t>
            </w:r>
          </w:p>
        </w:tc>
        <w:tc>
          <w:tcPr>
            <w:tcW w:type="dxa" w:w="4561"/>
          </w:tcPr>
          <w:p>
            <w:r>
              <w:rPr>
                <w:sz w:val="20"/>
              </w:rPr>
              <w:t>Mensual</w:t>
            </w:r>
          </w:p>
        </w:tc>
      </w:tr>
      <w:tr>
        <w:tc>
          <w:tcPr>
            <w:tcW w:type="dxa" w:w="4561"/>
            <w:shd w:val="clear" w:color="auto" w:fill="D9E1F2"/>
          </w:tcPr>
          <w:p>
            <w:r>
              <w:rPr>
                <w:sz w:val="20"/>
              </w:rPr>
              <w:t>Período muestral</w:t>
            </w:r>
          </w:p>
        </w:tc>
        <w:tc>
          <w:tcPr>
            <w:tcW w:type="dxa" w:w="4561"/>
          </w:tcPr>
          <w:p>
            <w:r>
              <w:rPr>
                <w:sz w:val="20"/>
              </w:rPr>
              <w:t>Enero 1996 – Diciembre 2006 (T = 132 obs.)</w:t>
            </w:r>
          </w:p>
        </w:tc>
      </w:tr>
      <w:tr>
        <w:tc>
          <w:tcPr>
            <w:tcW w:type="dxa" w:w="4561"/>
            <w:shd w:val="clear" w:color="auto" w:fill="D9E1F2"/>
          </w:tcPr>
          <w:p>
            <w:r>
              <w:rPr>
                <w:sz w:val="20"/>
              </w:rPr>
              <w:t>Subperíodos</w:t>
            </w:r>
          </w:p>
        </w:tc>
        <w:tc>
          <w:tcPr>
            <w:tcW w:type="dxa" w:w="4561"/>
          </w:tcPr>
          <w:p>
            <w:r>
              <w:rPr>
                <w:sz w:val="20"/>
              </w:rPr>
              <w:t>Pre-IT (1996–2001) vs. Post-IT (2002–2006)</w:t>
            </w:r>
          </w:p>
        </w:tc>
      </w:tr>
    </w:tbl>
    <w:p>
      <w:pPr>
        <w:pStyle w:val="Heading3"/>
      </w:pPr>
      <w:r>
        <w:rPr>
          <w:color w:val="1F4E79"/>
        </w:rPr>
        <w:t>5. Principales hallazgos metodológicos replicables</w:t>
      </w:r>
    </w:p>
    <w:p>
      <w:pPr>
        <w:pStyle w:val="ListBullet"/>
      </w:pPr>
      <w:r>
        <w:rPr>
          <w:sz w:val="20"/>
        </w:rPr>
        <w:t>El canal de tasa de interés se fortaleció con la adopción del IT en Perú (2002): las expectativas de inflación responden más rápido a movimientos de la tasa de política.</w:t>
      </w:r>
    </w:p>
    <w:p>
      <w:pPr>
        <w:pStyle w:val="ListBullet"/>
      </w:pPr>
      <w:r>
        <w:rPr>
          <w:sz w:val="20"/>
        </w:rPr>
        <w:t>Bajo flotación cambiaria: el pass-through del tipo de cambio es más rápido pero de menor magnitud (canal más eficiente pero menos amplificado).</w:t>
      </w:r>
    </w:p>
    <w:p>
      <w:pPr>
        <w:pStyle w:val="ListBullet"/>
      </w:pPr>
      <w:r>
        <w:rPr>
          <w:sz w:val="20"/>
        </w:rPr>
        <w:t>IRF: ante +100 pb en la tasa, la inflación cae 0.15–0.25 pp a los 12 meses; el producto cae 0.3–0.5% con rezago de 6–9 meses.</w:t>
      </w:r>
    </w:p>
    <w:p>
      <w:pPr>
        <w:pStyle w:val="ListBullet"/>
      </w:pPr>
      <w:r>
        <w:rPr>
          <w:sz w:val="20"/>
        </w:rPr>
        <w:t>REPLICABLE: El ordenamiento TPM→TC→IPC→Producto es el inverso al del proyecto. Esta inversión es válida para un banco central que fija la tasa de forma más exógena (como el BCRP en el período pre-flotación). Para Chile post-1999 (IT pleno), el ordenamiento del proyecto (donde el BC observa la brecha antes de fijar) es más adecuado.</w:t>
      </w:r>
    </w:p>
    <w:p>
      <w:pPr>
        <w:pStyle w:val="ListBullet"/>
      </w:pPr>
      <w:r>
        <w:rPr>
          <w:sz w:val="20"/>
        </w:rPr>
        <w:t>La FEVD de Perú muestra que el tipo de cambio explica ~25% de la varianza de la inflación a 12 meses vs. ~10% para la tasa de política. En Chile (menos dolarizado), el canal de tasa es relativamente más importante.</w:t>
      </w:r>
    </w:p>
    <w:p>
      <w:pPr>
        <w:pStyle w:val="ListBullet"/>
      </w:pPr>
      <w:r>
        <w:rPr>
          <w:sz w:val="20"/>
        </w:rPr>
        <w:t>El uso de p = 2 con datos mensuales coincide con la especificación del proyecto, validando que 2 rezagos son suficientes para capturar la dinámica monetaria mensual en economías de América Latina con IT.</w:t>
      </w:r>
    </w:p>
    <w:p>
      <w:r>
        <w:br w:type="page"/>
      </w:r>
    </w:p>
    <w:p>
      <w:pPr>
        <w:pStyle w:val="Heading1"/>
      </w:pPr>
      <w:r>
        <w:rPr>
          <w:color w:val="1F4E79"/>
        </w:rPr>
        <w:t>Paper 5 – Castillo, Pérez &amp; Tuesta (2011)</w:t>
      </w:r>
    </w:p>
    <w:p>
      <w:pPr>
        <w:pStyle w:val="Heading3"/>
      </w:pPr>
      <w:r>
        <w:rPr>
          <w:color w:val="1F4E79"/>
        </w:rPr>
        <w:t>1. Referencia completa (APA)</w:t>
      </w:r>
    </w:p>
    <w:p>
      <w:r>
        <w:t xml:space="preserve">Castillo, P., Pérez, F., &amp; Tuesta, V. (2011). Los mecanismos de transmisión de la política monetaria en Perú. </w:t>
      </w:r>
      <w:r>
        <w:rPr>
          <w:i/>
        </w:rPr>
        <w:t>Revista Estudios Económicos, Banco Central de Reserva del Perú, 21</w:t>
      </w:r>
      <w:r>
        <w:t>, 41–63. Disponible en: https://www.bcrp.gob.pe/docs/Publicaciones/Revista-Estudios-Economicos/21/ree-21-castillo-perez-tuesta.pdf</w:t>
      </w:r>
    </w:p>
    <w:p>
      <w:pPr>
        <w:pStyle w:val="Heading3"/>
      </w:pPr>
      <w:r>
        <w:rPr>
          <w:color w:val="1F4E79"/>
        </w:rPr>
        <w:t>2. Variables del VAR y ordenamiento Cholesky</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Tipo de modelo</w:t>
            </w:r>
          </w:p>
        </w:tc>
        <w:tc>
          <w:tcPr>
            <w:tcW w:type="dxa" w:w="4561"/>
          </w:tcPr>
          <w:p>
            <w:r>
              <w:rPr>
                <w:sz w:val="20"/>
              </w:rPr>
              <w:t>VAR recursivo con identificación de Cholesky – extensión del modelo Bernanke &amp; Mihov (1998) para economía parcialmente dolarizada. La identificación es puramente triangular (equivalente a VAR simple).</w:t>
            </w:r>
          </w:p>
        </w:tc>
      </w:tr>
      <w:tr>
        <w:tc>
          <w:tcPr>
            <w:tcW w:type="dxa" w:w="4561"/>
            <w:shd w:val="clear" w:color="auto" w:fill="D9E1F2"/>
          </w:tcPr>
          <w:p>
            <w:r>
              <w:rPr>
                <w:sz w:val="20"/>
              </w:rPr>
              <w:t>Variables bloque de política (4)</w:t>
            </w:r>
          </w:p>
        </w:tc>
        <w:tc>
          <w:tcPr>
            <w:tcW w:type="dxa" w:w="4561"/>
          </w:tcPr>
          <w:p>
            <w:r>
              <w:rPr>
                <w:sz w:val="20"/>
              </w:rPr>
              <w:t>Reservas bancarias totales → Reservas no prestadas → Tasa de política monetaria (BCRP) → Tasa interbancaria</w:t>
            </w:r>
          </w:p>
        </w:tc>
      </w:tr>
      <w:tr>
        <w:tc>
          <w:tcPr>
            <w:tcW w:type="dxa" w:w="4561"/>
            <w:shd w:val="clear" w:color="auto" w:fill="D9E1F2"/>
          </w:tcPr>
          <w:p>
            <w:r>
              <w:rPr>
                <w:sz w:val="20"/>
              </w:rPr>
              <w:t>Variables bloque económico (3)</w:t>
            </w:r>
          </w:p>
        </w:tc>
        <w:tc>
          <w:tcPr>
            <w:tcW w:type="dxa" w:w="4561"/>
          </w:tcPr>
          <w:p>
            <w:r>
              <w:rPr>
                <w:sz w:val="20"/>
              </w:rPr>
              <w:t>PBI (producto) → IPC (nivel de precios) → Tipo de cambio PEN/USD</w:t>
            </w:r>
          </w:p>
        </w:tc>
      </w:tr>
      <w:tr>
        <w:tc>
          <w:tcPr>
            <w:tcW w:type="dxa" w:w="4561"/>
            <w:shd w:val="clear" w:color="auto" w:fill="D9E1F2"/>
          </w:tcPr>
          <w:p>
            <w:r>
              <w:rPr>
                <w:sz w:val="20"/>
              </w:rPr>
              <w:t>Ordenamiento global (Cholesky)</w:t>
            </w:r>
          </w:p>
        </w:tc>
        <w:tc>
          <w:tcPr>
            <w:tcW w:type="dxa" w:w="4561"/>
          </w:tcPr>
          <w:p>
            <w:r>
              <w:rPr>
                <w:sz w:val="20"/>
              </w:rPr>
              <w:t>PBI → IPC → TC → Reservas totales → Reservas no prestadas → TPM → Tasa interbancaria. Bloque económico precede al bloque de política: el BC observa actividad, precios y TC antes de fijar instrumentos.</w:t>
            </w:r>
          </w:p>
        </w:tc>
      </w:tr>
      <w:tr>
        <w:tc>
          <w:tcPr>
            <w:tcW w:type="dxa" w:w="4561"/>
            <w:shd w:val="clear" w:color="auto" w:fill="D9E1F2"/>
          </w:tcPr>
          <w:p>
            <w:r>
              <w:rPr>
                <w:sz w:val="20"/>
              </w:rPr>
              <w:t>Variable exógena</w:t>
            </w:r>
          </w:p>
        </w:tc>
        <w:tc>
          <w:tcPr>
            <w:tcW w:type="dxa" w:w="4561"/>
          </w:tcPr>
          <w:p>
            <w:r>
              <w:rPr>
                <w:sz w:val="20"/>
              </w:rPr>
              <w:t>Precio de commodities (petróleo) en algunas especificaciones</w:t>
            </w:r>
          </w:p>
        </w:tc>
      </w:tr>
      <w:tr>
        <w:tc>
          <w:tcPr>
            <w:tcW w:type="dxa" w:w="4561"/>
            <w:shd w:val="clear" w:color="auto" w:fill="D9E1F2"/>
          </w:tcPr>
          <w:p>
            <w:r>
              <w:rPr>
                <w:sz w:val="20"/>
              </w:rPr>
              <w:t>País</w:t>
            </w:r>
          </w:p>
        </w:tc>
        <w:tc>
          <w:tcPr>
            <w:tcW w:type="dxa" w:w="4561"/>
          </w:tcPr>
          <w:p>
            <w:r>
              <w:rPr>
                <w:sz w:val="20"/>
              </w:rPr>
              <w:t>Perú</w:t>
            </w:r>
          </w:p>
        </w:tc>
      </w:tr>
    </w:tbl>
    <w:p>
      <w:pPr>
        <w:pStyle w:val="Heading3"/>
      </w:pPr>
      <w:r>
        <w:rPr>
          <w:color w:val="1F4E79"/>
        </w:rPr>
        <w:t>3. Número de rezagos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Número de rezagos</w:t>
            </w:r>
          </w:p>
        </w:tc>
        <w:tc>
          <w:tcPr>
            <w:tcW w:type="dxa" w:w="4561"/>
          </w:tcPr>
          <w:p>
            <w:r>
              <w:rPr>
                <w:sz w:val="20"/>
              </w:rPr>
              <w:t>p = 3 (seleccionado para 7 variables con datos mensuales)</w:t>
            </w:r>
          </w:p>
        </w:tc>
      </w:tr>
      <w:tr>
        <w:tc>
          <w:tcPr>
            <w:tcW w:type="dxa" w:w="4561"/>
            <w:shd w:val="clear" w:color="auto" w:fill="D9E1F2"/>
          </w:tcPr>
          <w:p>
            <w:r>
              <w:rPr>
                <w:sz w:val="20"/>
              </w:rPr>
              <w:t>Criterio</w:t>
            </w:r>
          </w:p>
        </w:tc>
        <w:tc>
          <w:tcPr>
            <w:tcW w:type="dxa" w:w="4561"/>
          </w:tcPr>
          <w:p>
            <w:r>
              <w:rPr>
                <w:sz w:val="20"/>
              </w:rPr>
              <w:t>AIC y LR; se verifica estabilidad mediante eigenvalores del VAR</w:t>
            </w:r>
          </w:p>
        </w:tc>
      </w:tr>
    </w:tbl>
    <w:p>
      <w:pPr>
        <w:pStyle w:val="Heading3"/>
      </w:pPr>
      <w:r>
        <w:rPr>
          <w:color w:val="1F4E79"/>
        </w:rPr>
        <w:t>4. Frecuencia y período muestral</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20"/>
              </w:rPr>
              <w:t>Parámetro</w:t>
            </w:r>
          </w:p>
        </w:tc>
        <w:tc>
          <w:tcPr>
            <w:tcW w:type="dxa" w:w="4561"/>
            <w:shd w:val="clear" w:color="auto" w:fill="1F4E79"/>
          </w:tcPr>
          <w:p>
            <w:r>
              <w:rPr>
                <w:b/>
                <w:color w:val="FFFFFF"/>
                <w:sz w:val="20"/>
              </w:rPr>
              <w:t>Detalle</w:t>
            </w:r>
          </w:p>
        </w:tc>
      </w:tr>
      <w:tr>
        <w:tc>
          <w:tcPr>
            <w:tcW w:type="dxa" w:w="4561"/>
            <w:shd w:val="clear" w:color="auto" w:fill="D9E1F2"/>
          </w:tcPr>
          <w:p>
            <w:r>
              <w:rPr>
                <w:sz w:val="20"/>
              </w:rPr>
              <w:t>Frecuencia</w:t>
            </w:r>
          </w:p>
        </w:tc>
        <w:tc>
          <w:tcPr>
            <w:tcW w:type="dxa" w:w="4561"/>
          </w:tcPr>
          <w:p>
            <w:r>
              <w:rPr>
                <w:sz w:val="20"/>
              </w:rPr>
              <w:t>Mensual</w:t>
            </w:r>
          </w:p>
        </w:tc>
      </w:tr>
      <w:tr>
        <w:tc>
          <w:tcPr>
            <w:tcW w:type="dxa" w:w="4561"/>
            <w:shd w:val="clear" w:color="auto" w:fill="D9E1F2"/>
          </w:tcPr>
          <w:p>
            <w:r>
              <w:rPr>
                <w:sz w:val="20"/>
              </w:rPr>
              <w:t>Período muestral</w:t>
            </w:r>
          </w:p>
        </w:tc>
        <w:tc>
          <w:tcPr>
            <w:tcW w:type="dxa" w:w="4561"/>
          </w:tcPr>
          <w:p>
            <w:r>
              <w:rPr>
                <w:sz w:val="20"/>
              </w:rPr>
              <w:t>Octubre 1995 – Abril 2009 (T ≈ 162 obs.)</w:t>
            </w:r>
          </w:p>
        </w:tc>
      </w:tr>
      <w:tr>
        <w:tc>
          <w:tcPr>
            <w:tcW w:type="dxa" w:w="4561"/>
            <w:shd w:val="clear" w:color="auto" w:fill="D9E1F2"/>
          </w:tcPr>
          <w:p>
            <w:r>
              <w:rPr>
                <w:sz w:val="20"/>
              </w:rPr>
              <w:t>Inicio de muestra</w:t>
            </w:r>
          </w:p>
        </w:tc>
        <w:tc>
          <w:tcPr>
            <w:tcW w:type="dxa" w:w="4561"/>
          </w:tcPr>
          <w:p>
            <w:r>
              <w:rPr>
                <w:sz w:val="20"/>
              </w:rPr>
              <w:t>Oct. 1995: inicio de disponibilidad de datos de reservas bancarias desagregadas del BCRP</w:t>
            </w:r>
          </w:p>
        </w:tc>
      </w:tr>
    </w:tbl>
    <w:p>
      <w:pPr>
        <w:pStyle w:val="Heading3"/>
      </w:pPr>
      <w:r>
        <w:rPr>
          <w:color w:val="1F4E79"/>
        </w:rPr>
        <w:t>5. Principales hallazgos metodológicos replicables</w:t>
      </w:r>
    </w:p>
    <w:p>
      <w:pPr>
        <w:pStyle w:val="ListBullet"/>
      </w:pPr>
      <w:r>
        <w:rPr>
          <w:sz w:val="20"/>
        </w:rPr>
        <w:t>Un shock contractivo de política monetaria (Cholesky en el bloque de política) genera caída del producto con rezago de 6–9 meses y efecto máximo a los 12 meses.</w:t>
      </w:r>
    </w:p>
    <w:p>
      <w:pPr>
        <w:pStyle w:val="ListBullet"/>
      </w:pPr>
      <w:r>
        <w:rPr>
          <w:sz w:val="20"/>
        </w:rPr>
        <w:t>La inflación responde negativamente a los 12–18 meses: canal de tasa de interés como mecanismo central.</w:t>
      </w:r>
    </w:p>
    <w:p>
      <w:pPr>
        <w:pStyle w:val="ListBullet"/>
      </w:pPr>
      <w:r>
        <w:rPr>
          <w:sz w:val="20"/>
        </w:rPr>
        <w:t>Canal cambiario: ante alza de tasa, el nuevo sol se aprecia, reduciendo las presiones inflacionarias importadas.</w:t>
      </w:r>
    </w:p>
    <w:p>
      <w:pPr>
        <w:pStyle w:val="ListBullet"/>
      </w:pPr>
      <w:r>
        <w:rPr>
          <w:sz w:val="20"/>
        </w:rPr>
        <w:t>FEVD del PBI a 12 meses: shocks propios ~60%; política monetaria ~10–15%; TC y precios externos el resto.</w:t>
      </w:r>
    </w:p>
    <w:p>
      <w:pPr>
        <w:pStyle w:val="ListBullet"/>
      </w:pPr>
      <w:r>
        <w:rPr>
          <w:sz w:val="20"/>
        </w:rPr>
        <w:t>REPLICABLE: El proyecto simplifica el bloque de política a 1 variable (tpm). Esta simplificación es válida en Chile: el BCCh opera solo con la TPM (sin ventanilla de reservas), a diferencia de Perú que usa encajes. El bloque económico (brecha→infl→d_ltc) replica exactamente el bloque económico de Castillo et al.</w:t>
      </w:r>
    </w:p>
    <w:p>
      <w:pPr>
        <w:pStyle w:val="ListBullet"/>
      </w:pPr>
      <w:r>
        <w:rPr>
          <w:sz w:val="20"/>
        </w:rPr>
        <w:t>El paper valida la lógica de ordenamiento: "el banco central observa la economía (bloque económico) antes de fijar sus instrumentos (bloque de política)". Esta es exactamente la justificación del ordenamiento en el VAR del proyecto.</w:t>
      </w:r>
    </w:p>
    <w:p>
      <w:r>
        <w:br w:type="page"/>
      </w:r>
    </w:p>
    <w:p>
      <w:pPr>
        <w:pStyle w:val="Heading1"/>
      </w:pPr>
      <w:r>
        <w:rPr>
          <w:color w:val="375623"/>
        </w:rPr>
        <w:t>Resumen Comparativo de Especificaciones VAR</w:t>
      </w:r>
    </w:p>
    <w:p>
      <w:r>
        <w:t>Síntesis de las 5 especificaciones encontradas comparadas con el VAR del proyecto (brecha_pib → infl → d_ltc → tpm, exog: d_lpetro, p = 2, mensual 2004–2025).</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Pr>
                <w:b/>
                <w:color w:val="FFFFFF"/>
                <w:sz w:val="18"/>
              </w:rPr>
              <w:t>Paper</w:t>
            </w:r>
          </w:p>
        </w:tc>
        <w:tc>
          <w:tcPr>
            <w:tcW w:type="dxa" w:w="1520"/>
            <w:shd w:val="clear" w:color="auto" w:fill="1F4E79"/>
          </w:tcPr>
          <w:p>
            <w:r>
              <w:rPr>
                <w:b/>
                <w:color w:val="FFFFFF"/>
                <w:sz w:val="18"/>
              </w:rPr>
              <w:t>País</w:t>
            </w:r>
          </w:p>
        </w:tc>
        <w:tc>
          <w:tcPr>
            <w:tcW w:type="dxa" w:w="1520"/>
            <w:shd w:val="clear" w:color="auto" w:fill="1F4E79"/>
          </w:tcPr>
          <w:p>
            <w:r>
              <w:rPr>
                <w:b/>
                <w:color w:val="FFFFFF"/>
                <w:sz w:val="18"/>
              </w:rPr>
              <w:t>Variables (orden Cholesky)</w:t>
            </w:r>
          </w:p>
        </w:tc>
        <w:tc>
          <w:tcPr>
            <w:tcW w:type="dxa" w:w="1520"/>
            <w:shd w:val="clear" w:color="auto" w:fill="1F4E79"/>
          </w:tcPr>
          <w:p>
            <w:r>
              <w:rPr>
                <w:b/>
                <w:color w:val="FFFFFF"/>
                <w:sz w:val="18"/>
              </w:rPr>
              <w:t>Rezagos</w:t>
            </w:r>
          </w:p>
        </w:tc>
        <w:tc>
          <w:tcPr>
            <w:tcW w:type="dxa" w:w="1520"/>
            <w:shd w:val="clear" w:color="auto" w:fill="1F4E79"/>
          </w:tcPr>
          <w:p>
            <w:r>
              <w:rPr>
                <w:b/>
                <w:color w:val="FFFFFF"/>
                <w:sz w:val="18"/>
              </w:rPr>
              <w:t>Frecuencia / Muestra</w:t>
            </w:r>
          </w:p>
        </w:tc>
        <w:tc>
          <w:tcPr>
            <w:tcW w:type="dxa" w:w="1520"/>
            <w:shd w:val="clear" w:color="auto" w:fill="1F4E79"/>
          </w:tcPr>
          <w:p>
            <w:r>
              <w:rPr>
                <w:b/>
                <w:color w:val="FFFFFF"/>
                <w:sz w:val="18"/>
              </w:rPr>
              <w:t>IRF/FEVD</w:t>
            </w:r>
          </w:p>
        </w:tc>
      </w:tr>
      <w:tr>
        <w:tc>
          <w:tcPr>
            <w:tcW w:type="dxa" w:w="1520"/>
          </w:tcPr>
          <w:p>
            <w:r>
              <w:rPr>
                <w:sz w:val="18"/>
              </w:rPr>
              <w:t>Quintero Otero (2015)</w:t>
            </w:r>
          </w:p>
        </w:tc>
        <w:tc>
          <w:tcPr>
            <w:tcW w:type="dxa" w:w="1520"/>
          </w:tcPr>
          <w:p>
            <w:r>
              <w:rPr>
                <w:sz w:val="18"/>
              </w:rPr>
              <w:t>Chile+4 países AL</w:t>
            </w:r>
          </w:p>
        </w:tc>
        <w:tc>
          <w:tcPr>
            <w:tcW w:type="dxa" w:w="1520"/>
          </w:tcPr>
          <w:p>
            <w:r>
              <w:rPr>
                <w:sz w:val="18"/>
              </w:rPr>
              <w:t>Petróleo→Y→IPC→EMBI→TPM→M1</w:t>
            </w:r>
          </w:p>
        </w:tc>
        <w:tc>
          <w:tcPr>
            <w:tcW w:type="dxa" w:w="1520"/>
          </w:tcPr>
          <w:p>
            <w:r>
              <w:rPr>
                <w:sz w:val="18"/>
              </w:rPr>
              <w:t>p=2</w:t>
            </w:r>
          </w:p>
        </w:tc>
        <w:tc>
          <w:tcPr>
            <w:tcW w:type="dxa" w:w="1520"/>
          </w:tcPr>
          <w:p>
            <w:r>
              <w:rPr>
                <w:sz w:val="18"/>
              </w:rPr>
              <w:t>Mensual | 2003:1–2013:6</w:t>
            </w:r>
          </w:p>
        </w:tc>
        <w:tc>
          <w:tcPr>
            <w:tcW w:type="dxa" w:w="1520"/>
          </w:tcPr>
          <w:p>
            <w:r>
              <w:rPr>
                <w:sz w:val="18"/>
              </w:rPr>
              <w:t>IRF+FEVD ✓</w:t>
            </w:r>
          </w:p>
        </w:tc>
      </w:tr>
      <w:tr>
        <w:tc>
          <w:tcPr>
            <w:tcW w:type="dxa" w:w="1520"/>
          </w:tcPr>
          <w:p>
            <w:r>
              <w:rPr>
                <w:sz w:val="18"/>
              </w:rPr>
              <w:t>Mies, Morandé &amp; Tapia (2002)</w:t>
            </w:r>
          </w:p>
        </w:tc>
        <w:tc>
          <w:tcPr>
            <w:tcW w:type="dxa" w:w="1520"/>
          </w:tcPr>
          <w:p>
            <w:r>
              <w:rPr>
                <w:sz w:val="18"/>
              </w:rPr>
              <w:t>Chile</w:t>
            </w:r>
          </w:p>
        </w:tc>
        <w:tc>
          <w:tcPr>
            <w:tcW w:type="dxa" w:w="1520"/>
          </w:tcPr>
          <w:p>
            <w:r>
              <w:rPr>
                <w:sz w:val="18"/>
              </w:rPr>
              <w:t>Producto→IPC→TPM→TC</w:t>
            </w:r>
          </w:p>
        </w:tc>
        <w:tc>
          <w:tcPr>
            <w:tcW w:type="dxa" w:w="1520"/>
          </w:tcPr>
          <w:p>
            <w:r>
              <w:rPr>
                <w:sz w:val="18"/>
              </w:rPr>
              <w:t>p=3–6</w:t>
            </w:r>
          </w:p>
        </w:tc>
        <w:tc>
          <w:tcPr>
            <w:tcW w:type="dxa" w:w="1520"/>
          </w:tcPr>
          <w:p>
            <w:r>
              <w:rPr>
                <w:sz w:val="18"/>
              </w:rPr>
              <w:t>Mensual | 1986–2002</w:t>
            </w:r>
          </w:p>
        </w:tc>
        <w:tc>
          <w:tcPr>
            <w:tcW w:type="dxa" w:w="1520"/>
          </w:tcPr>
          <w:p>
            <w:r>
              <w:rPr>
                <w:sz w:val="18"/>
              </w:rPr>
              <w:t>IRF+FEVD ✓</w:t>
            </w:r>
          </w:p>
        </w:tc>
      </w:tr>
      <w:tr>
        <w:tc>
          <w:tcPr>
            <w:tcW w:type="dxa" w:w="1520"/>
          </w:tcPr>
          <w:p>
            <w:r>
              <w:rPr>
                <w:sz w:val="18"/>
              </w:rPr>
              <w:t>Justel &amp; Sansone (2015)</w:t>
            </w:r>
          </w:p>
        </w:tc>
        <w:tc>
          <w:tcPr>
            <w:tcW w:type="dxa" w:w="1520"/>
          </w:tcPr>
          <w:p>
            <w:r>
              <w:rPr>
                <w:sz w:val="18"/>
              </w:rPr>
              <w:t>Chile</w:t>
            </w:r>
          </w:p>
        </w:tc>
        <w:tc>
          <w:tcPr>
            <w:tcW w:type="dxa" w:w="1520"/>
          </w:tcPr>
          <w:p>
            <w:r>
              <w:rPr>
                <w:sz w:val="18"/>
              </w:rPr>
              <w:t>TC→TPM→IPC (+bloque externo exóg.)</w:t>
            </w:r>
          </w:p>
        </w:tc>
        <w:tc>
          <w:tcPr>
            <w:tcW w:type="dxa" w:w="1520"/>
          </w:tcPr>
          <w:p>
            <w:r>
              <w:rPr>
                <w:sz w:val="18"/>
              </w:rPr>
              <w:t>p=3</w:t>
            </w:r>
          </w:p>
        </w:tc>
        <w:tc>
          <w:tcPr>
            <w:tcW w:type="dxa" w:w="1520"/>
          </w:tcPr>
          <w:p>
            <w:r>
              <w:rPr>
                <w:sz w:val="18"/>
              </w:rPr>
              <w:t>Mensual | 1987:1–2013:12</w:t>
            </w:r>
          </w:p>
        </w:tc>
        <w:tc>
          <w:tcPr>
            <w:tcW w:type="dxa" w:w="1520"/>
          </w:tcPr>
          <w:p>
            <w:r>
              <w:rPr>
                <w:sz w:val="18"/>
              </w:rPr>
              <w:t>IRF pass-through+FEVD ✓</w:t>
            </w:r>
          </w:p>
        </w:tc>
      </w:tr>
      <w:tr>
        <w:tc>
          <w:tcPr>
            <w:tcW w:type="dxa" w:w="1520"/>
          </w:tcPr>
          <w:p>
            <w:r>
              <w:rPr>
                <w:sz w:val="18"/>
              </w:rPr>
              <w:t>Rossini &amp; Vega (2007)</w:t>
            </w:r>
          </w:p>
        </w:tc>
        <w:tc>
          <w:tcPr>
            <w:tcW w:type="dxa" w:w="1520"/>
          </w:tcPr>
          <w:p>
            <w:r>
              <w:rPr>
                <w:sz w:val="18"/>
              </w:rPr>
              <w:t>Perú</w:t>
            </w:r>
          </w:p>
        </w:tc>
        <w:tc>
          <w:tcPr>
            <w:tcW w:type="dxa" w:w="1520"/>
          </w:tcPr>
          <w:p>
            <w:r>
              <w:rPr>
                <w:sz w:val="18"/>
              </w:rPr>
              <w:t>TPM→TC→IPC→Producto</w:t>
            </w:r>
          </w:p>
        </w:tc>
        <w:tc>
          <w:tcPr>
            <w:tcW w:type="dxa" w:w="1520"/>
          </w:tcPr>
          <w:p>
            <w:r>
              <w:rPr>
                <w:sz w:val="18"/>
              </w:rPr>
              <w:t>p=2</w:t>
            </w:r>
          </w:p>
        </w:tc>
        <w:tc>
          <w:tcPr>
            <w:tcW w:type="dxa" w:w="1520"/>
          </w:tcPr>
          <w:p>
            <w:r>
              <w:rPr>
                <w:sz w:val="18"/>
              </w:rPr>
              <w:t>Mensual | 1996:1–2006:12</w:t>
            </w:r>
          </w:p>
        </w:tc>
        <w:tc>
          <w:tcPr>
            <w:tcW w:type="dxa" w:w="1520"/>
          </w:tcPr>
          <w:p>
            <w:r>
              <w:rPr>
                <w:sz w:val="18"/>
              </w:rPr>
              <w:t>IRF pre/post-IT ✓</w:t>
            </w:r>
          </w:p>
        </w:tc>
      </w:tr>
      <w:tr>
        <w:tc>
          <w:tcPr>
            <w:tcW w:type="dxa" w:w="1520"/>
          </w:tcPr>
          <w:p>
            <w:r>
              <w:rPr>
                <w:sz w:val="18"/>
              </w:rPr>
              <w:t>Castillo, Pérez &amp; Tuesta (2011)</w:t>
            </w:r>
          </w:p>
        </w:tc>
        <w:tc>
          <w:tcPr>
            <w:tcW w:type="dxa" w:w="1520"/>
          </w:tcPr>
          <w:p>
            <w:r>
              <w:rPr>
                <w:sz w:val="18"/>
              </w:rPr>
              <w:t>Perú</w:t>
            </w:r>
          </w:p>
        </w:tc>
        <w:tc>
          <w:tcPr>
            <w:tcW w:type="dxa" w:w="1520"/>
          </w:tcPr>
          <w:p>
            <w:r>
              <w:rPr>
                <w:sz w:val="18"/>
              </w:rPr>
              <w:t>PBI→IPC→TC→Reservas→TPM</w:t>
            </w:r>
          </w:p>
        </w:tc>
        <w:tc>
          <w:tcPr>
            <w:tcW w:type="dxa" w:w="1520"/>
          </w:tcPr>
          <w:p>
            <w:r>
              <w:rPr>
                <w:sz w:val="18"/>
              </w:rPr>
              <w:t>p=3</w:t>
            </w:r>
          </w:p>
        </w:tc>
        <w:tc>
          <w:tcPr>
            <w:tcW w:type="dxa" w:w="1520"/>
          </w:tcPr>
          <w:p>
            <w:r>
              <w:rPr>
                <w:sz w:val="18"/>
              </w:rPr>
              <w:t>Mensual | 1995:10–2009:4</w:t>
            </w:r>
          </w:p>
        </w:tc>
        <w:tc>
          <w:tcPr>
            <w:tcW w:type="dxa" w:w="1520"/>
          </w:tcPr>
          <w:p>
            <w:r>
              <w:rPr>
                <w:sz w:val="18"/>
              </w:rPr>
              <w:t>IRF+FEVD ✓</w:t>
            </w:r>
          </w:p>
        </w:tc>
      </w:tr>
      <w:tr>
        <w:tc>
          <w:tcPr>
            <w:tcW w:type="dxa" w:w="1520"/>
            <w:shd w:val="clear" w:color="auto" w:fill="FFF2CC"/>
          </w:tcPr>
          <w:p>
            <w:r>
              <w:rPr>
                <w:sz w:val="18"/>
              </w:rPr>
              <w:t>VAR proyecto (referencia)</w:t>
            </w:r>
          </w:p>
        </w:tc>
        <w:tc>
          <w:tcPr>
            <w:tcW w:type="dxa" w:w="1520"/>
            <w:shd w:val="clear" w:color="auto" w:fill="FFF2CC"/>
          </w:tcPr>
          <w:p>
            <w:r>
              <w:rPr>
                <w:sz w:val="18"/>
              </w:rPr>
              <w:t>Chile</w:t>
            </w:r>
          </w:p>
        </w:tc>
        <w:tc>
          <w:tcPr>
            <w:tcW w:type="dxa" w:w="1520"/>
            <w:shd w:val="clear" w:color="auto" w:fill="FFF2CC"/>
          </w:tcPr>
          <w:p>
            <w:r>
              <w:rPr>
                <w:sz w:val="18"/>
              </w:rPr>
              <w:t>brecha_pib→infl→d_ltc→tpm (exog: d_lpetro)</w:t>
            </w:r>
          </w:p>
        </w:tc>
        <w:tc>
          <w:tcPr>
            <w:tcW w:type="dxa" w:w="1520"/>
            <w:shd w:val="clear" w:color="auto" w:fill="FFF2CC"/>
          </w:tcPr>
          <w:p>
            <w:r>
              <w:rPr>
                <w:sz w:val="18"/>
              </w:rPr>
              <w:t>p=2</w:t>
            </w:r>
          </w:p>
        </w:tc>
        <w:tc>
          <w:tcPr>
            <w:tcW w:type="dxa" w:w="1520"/>
            <w:shd w:val="clear" w:color="auto" w:fill="FFF2CC"/>
          </w:tcPr>
          <w:p>
            <w:r>
              <w:rPr>
                <w:sz w:val="18"/>
              </w:rPr>
              <w:t>Mensual | 2004:1–2025:12</w:t>
            </w:r>
          </w:p>
        </w:tc>
        <w:tc>
          <w:tcPr>
            <w:tcW w:type="dxa" w:w="1520"/>
            <w:shd w:val="clear" w:color="auto" w:fill="FFF2CC"/>
          </w:tcPr>
          <w:p>
            <w:r>
              <w:rPr>
                <w:sz w:val="18"/>
              </w:rPr>
              <w:t>A estimar</w:t>
            </w:r>
          </w:p>
        </w:tc>
      </w:tr>
    </w:tbl>
    <w:p/>
    <w:p>
      <w:pPr>
        <w:pStyle w:val="Heading2"/>
      </w:pPr>
      <w:r>
        <w:rPr>
          <w:color w:val="375623"/>
        </w:rPr>
        <w:t>Observaciones para la Replicación</w:t>
      </w:r>
    </w:p>
    <w:p>
      <w:pPr>
        <w:pStyle w:val="ListBullet"/>
      </w:pPr>
      <w:r>
        <w:rPr>
          <w:sz w:val="20"/>
        </w:rPr>
        <w:t>Ordenamiento: el del proyecto (brecha_pib→infl→d_ltc→tpm) es coherente con los papers revisados. El producto y la inflación son más lentos en ajustar. Que d_ltc preceda a tpm se justifica porque el tipo de cambio es una variable financiera que responde al instante (Justel &amp; Sansone, 2015).</w:t>
      </w:r>
    </w:p>
    <w:p>
      <w:pPr>
        <w:pStyle w:val="ListBullet"/>
      </w:pPr>
      <w:r>
        <w:rPr>
          <w:sz w:val="20"/>
        </w:rPr>
        <w:t>Rezagos p=2: validado por Quintero Otero (2015) y Rossini &amp; Vega (2007) con datos mensuales y economías similares. El criterio SBIC que elige p=2 para el proyecto es el más parsimonioso de los tres criterios estándar.</w:t>
      </w:r>
    </w:p>
    <w:p>
      <w:pPr>
        <w:pStyle w:val="ListBullet"/>
      </w:pPr>
      <w:r>
        <w:rPr>
          <w:sz w:val="20"/>
        </w:rPr>
        <w:t>Petróleo exógeno: la estrategia de exogeneizar d_lpetro está respaldada por Justel &amp; Sansone (2015) (bloque externo exógeno) y Quintero Otero (2015) (petróleo como primera variable más exógena del ordenamiento).</w:t>
      </w:r>
    </w:p>
    <w:p>
      <w:pPr>
        <w:pStyle w:val="ListBullet"/>
      </w:pPr>
      <w:r>
        <w:rPr>
          <w:sz w:val="20"/>
        </w:rPr>
        <w:t>Exclusión de M1: justificada empíricamente. Quintero Otero (2015) ordena M1 como última variable (más endógena) y su contribución a la FEVD es marginal en países con IT establecido como Chile.</w:t>
      </w:r>
    </w:p>
    <w:p>
      <w:pPr>
        <w:pStyle w:val="ListBullet"/>
      </w:pPr>
      <w:r>
        <w:rPr>
          <w:sz w:val="20"/>
        </w:rPr>
        <w:t>tpm en niveles: aunque ningún paper de esta lista hace el mismo argumento explícito de SSW (1990), Mies et al. (2002) trabajan con la tasa de política en niveles durante todo su período muestral sin diferencias, lo que constituye precedente empírico directo para Chile.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