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Universidad de Lima</w:t>
        <w:br/>
        <w:t>Facultad de Economía</w:t>
        <w:br/>
        <w:t>Carrera de Economía</w:t>
        <w:br/>
      </w:r>
    </w:p>
    <w:p/>
    <w:p>
      <w:pPr>
        <w:jc w:val="center"/>
      </w:pPr>
      <w:r>
        <w:rPr>
          <w:b/>
          <w:color w:val="1F3864"/>
          <w:sz w:val="30"/>
        </w:rPr>
        <w:t>EVALUACIÓN DE VIABILIDAD METODOLÓGICA Y BIBLIOGRÁFICA</w:t>
        <w:br/>
        <w:t>DE TRES LÍNEAS DE INVESTIGACIÓN</w:t>
      </w:r>
    </w:p>
    <w:p/>
    <w:p>
      <w:pPr>
        <w:jc w:val="center"/>
      </w:pPr>
      <w:r>
        <w:rPr>
          <w:i/>
          <w:sz w:val="22"/>
        </w:rPr>
        <w:t>Derivadas del estudio: "Efecto del tipo de cambio en precios domésticos: Caso Peruano"</w:t>
        <w:br/>
        <w:t>Asignatura: Teoría de Política Monetaria</w:t>
        <w:br/>
        <w:t>Lima, Perú — 2026</w:t>
      </w:r>
    </w:p>
    <w:p>
      <w:r>
        <w:br w:type="page"/>
      </w:r>
    </w:p>
    <w:p>
      <w:pPr>
        <w:pStyle w:val="Heading1"/>
      </w:pPr>
      <w:r>
        <w:rPr>
          <w:color w:val="1F3864"/>
        </w:rPr>
        <w:t>1. Introducción y propósito del documento</w:t>
      </w:r>
    </w:p>
    <w:p>
      <w:r>
        <w:rPr>
          <w:b w:val="0"/>
          <w:i w:val="0"/>
          <w:sz w:val="22"/>
        </w:rPr>
        <w:t>El presente documento evalúa la viabilidad metodológica y bibliográfica de tres líneas de investigación derivadas del trabajo "Efecto del tipo de cambio en precios domésticos: Caso Peruano" (SVAR, 2005–2021). El objetivo es determinar cuál de los tres temas es más adecuado para desarrollar como proyecto académico universitario, considerando: disponibilidad de datos, complejidad econométrica, soporte teórico y existencia de literatura previa comparable.</w:t>
      </w:r>
    </w:p>
    <w:p/>
    <w:p>
      <w:r>
        <w:rPr>
          <w:b w:val="0"/>
          <w:i w:val="0"/>
          <w:sz w:val="22"/>
        </w:rPr>
        <w:t>Los temas se ordenan desde el más fácil hasta el más complejo, siguiendo criterios de accesibilidad de datos, replicabilidad metodológica y profundidad teórica requerida. Para cada tema se identifican 5 papers académicos representativos publicados en revistas reconocidas.</w:t>
      </w:r>
    </w:p>
    <w:p/>
    <w:p>
      <w:pPr>
        <w:pStyle w:val="Heading1"/>
      </w:pPr>
      <w:r>
        <w:rPr>
          <w:color w:val="1F3864"/>
        </w:rPr>
        <w:t>2. Resumen del tema original</w:t>
      </w:r>
    </w:p>
    <w:p>
      <w:r>
        <w:rPr>
          <w:b w:val="0"/>
          <w:i w:val="0"/>
          <w:sz w:val="22"/>
        </w:rPr>
        <w:t>El documento de referencia analiza el efecto traspaso del tipo de cambio (exchange rate pass-through, ERPT) a los precios domésticos en Perú para el período 2005–2021 mediante un modelo de Vectores Autorregresivos Estructurales (SVAR) basado en la Price Distribution Chain de McCarthy (2007). Sus hallazgos centrales son:</w:t>
      </w:r>
    </w:p>
    <w:p>
      <w:pPr>
        <w:pStyle w:val="ListBullet"/>
        <w:ind w:left="360"/>
      </w:pPr>
      <w:r>
        <w:t>Ante una depreciación de 1 pp, el IPC importado cae 0.37 pp (efecto no convencional explicado por el Dominant Currency Paradigm).</w:t>
      </w:r>
    </w:p>
    <w:p>
      <w:pPr>
        <w:pStyle w:val="ListBullet"/>
        <w:ind w:left="360"/>
      </w:pPr>
      <w:r>
        <w:t>Los precios al productor (IPM) suben 0.16 pp (etapa intermedia).</w:t>
      </w:r>
    </w:p>
    <w:p>
      <w:pPr>
        <w:pStyle w:val="ListBullet"/>
        <w:ind w:left="360"/>
      </w:pPr>
      <w:r>
        <w:t>El IPC subyacente sube apenas 0.034 pp (rigideces nominales y anclaje de expectativas del BCRP).</w:t>
      </w:r>
    </w:p>
    <w:p>
      <w:pPr>
        <w:pStyle w:val="ListBullet"/>
        <w:ind w:left="360"/>
      </w:pPr>
      <w:r>
        <w:t>El traspaso es incompleto, asimétrico y se diluye a lo largo de la cadena de precios.</w:t>
      </w:r>
    </w:p>
    <w:p/>
    <w:p>
      <w:r>
        <w:rPr>
          <w:b w:val="0"/>
          <w:i w:val="0"/>
          <w:sz w:val="22"/>
        </w:rPr>
        <w:t>El propio estudio recomienda investigaciones futuras con modelos no lineales, variantes en el tiempo y análisis sectorial desagregado. Los tres temas propuestos parten de estas recomendaciones explícitas.</w:t>
      </w:r>
    </w:p>
    <w:p>
      <w:r>
        <w:br w:type="page"/>
      </w:r>
    </w:p>
    <w:p>
      <w:pPr>
        <w:pStyle w:val="Heading1"/>
      </w:pPr>
      <w:r>
        <w:rPr>
          <w:color w:val="1F3864"/>
        </w:rPr>
        <w:t>3. Criterios de evaluación aplicados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Criterio</w:t>
            </w:r>
          </w:p>
        </w:tc>
        <w:tc>
          <w:tcPr>
            <w:tcW w:type="dxa" w:w="4703"/>
            <w:shd w:val="clear" w:color="auto" w:fill="1F3864"/>
          </w:tcPr>
          <w:p>
            <w:pPr>
              <w:jc w:val="center"/>
            </w:pPr>
            <w:r>
              <w:rPr>
                <w:b/>
                <w:color w:val="FFFFFF"/>
                <w:sz w:val="20"/>
              </w:rPr>
              <w:t>Descripción</w:t>
            </w:r>
          </w:p>
        </w:tc>
      </w:tr>
      <w:tr>
        <w:tc>
          <w:tcPr>
            <w:tcW w:type="dxa" w:w="4703"/>
            <w:shd w:val="clear" w:color="auto" w:fill="FFFFFF"/>
          </w:tcPr>
          <w:p>
            <w:r>
              <w:rPr>
                <w:sz w:val="20"/>
              </w:rPr>
              <w:t>Disponibilidad de datos</w:t>
            </w:r>
          </w:p>
        </w:tc>
        <w:tc>
          <w:tcPr>
            <w:tcW w:type="dxa" w:w="4703"/>
            <w:shd w:val="clear" w:color="auto" w:fill="FFFFFF"/>
          </w:tcPr>
          <w:p>
            <w:r>
              <w:rPr>
                <w:sz w:val="20"/>
              </w:rPr>
              <w:t>Si existen bases públicas y accesibles (BCRP, INEI, FMI, BIS) listas para usar.</w:t>
            </w:r>
          </w:p>
        </w:tc>
      </w:tr>
      <w:tr>
        <w:tc>
          <w:tcPr>
            <w:tcW w:type="dxa" w:w="4703"/>
            <w:shd w:val="clear" w:color="auto" w:fill="D9E2F3"/>
          </w:tcPr>
          <w:p>
            <w:r>
              <w:rPr>
                <w:sz w:val="20"/>
              </w:rPr>
              <w:t>Accesibilidad metodológica</w:t>
            </w:r>
          </w:p>
        </w:tc>
        <w:tc>
          <w:tcPr>
            <w:tcW w:type="dxa" w:w="4703"/>
            <w:shd w:val="clear" w:color="auto" w:fill="D9E2F3"/>
          </w:tcPr>
          <w:p>
            <w:r>
              <w:rPr>
                <w:sz w:val="20"/>
              </w:rPr>
              <w:t>Facilidad de implementación econométrica con software estándar (Stata, EViews, R).</w:t>
            </w:r>
          </w:p>
        </w:tc>
      </w:tr>
      <w:tr>
        <w:tc>
          <w:tcPr>
            <w:tcW w:type="dxa" w:w="4703"/>
            <w:shd w:val="clear" w:color="auto" w:fill="FFFFFF"/>
          </w:tcPr>
          <w:p>
            <w:r>
              <w:rPr>
                <w:sz w:val="20"/>
              </w:rPr>
              <w:t>Complejidad teórica</w:t>
            </w:r>
          </w:p>
        </w:tc>
        <w:tc>
          <w:tcPr>
            <w:tcW w:type="dxa" w:w="4703"/>
            <w:shd w:val="clear" w:color="auto" w:fill="FFFFFF"/>
          </w:tcPr>
          <w:p>
            <w:r>
              <w:rPr>
                <w:sz w:val="20"/>
              </w:rPr>
              <w:t>Profundidad del marco conceptual requerido para sustentar el modelo.</w:t>
            </w:r>
          </w:p>
        </w:tc>
      </w:tr>
      <w:tr>
        <w:tc>
          <w:tcPr>
            <w:tcW w:type="dxa" w:w="4703"/>
            <w:shd w:val="clear" w:color="auto" w:fill="D9E2F3"/>
          </w:tcPr>
          <w:p>
            <w:r>
              <w:rPr>
                <w:sz w:val="20"/>
              </w:rPr>
              <w:t>Precedentes bibliográficos</w:t>
            </w:r>
          </w:p>
        </w:tc>
        <w:tc>
          <w:tcPr>
            <w:tcW w:type="dxa" w:w="4703"/>
            <w:shd w:val="clear" w:color="auto" w:fill="D9E2F3"/>
          </w:tcPr>
          <w:p>
            <w:r>
              <w:rPr>
                <w:sz w:val="20"/>
              </w:rPr>
              <w:t>Existencia de papers similares que sirvan como guía metodológica directa.</w:t>
            </w:r>
          </w:p>
        </w:tc>
      </w:tr>
      <w:tr>
        <w:tc>
          <w:tcPr>
            <w:tcW w:type="dxa" w:w="4703"/>
            <w:shd w:val="clear" w:color="auto" w:fill="FFFFFF"/>
          </w:tcPr>
          <w:p>
            <w:r>
              <w:rPr>
                <w:sz w:val="20"/>
              </w:rPr>
              <w:t>Diferenciación del tema original</w:t>
            </w:r>
          </w:p>
        </w:tc>
        <w:tc>
          <w:tcPr>
            <w:tcW w:type="dxa" w:w="4703"/>
            <w:shd w:val="clear" w:color="auto" w:fill="FFFFFF"/>
          </w:tcPr>
          <w:p>
            <w:r>
              <w:rPr>
                <w:sz w:val="20"/>
              </w:rPr>
              <w:t>Grado en que la nueva investigación aporta valor sobre el paper de referencia.</w:t>
            </w:r>
          </w:p>
        </w:tc>
      </w:tr>
      <w:tr>
        <w:tc>
          <w:tcPr>
            <w:tcW w:type="dxa" w:w="4703"/>
            <w:shd w:val="clear" w:color="auto" w:fill="D9E2F3"/>
          </w:tcPr>
          <w:p>
            <w:r>
              <w:rPr>
                <w:sz w:val="20"/>
              </w:rPr>
              <w:t>Viabilidad universitaria</w:t>
            </w:r>
          </w:p>
        </w:tc>
        <w:tc>
          <w:tcPr>
            <w:tcW w:type="dxa" w:w="4703"/>
            <w:shd w:val="clear" w:color="auto" w:fill="D9E2F3"/>
          </w:tcPr>
          <w:p>
            <w:r>
              <w:rPr>
                <w:sz w:val="20"/>
              </w:rPr>
              <w:t>Posibilidad de concluir la investigación en el marco de un proyecto académico de pregrado.</w:t>
            </w:r>
          </w:p>
        </w:tc>
      </w:tr>
    </w:tbl>
    <w:p>
      <w:r>
        <w:br w:type="page"/>
      </w:r>
    </w:p>
    <w:p>
      <w:pPr>
        <w:pStyle w:val="Heading1"/>
      </w:pPr>
      <w:r>
        <w:rPr>
          <w:color w:val="1F3864"/>
        </w:rPr>
        <w:t>4. Evaluación de temas (orden: más fácil → más complejo)</w:t>
      </w:r>
    </w:p>
    <w:p>
      <w:pPr>
        <w:pStyle w:val="Heading2"/>
      </w:pPr>
      <w:r>
        <w:rPr>
          <w:color w:val="1F6864"/>
        </w:rPr>
        <w:t>4.1 TEMA 2 [RANGO: ⭐ MÁS VIABLE] — Traspaso cambiario heterogéneo a nivel sectorial en Perú</w:t>
      </w:r>
    </w:p>
    <w:p>
      <w:r>
        <w:rPr>
          <w:b/>
          <w:i w:val="0"/>
          <w:sz w:val="22"/>
        </w:rPr>
        <w:t>Título tentativo:</w:t>
      </w:r>
    </w:p>
    <w:p>
      <w:r>
        <w:rPr>
          <w:b w:val="0"/>
          <w:i/>
          <w:sz w:val="22"/>
        </w:rPr>
        <w:t>"¿Qué sectores son más vulnerables al shock cambiario en Perú? Traspaso diferenciado usando datos desagregados del IPC e IPM (2005–2023)"</w:t>
      </w:r>
    </w:p>
    <w:p/>
    <w:p>
      <w:r>
        <w:rPr>
          <w:b/>
          <w:i w:val="0"/>
          <w:sz w:val="22"/>
        </w:rPr>
        <w:t>Descripción del enfoque:</w:t>
      </w:r>
    </w:p>
    <w:p>
      <w:r>
        <w:rPr>
          <w:b w:val="0"/>
          <w:i w:val="0"/>
          <w:sz w:val="22"/>
        </w:rPr>
        <w:t>Extiende el trabajo original usando índices de precios desagregados por grupos/subgrupos (IPC por rubros del INEI: alimentos, manufactura, servicios, vivienda; IPM por ramas industriales del BCRP). Se estima el pass-through diferenciado por tipo de bien mediante un panel dinámico con el Método Generalizado de Momentos (GMM), controlando la endogeneidad mediante rezagos instrumentales internos.</w:t>
      </w:r>
    </w:p>
    <w:p/>
    <w:p>
      <w:r>
        <w:rPr>
          <w:b/>
          <w:i w:val="0"/>
          <w:sz w:val="22"/>
        </w:rPr>
        <w:t>Evaluación de viabilidad: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864"/>
          </w:tcPr>
          <w:p>
            <w:pPr>
              <w:jc w:val="center"/>
            </w:pPr>
            <w:r>
              <w:rPr>
                <w:b/>
                <w:color w:val="FFFFFF"/>
                <w:sz w:val="20"/>
              </w:rPr>
              <w:t>Criterio</w:t>
            </w:r>
          </w:p>
        </w:tc>
        <w:tc>
          <w:tcPr>
            <w:tcW w:type="dxa" w:w="3135"/>
            <w:shd w:val="clear" w:color="auto" w:fill="1F6864"/>
          </w:tcPr>
          <w:p>
            <w:pPr>
              <w:jc w:val="center"/>
            </w:pPr>
            <w:r>
              <w:rPr>
                <w:b/>
                <w:color w:val="FFFFFF"/>
                <w:sz w:val="20"/>
              </w:rPr>
              <w:t>Evaluación</w:t>
            </w:r>
          </w:p>
        </w:tc>
        <w:tc>
          <w:tcPr>
            <w:tcW w:type="dxa" w:w="3135"/>
            <w:shd w:val="clear" w:color="auto" w:fill="1F6864"/>
          </w:tcPr>
          <w:p>
            <w:pPr>
              <w:jc w:val="center"/>
            </w:pPr>
            <w:r>
              <w:rPr>
                <w:b/>
                <w:color w:val="FFFFFF"/>
                <w:sz w:val="20"/>
              </w:rPr>
              <w:t>Justificación</w:t>
            </w:r>
          </w:p>
        </w:tc>
      </w:tr>
      <w:tr>
        <w:tc>
          <w:tcPr>
            <w:tcW w:type="dxa" w:w="3135"/>
            <w:shd w:val="clear" w:color="auto" w:fill="FFFFFF"/>
          </w:tcPr>
          <w:p>
            <w:r>
              <w:rPr>
                <w:sz w:val="19"/>
              </w:rPr>
              <w:t>Disponibilidad de datos</w:t>
            </w:r>
          </w:p>
        </w:tc>
        <w:tc>
          <w:tcPr>
            <w:tcW w:type="dxa" w:w="3135"/>
            <w:shd w:val="clear" w:color="auto" w:fill="FFFFFF"/>
          </w:tcPr>
          <w:p>
            <w:r>
              <w:rPr>
                <w:sz w:val="19"/>
              </w:rPr>
              <w:t>✔ ALTA</w:t>
            </w:r>
          </w:p>
        </w:tc>
        <w:tc>
          <w:tcPr>
            <w:tcW w:type="dxa" w:w="3135"/>
            <w:shd w:val="clear" w:color="auto" w:fill="FFFFFF"/>
          </w:tcPr>
          <w:p>
            <w:r>
              <w:rPr>
                <w:sz w:val="19"/>
              </w:rPr>
              <w:t>INEI publica IPC mensual desagregado por 12 grupos; BCRP publica IPM por rama industrial. Acceso libre y gratuito.</w:t>
            </w:r>
          </w:p>
        </w:tc>
      </w:tr>
      <w:tr>
        <w:tc>
          <w:tcPr>
            <w:tcW w:type="dxa" w:w="3135"/>
            <w:shd w:val="clear" w:color="auto" w:fill="D9E2F3"/>
          </w:tcPr>
          <w:p>
            <w:r>
              <w:rPr>
                <w:sz w:val="19"/>
              </w:rPr>
              <w:t>Accesibilidad metodológica</w:t>
            </w:r>
          </w:p>
        </w:tc>
        <w:tc>
          <w:tcPr>
            <w:tcW w:type="dxa" w:w="3135"/>
            <w:shd w:val="clear" w:color="auto" w:fill="D9E2F3"/>
          </w:tcPr>
          <w:p>
            <w:r>
              <w:rPr>
                <w:sz w:val="19"/>
              </w:rPr>
              <w:t>✔ MEDIA-ALTA</w:t>
            </w:r>
          </w:p>
        </w:tc>
        <w:tc>
          <w:tcPr>
            <w:tcW w:type="dxa" w:w="3135"/>
            <w:shd w:val="clear" w:color="auto" w:fill="D9E2F3"/>
          </w:tcPr>
          <w:p>
            <w:r>
              <w:rPr>
                <w:sz w:val="19"/>
              </w:rPr>
              <w:t>Panel GMM implementable con xtabond2 en Stata. Castellares &amp; Toma (2020) ya lo aplican para Perú con datos INEI/BCRP.</w:t>
            </w:r>
          </w:p>
        </w:tc>
      </w:tr>
      <w:tr>
        <w:tc>
          <w:tcPr>
            <w:tcW w:type="dxa" w:w="3135"/>
            <w:shd w:val="clear" w:color="auto" w:fill="FFFFFF"/>
          </w:tcPr>
          <w:p>
            <w:r>
              <w:rPr>
                <w:sz w:val="19"/>
              </w:rPr>
              <w:t>Complejidad teórica</w:t>
            </w:r>
          </w:p>
        </w:tc>
        <w:tc>
          <w:tcPr>
            <w:tcW w:type="dxa" w:w="3135"/>
            <w:shd w:val="clear" w:color="auto" w:fill="FFFFFF"/>
          </w:tcPr>
          <w:p>
            <w:r>
              <w:rPr>
                <w:sz w:val="19"/>
              </w:rPr>
              <w:t>✔ MODERADA</w:t>
            </w:r>
          </w:p>
        </w:tc>
        <w:tc>
          <w:tcPr>
            <w:tcW w:type="dxa" w:w="3135"/>
            <w:shd w:val="clear" w:color="auto" w:fill="FFFFFF"/>
          </w:tcPr>
          <w:p>
            <w:r>
              <w:rPr>
                <w:sz w:val="19"/>
              </w:rPr>
              <w:t>Extensión directa de McCarthy (2007) con distinción de sectores. Conecta con LCP vs. PCP (Choudhri &amp; Hakura, 2015).</w:t>
            </w:r>
          </w:p>
        </w:tc>
      </w:tr>
      <w:tr>
        <w:tc>
          <w:tcPr>
            <w:tcW w:type="dxa" w:w="3135"/>
            <w:shd w:val="clear" w:color="auto" w:fill="D9E2F3"/>
          </w:tcPr>
          <w:p>
            <w:r>
              <w:rPr>
                <w:sz w:val="19"/>
              </w:rPr>
              <w:t>Precedentes bibliográficos</w:t>
            </w:r>
          </w:p>
        </w:tc>
        <w:tc>
          <w:tcPr>
            <w:tcW w:type="dxa" w:w="3135"/>
            <w:shd w:val="clear" w:color="auto" w:fill="D9E2F3"/>
          </w:tcPr>
          <w:p>
            <w:r>
              <w:rPr>
                <w:sz w:val="19"/>
              </w:rPr>
              <w:t>✔ SÓLIDOS</w:t>
            </w:r>
          </w:p>
        </w:tc>
        <w:tc>
          <w:tcPr>
            <w:tcW w:type="dxa" w:w="3135"/>
            <w:shd w:val="clear" w:color="auto" w:fill="D9E2F3"/>
          </w:tcPr>
          <w:p>
            <w:r>
              <w:rPr>
                <w:sz w:val="19"/>
              </w:rPr>
              <w:t>Castellares &amp; Toma (2020) para Perú; Solórzano (2023) para México; Campa &amp; Goldberg (2005) para OCDE. Metodología bien documentada.</w:t>
            </w:r>
          </w:p>
        </w:tc>
      </w:tr>
      <w:tr>
        <w:tc>
          <w:tcPr>
            <w:tcW w:type="dxa" w:w="3135"/>
            <w:shd w:val="clear" w:color="auto" w:fill="FFFFFF"/>
          </w:tcPr>
          <w:p>
            <w:r>
              <w:rPr>
                <w:sz w:val="19"/>
              </w:rPr>
              <w:t>Diferenciación del original</w:t>
            </w:r>
          </w:p>
        </w:tc>
        <w:tc>
          <w:tcPr>
            <w:tcW w:type="dxa" w:w="3135"/>
            <w:shd w:val="clear" w:color="auto" w:fill="FFFFFF"/>
          </w:tcPr>
          <w:p>
            <w:r>
              <w:rPr>
                <w:sz w:val="19"/>
              </w:rPr>
              <w:t>✔ CLARA</w:t>
            </w:r>
          </w:p>
        </w:tc>
        <w:tc>
          <w:tcPr>
            <w:tcW w:type="dxa" w:w="3135"/>
            <w:shd w:val="clear" w:color="auto" w:fill="FFFFFF"/>
          </w:tcPr>
          <w:p>
            <w:r>
              <w:rPr>
                <w:sz w:val="19"/>
              </w:rPr>
              <w:t>El paper original usa solo índices agregados. La desagregación sectorial añade valor directo a la literatura peruana.</w:t>
            </w:r>
          </w:p>
        </w:tc>
      </w:tr>
      <w:tr>
        <w:tc>
          <w:tcPr>
            <w:tcW w:type="dxa" w:w="3135"/>
            <w:shd w:val="clear" w:color="auto" w:fill="D9E2F3"/>
          </w:tcPr>
          <w:p>
            <w:r>
              <w:rPr>
                <w:sz w:val="19"/>
              </w:rPr>
              <w:t>Viabilidad universitaria</w:t>
            </w:r>
          </w:p>
        </w:tc>
        <w:tc>
          <w:tcPr>
            <w:tcW w:type="dxa" w:w="3135"/>
            <w:shd w:val="clear" w:color="auto" w:fill="D9E2F3"/>
          </w:tcPr>
          <w:p>
            <w:r>
              <w:rPr>
                <w:sz w:val="19"/>
              </w:rPr>
              <w:t>✔ ALTA</w:t>
            </w:r>
          </w:p>
        </w:tc>
        <w:tc>
          <w:tcPr>
            <w:tcW w:type="dxa" w:w="3135"/>
            <w:shd w:val="clear" w:color="auto" w:fill="D9E2F3"/>
          </w:tcPr>
          <w:p>
            <w:r>
              <w:rPr>
                <w:sz w:val="19"/>
              </w:rPr>
              <w:t>Alcanzable en un semestre. Datos tabulados disponibles online. Software accesible. Precedente metodológico directo.</w:t>
            </w:r>
          </w:p>
        </w:tc>
      </w:tr>
    </w:tbl>
    <w:p/>
    <w:p>
      <w:r>
        <w:rPr>
          <w:b/>
          <w:i w:val="0"/>
          <w:sz w:val="22"/>
        </w:rPr>
        <w:t>Relación con teoría de política monetaria:</w:t>
      </w:r>
    </w:p>
    <w:p>
      <w:r>
        <w:rPr>
          <w:b w:val="0"/>
          <w:i w:val="0"/>
          <w:sz w:val="22"/>
        </w:rPr>
        <w:t>Identificar qué sectores transmiten más el shock cambiario informa directamente la Regla de Taylor del BCRP: si el IPC subyacente oculta heterogeneidad sectorial significativa, las decisiones de tasa de referencia basadas solo en el agregado podrían ser subóptimas. Conecta con la teoría de fijación de precios en moneda local vs. moneda del productor (LCP/PCP) y con el esquema de metas explícitas de inflación.</w:t>
      </w:r>
    </w:p>
    <w:p/>
    <w:p>
      <w:r>
        <w:rPr>
          <w:b/>
          <w:i w:val="0"/>
          <w:sz w:val="22"/>
        </w:rPr>
        <w:t>5 papers representativos para el Tema 2:</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6864"/>
          </w:tcPr>
          <w:p>
            <w:pPr>
              <w:jc w:val="center"/>
            </w:pPr>
            <w:r>
              <w:rPr>
                <w:b/>
                <w:color w:val="FFFFFF"/>
                <w:sz w:val="20"/>
              </w:rPr>
              <w:t>#</w:t>
            </w:r>
          </w:p>
        </w:tc>
        <w:tc>
          <w:tcPr>
            <w:tcW w:type="dxa" w:w="1881"/>
            <w:shd w:val="clear" w:color="auto" w:fill="1F6864"/>
          </w:tcPr>
          <w:p>
            <w:pPr>
              <w:jc w:val="center"/>
            </w:pPr>
            <w:r>
              <w:rPr>
                <w:b/>
                <w:color w:val="FFFFFF"/>
                <w:sz w:val="20"/>
              </w:rPr>
              <w:t>Autores y año</w:t>
            </w:r>
          </w:p>
        </w:tc>
        <w:tc>
          <w:tcPr>
            <w:tcW w:type="dxa" w:w="1881"/>
            <w:shd w:val="clear" w:color="auto" w:fill="1F6864"/>
          </w:tcPr>
          <w:p>
            <w:pPr>
              <w:jc w:val="center"/>
            </w:pPr>
            <w:r>
              <w:rPr>
                <w:b/>
                <w:color w:val="FFFFFF"/>
                <w:sz w:val="20"/>
              </w:rPr>
              <w:t>Título / Revista</w:t>
            </w:r>
          </w:p>
        </w:tc>
        <w:tc>
          <w:tcPr>
            <w:tcW w:type="dxa" w:w="1881"/>
            <w:shd w:val="clear" w:color="auto" w:fill="1F6864"/>
          </w:tcPr>
          <w:p>
            <w:pPr>
              <w:jc w:val="center"/>
            </w:pPr>
            <w:r>
              <w:rPr>
                <w:b/>
                <w:color w:val="FFFFFF"/>
                <w:sz w:val="20"/>
              </w:rPr>
              <w:t>Metodología</w:t>
            </w:r>
          </w:p>
        </w:tc>
        <w:tc>
          <w:tcPr>
            <w:tcW w:type="dxa" w:w="1881"/>
            <w:shd w:val="clear" w:color="auto" w:fill="1F6864"/>
          </w:tcPr>
          <w:p>
            <w:pPr>
              <w:jc w:val="center"/>
            </w:pPr>
            <w:r>
              <w:rPr>
                <w:b/>
                <w:color w:val="FFFFFF"/>
                <w:sz w:val="20"/>
              </w:rPr>
              <w:t>Relevancia</w:t>
            </w:r>
          </w:p>
        </w:tc>
      </w:tr>
      <w:tr>
        <w:tc>
          <w:tcPr>
            <w:tcW w:type="dxa" w:w="1881"/>
            <w:shd w:val="clear" w:color="auto" w:fill="FFFFFF"/>
          </w:tcPr>
          <w:p>
            <w:r>
              <w:rPr>
                <w:sz w:val="19"/>
              </w:rPr>
              <w:t>1</w:t>
            </w:r>
          </w:p>
        </w:tc>
        <w:tc>
          <w:tcPr>
            <w:tcW w:type="dxa" w:w="1881"/>
            <w:shd w:val="clear" w:color="auto" w:fill="FFFFFF"/>
          </w:tcPr>
          <w:p>
            <w:r>
              <w:rPr>
                <w:sz w:val="19"/>
              </w:rPr>
              <w:t>Castellares, R. &amp; Toma, H. (2020)</w:t>
            </w:r>
          </w:p>
        </w:tc>
        <w:tc>
          <w:tcPr>
            <w:tcW w:type="dxa" w:w="1881"/>
            <w:shd w:val="clear" w:color="auto" w:fill="FFFFFF"/>
          </w:tcPr>
          <w:p>
            <w:r>
              <w:rPr>
                <w:sz w:val="19"/>
              </w:rPr>
              <w:t>"Effects of a mandatory local currency pricing law on the exchange rate pass-through"</w:t>
              <w:br/>
              <w:t>Journal of International Money and Finance, 106</w:t>
            </w:r>
          </w:p>
        </w:tc>
        <w:tc>
          <w:tcPr>
            <w:tcW w:type="dxa" w:w="1881"/>
            <w:shd w:val="clear" w:color="auto" w:fill="FFFFFF"/>
          </w:tcPr>
          <w:p>
            <w:r>
              <w:rPr>
                <w:sz w:val="19"/>
              </w:rPr>
              <w:t>Ecuaciones de forma reducida con datos desagregados del IPC peruano 1995–2018</w:t>
            </w:r>
          </w:p>
        </w:tc>
        <w:tc>
          <w:tcPr>
            <w:tcW w:type="dxa" w:w="1881"/>
            <w:shd w:val="clear" w:color="auto" w:fill="FFFFFF"/>
          </w:tcPr>
          <w:p>
            <w:r>
              <w:rPr>
                <w:sz w:val="19"/>
              </w:rPr>
              <w:t>Precedente DIRECTO para Perú: usa datos INEI/BCRP desagregados por tipo de bien (durables, no durables, servicios). Metodología replicable.</w:t>
            </w:r>
          </w:p>
        </w:tc>
      </w:tr>
      <w:tr>
        <w:tc>
          <w:tcPr>
            <w:tcW w:type="dxa" w:w="1881"/>
            <w:shd w:val="clear" w:color="auto" w:fill="D9E2F3"/>
          </w:tcPr>
          <w:p>
            <w:r>
              <w:rPr>
                <w:sz w:val="19"/>
              </w:rPr>
              <w:t>2</w:t>
            </w:r>
          </w:p>
        </w:tc>
        <w:tc>
          <w:tcPr>
            <w:tcW w:type="dxa" w:w="1881"/>
            <w:shd w:val="clear" w:color="auto" w:fill="D9E2F3"/>
          </w:tcPr>
          <w:p>
            <w:r>
              <w:rPr>
                <w:sz w:val="19"/>
              </w:rPr>
              <w:t>Solórzano, D. (2023)</w:t>
            </w:r>
          </w:p>
        </w:tc>
        <w:tc>
          <w:tcPr>
            <w:tcW w:type="dxa" w:w="1881"/>
            <w:shd w:val="clear" w:color="auto" w:fill="D9E2F3"/>
          </w:tcPr>
          <w:p>
            <w:r>
              <w:rPr>
                <w:sz w:val="19"/>
              </w:rPr>
              <w:t>"Heterogeneous exchange rate pass-through in Mexico: What drives it?"</w:t>
              <w:br/>
              <w:t>Latin American Journal of Central Banking, 4(4)</w:t>
            </w:r>
          </w:p>
        </w:tc>
        <w:tc>
          <w:tcPr>
            <w:tcW w:type="dxa" w:w="1881"/>
            <w:shd w:val="clear" w:color="auto" w:fill="D9E2F3"/>
          </w:tcPr>
          <w:p>
            <w:r>
              <w:rPr>
                <w:sz w:val="19"/>
              </w:rPr>
              <w:t>Regresiones de rezagos distribuidos + mínimos cuadrados ponderados. Panel regional y sectorial.</w:t>
            </w:r>
          </w:p>
        </w:tc>
        <w:tc>
          <w:tcPr>
            <w:tcW w:type="dxa" w:w="1881"/>
            <w:shd w:val="clear" w:color="auto" w:fill="D9E2F3"/>
          </w:tcPr>
          <w:p>
            <w:r>
              <w:rPr>
                <w:sz w:val="19"/>
              </w:rPr>
              <w:t>Documenta heterogeneidad regional e industrial del ERPT en México. Marco metodológico directo para replicar en Perú con datos del INEI.</w:t>
            </w:r>
          </w:p>
        </w:tc>
      </w:tr>
      <w:tr>
        <w:tc>
          <w:tcPr>
            <w:tcW w:type="dxa" w:w="1881"/>
            <w:shd w:val="clear" w:color="auto" w:fill="FFFFFF"/>
          </w:tcPr>
          <w:p>
            <w:r>
              <w:rPr>
                <w:sz w:val="19"/>
              </w:rPr>
              <w:t>3</w:t>
            </w:r>
          </w:p>
        </w:tc>
        <w:tc>
          <w:tcPr>
            <w:tcW w:type="dxa" w:w="1881"/>
            <w:shd w:val="clear" w:color="auto" w:fill="FFFFFF"/>
          </w:tcPr>
          <w:p>
            <w:r>
              <w:rPr>
                <w:sz w:val="19"/>
              </w:rPr>
              <w:t>Campa, J. M. &amp; Goldberg, L. S. (2005)</w:t>
            </w:r>
          </w:p>
        </w:tc>
        <w:tc>
          <w:tcPr>
            <w:tcW w:type="dxa" w:w="1881"/>
            <w:shd w:val="clear" w:color="auto" w:fill="FFFFFF"/>
          </w:tcPr>
          <w:p>
            <w:r>
              <w:rPr>
                <w:sz w:val="19"/>
              </w:rPr>
              <w:t>"Exchange rate pass-through into import prices"</w:t>
              <w:br/>
              <w:t>Review of Economics and Statistics, 87(4), 679–690</w:t>
            </w:r>
          </w:p>
        </w:tc>
        <w:tc>
          <w:tcPr>
            <w:tcW w:type="dxa" w:w="1881"/>
            <w:shd w:val="clear" w:color="auto" w:fill="FFFFFF"/>
          </w:tcPr>
          <w:p>
            <w:r>
              <w:rPr>
                <w:sz w:val="19"/>
              </w:rPr>
              <w:t>Panel con efectos fijos + OLS con rezagos trimestrales para 23 países OCDE (1975–2003)</w:t>
            </w:r>
          </w:p>
        </w:tc>
        <w:tc>
          <w:tcPr>
            <w:tcW w:type="dxa" w:w="1881"/>
            <w:shd w:val="clear" w:color="auto" w:fill="FFFFFF"/>
          </w:tcPr>
          <w:p>
            <w:r>
              <w:rPr>
                <w:sz w:val="19"/>
              </w:rPr>
              <w:t>Estudio seminal en ERPT a nivel de importaciones. Base teórica y metodológica para comparar pass-through de corto y largo plazo entre sectores.</w:t>
            </w:r>
          </w:p>
        </w:tc>
      </w:tr>
      <w:tr>
        <w:tc>
          <w:tcPr>
            <w:tcW w:type="dxa" w:w="1881"/>
            <w:shd w:val="clear" w:color="auto" w:fill="D9E2F3"/>
          </w:tcPr>
          <w:p>
            <w:r>
              <w:rPr>
                <w:sz w:val="19"/>
              </w:rPr>
              <w:t>4</w:t>
            </w:r>
          </w:p>
        </w:tc>
        <w:tc>
          <w:tcPr>
            <w:tcW w:type="dxa" w:w="1881"/>
            <w:shd w:val="clear" w:color="auto" w:fill="D9E2F3"/>
          </w:tcPr>
          <w:p>
            <w:r>
              <w:rPr>
                <w:sz w:val="19"/>
              </w:rPr>
              <w:t>Choudhri, E. U. &amp; Hakura, D. S. (2015)</w:t>
            </w:r>
          </w:p>
        </w:tc>
        <w:tc>
          <w:tcPr>
            <w:tcW w:type="dxa" w:w="1881"/>
            <w:shd w:val="clear" w:color="auto" w:fill="D9E2F3"/>
          </w:tcPr>
          <w:p>
            <w:r>
              <w:rPr>
                <w:sz w:val="19"/>
              </w:rPr>
              <w:t>"The exchange rate pass-through to import and export prices"</w:t>
              <w:br/>
              <w:t>Journal of International Money and Finance, 51, 1–25</w:t>
            </w:r>
          </w:p>
        </w:tc>
        <w:tc>
          <w:tcPr>
            <w:tcW w:type="dxa" w:w="1881"/>
            <w:shd w:val="clear" w:color="auto" w:fill="D9E2F3"/>
          </w:tcPr>
          <w:p>
            <w:r>
              <w:rPr>
                <w:sz w:val="19"/>
              </w:rPr>
              <w:t>MCO + modelos VAR para 34 países (1979–2010). Modelo híbrido PCP-LCP.</w:t>
            </w:r>
          </w:p>
        </w:tc>
        <w:tc>
          <w:tcPr>
            <w:tcW w:type="dxa" w:w="1881"/>
            <w:shd w:val="clear" w:color="auto" w:fill="D9E2F3"/>
          </w:tcPr>
          <w:p>
            <w:r>
              <w:rPr>
                <w:sz w:val="19"/>
              </w:rPr>
              <w:t>Explica por qué el pass-through es incompleto y diferenciado entre sectores: empresas LCP vs. PCP. Fundamento teórico directo para la heterogeneidad sectorial.</w:t>
            </w:r>
          </w:p>
        </w:tc>
      </w:tr>
      <w:tr>
        <w:tc>
          <w:tcPr>
            <w:tcW w:type="dxa" w:w="1881"/>
            <w:shd w:val="clear" w:color="auto" w:fill="FFFFFF"/>
          </w:tcPr>
          <w:p>
            <w:r>
              <w:rPr>
                <w:sz w:val="19"/>
              </w:rPr>
              <w:t>5</w:t>
            </w:r>
          </w:p>
        </w:tc>
        <w:tc>
          <w:tcPr>
            <w:tcW w:type="dxa" w:w="1881"/>
            <w:shd w:val="clear" w:color="auto" w:fill="FFFFFF"/>
          </w:tcPr>
          <w:p>
            <w:r>
              <w:rPr>
                <w:sz w:val="19"/>
              </w:rPr>
              <w:t>Bussière, M., Delle Chiaie, S. &amp; Peltonen, T. A. (2013)</w:t>
            </w:r>
          </w:p>
        </w:tc>
        <w:tc>
          <w:tcPr>
            <w:tcW w:type="dxa" w:w="1881"/>
            <w:shd w:val="clear" w:color="auto" w:fill="FFFFFF"/>
          </w:tcPr>
          <w:p>
            <w:r>
              <w:rPr>
                <w:sz w:val="19"/>
              </w:rPr>
              <w:t>"Exchange rate pass-through in the global economy"</w:t>
              <w:br/>
              <w:t>SSRN / ECB Research, No. 2226259</w:t>
            </w:r>
          </w:p>
        </w:tc>
        <w:tc>
          <w:tcPr>
            <w:tcW w:type="dxa" w:w="1881"/>
            <w:shd w:val="clear" w:color="auto" w:fill="FFFFFF"/>
          </w:tcPr>
          <w:p>
            <w:r>
              <w:rPr>
                <w:sz w:val="19"/>
              </w:rPr>
              <w:t>Panel con efectos fijos y GMM para 40 países (1990–2011)</w:t>
            </w:r>
          </w:p>
        </w:tc>
        <w:tc>
          <w:tcPr>
            <w:tcW w:type="dxa" w:w="1881"/>
            <w:shd w:val="clear" w:color="auto" w:fill="FFFFFF"/>
          </w:tcPr>
          <w:p>
            <w:r>
              <w:rPr>
                <w:sz w:val="19"/>
              </w:rPr>
              <w:t>Muestra que la elasticidad del ERPT varía por tipo de bien y economía. Usa GMM, igual al enfoque propuesto. Benchmark metodológico central.</w:t>
            </w:r>
          </w:p>
        </w:tc>
      </w:tr>
    </w:tbl>
    <w:p>
      <w:r>
        <w:br w:type="page"/>
      </w:r>
    </w:p>
    <w:p>
      <w:pPr>
        <w:pStyle w:val="Heading2"/>
      </w:pPr>
      <w:r>
        <w:rPr>
          <w:color w:val="7F4F24"/>
        </w:rPr>
        <w:t>4.2 TEMA 1 [RANGO: ⭐⭐ COMPLEJIDAD MEDIA] — Asimetría del pass-through según entorno inflacionario</w:t>
      </w:r>
    </w:p>
    <w:p>
      <w:r>
        <w:rPr>
          <w:b/>
          <w:i w:val="0"/>
          <w:sz w:val="22"/>
        </w:rPr>
        <w:t>Título tentativo:</w:t>
      </w:r>
    </w:p>
    <w:p>
      <w:r>
        <w:rPr>
          <w:b w:val="0"/>
          <w:i/>
          <w:sz w:val="22"/>
        </w:rPr>
        <w:t>"¿El pass-through cambiario es asimétrico en Perú? Un análisis con modelos de umbral (TVAR/NARDL) bajo distintos regímenes de inflación (2005–2024)"</w:t>
      </w:r>
    </w:p>
    <w:p/>
    <w:p>
      <w:r>
        <w:rPr>
          <w:b/>
          <w:i w:val="0"/>
          <w:sz w:val="22"/>
        </w:rPr>
        <w:t>Descripción del enfoque:</w:t>
      </w:r>
    </w:p>
    <w:p>
      <w:r>
        <w:rPr>
          <w:b w:val="0"/>
          <w:i w:val="0"/>
          <w:sz w:val="22"/>
        </w:rPr>
        <w:t>El modelo SVAR del trabajo original impone transmisión lineal, simétrica y constante. Este tema testea si el traspaso difiere según la dirección del shock (depreciación vs. apreciación) y según el entorno inflacionario (régimen alto vs. bajo). Se estimaría un modelo NARDL (Non-linear ARDL) para capturar la asimetría depreciación/apreciación, y/o un TVAR (Threshold VAR) para identificar si el umbral de inflación activa un régimen de mayor traspaso. El período 2021–2023 (inflación peruana por encima de la banda objetivo) ofrece un episodio natural de validación.</w:t>
      </w:r>
    </w:p>
    <w:p/>
    <w:p>
      <w:r>
        <w:rPr>
          <w:b/>
          <w:i w:val="0"/>
          <w:sz w:val="22"/>
        </w:rPr>
        <w:t>Evaluación de viabilidad: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7F4F24"/>
          </w:tcPr>
          <w:p>
            <w:pPr>
              <w:jc w:val="center"/>
            </w:pPr>
            <w:r>
              <w:rPr>
                <w:b/>
                <w:color w:val="FFFFFF"/>
                <w:sz w:val="20"/>
              </w:rPr>
              <w:t>Criterio</w:t>
            </w:r>
          </w:p>
        </w:tc>
        <w:tc>
          <w:tcPr>
            <w:tcW w:type="dxa" w:w="3135"/>
            <w:shd w:val="clear" w:color="auto" w:fill="7F4F24"/>
          </w:tcPr>
          <w:p>
            <w:pPr>
              <w:jc w:val="center"/>
            </w:pPr>
            <w:r>
              <w:rPr>
                <w:b/>
                <w:color w:val="FFFFFF"/>
                <w:sz w:val="20"/>
              </w:rPr>
              <w:t>Evaluación</w:t>
            </w:r>
          </w:p>
        </w:tc>
        <w:tc>
          <w:tcPr>
            <w:tcW w:type="dxa" w:w="3135"/>
            <w:shd w:val="clear" w:color="auto" w:fill="7F4F24"/>
          </w:tcPr>
          <w:p>
            <w:pPr>
              <w:jc w:val="center"/>
            </w:pPr>
            <w:r>
              <w:rPr>
                <w:b/>
                <w:color w:val="FFFFFF"/>
                <w:sz w:val="20"/>
              </w:rPr>
              <w:t>Justificación</w:t>
            </w:r>
          </w:p>
        </w:tc>
      </w:tr>
      <w:tr>
        <w:tc>
          <w:tcPr>
            <w:tcW w:type="dxa" w:w="3135"/>
            <w:shd w:val="clear" w:color="auto" w:fill="FFFFFF"/>
          </w:tcPr>
          <w:p>
            <w:r>
              <w:rPr>
                <w:sz w:val="19"/>
              </w:rPr>
              <w:t>Disponibilidad de datos</w:t>
            </w:r>
          </w:p>
        </w:tc>
        <w:tc>
          <w:tcPr>
            <w:tcW w:type="dxa" w:w="3135"/>
            <w:shd w:val="clear" w:color="auto" w:fill="FFFFFF"/>
          </w:tcPr>
          <w:p>
            <w:r>
              <w:rPr>
                <w:sz w:val="19"/>
              </w:rPr>
              <w:t>✔ ALTA</w:t>
            </w:r>
          </w:p>
        </w:tc>
        <w:tc>
          <w:tcPr>
            <w:tcW w:type="dxa" w:w="3135"/>
            <w:shd w:val="clear" w:color="auto" w:fill="FFFFFF"/>
          </w:tcPr>
          <w:p>
            <w:r>
              <w:rPr>
                <w:sz w:val="19"/>
              </w:rPr>
              <w:t>Las mismas series del paper original (BCRP/INEI, frecuencia mensual). Ampliar hasta 2024 es trivial.</w:t>
            </w:r>
          </w:p>
        </w:tc>
      </w:tr>
      <w:tr>
        <w:tc>
          <w:tcPr>
            <w:tcW w:type="dxa" w:w="3135"/>
            <w:shd w:val="clear" w:color="auto" w:fill="F4E8D0"/>
          </w:tcPr>
          <w:p>
            <w:r>
              <w:rPr>
                <w:sz w:val="19"/>
              </w:rPr>
              <w:t>Accesibilidad metodológica</w:t>
            </w:r>
          </w:p>
        </w:tc>
        <w:tc>
          <w:tcPr>
            <w:tcW w:type="dxa" w:w="3135"/>
            <w:shd w:val="clear" w:color="auto" w:fill="F4E8D0"/>
          </w:tcPr>
          <w:p>
            <w:r>
              <w:rPr>
                <w:sz w:val="19"/>
              </w:rPr>
              <w:t>⚠ MEDIA</w:t>
            </w:r>
          </w:p>
        </w:tc>
        <w:tc>
          <w:tcPr>
            <w:tcW w:type="dxa" w:w="3135"/>
            <w:shd w:val="clear" w:color="auto" w:fill="F4E8D0"/>
          </w:tcPr>
          <w:p>
            <w:r>
              <w:rPr>
                <w:sz w:val="19"/>
              </w:rPr>
              <w:t>NARDL: disponible en EViews (módulo NARDL) y Stata (ardl con asimetrías). TVAR: más complejo, requiere código adicional en Stata/R (tvar package).</w:t>
            </w:r>
          </w:p>
        </w:tc>
      </w:tr>
      <w:tr>
        <w:tc>
          <w:tcPr>
            <w:tcW w:type="dxa" w:w="3135"/>
            <w:shd w:val="clear" w:color="auto" w:fill="FFFFFF"/>
          </w:tcPr>
          <w:p>
            <w:r>
              <w:rPr>
                <w:sz w:val="19"/>
              </w:rPr>
              <w:t>Complejidad teórica</w:t>
            </w:r>
          </w:p>
        </w:tc>
        <w:tc>
          <w:tcPr>
            <w:tcW w:type="dxa" w:w="3135"/>
            <w:shd w:val="clear" w:color="auto" w:fill="FFFFFF"/>
          </w:tcPr>
          <w:p>
            <w:r>
              <w:rPr>
                <w:sz w:val="19"/>
              </w:rPr>
              <w:t>⚠ MEDIA-ALTA</w:t>
            </w:r>
          </w:p>
        </w:tc>
        <w:tc>
          <w:tcPr>
            <w:tcW w:type="dxa" w:w="3135"/>
            <w:shd w:val="clear" w:color="auto" w:fill="FFFFFF"/>
          </w:tcPr>
          <w:p>
            <w:r>
              <w:rPr>
                <w:sz w:val="19"/>
              </w:rPr>
              <w:t>Requiere dominar la Hipótesis de Taylor (2000), la literatura de asimetría ERPT y las pruebas de no-linealidad (BDS test, Granger no-lineal).</w:t>
            </w:r>
          </w:p>
        </w:tc>
      </w:tr>
      <w:tr>
        <w:tc>
          <w:tcPr>
            <w:tcW w:type="dxa" w:w="3135"/>
            <w:shd w:val="clear" w:color="auto" w:fill="F4E8D0"/>
          </w:tcPr>
          <w:p>
            <w:r>
              <w:rPr>
                <w:sz w:val="19"/>
              </w:rPr>
              <w:t>Precedentes bibliográficos</w:t>
            </w:r>
          </w:p>
        </w:tc>
        <w:tc>
          <w:tcPr>
            <w:tcW w:type="dxa" w:w="3135"/>
            <w:shd w:val="clear" w:color="auto" w:fill="F4E8D0"/>
          </w:tcPr>
          <w:p>
            <w:r>
              <w:rPr>
                <w:sz w:val="19"/>
              </w:rPr>
              <w:t>✔ SÓLIDOS</w:t>
            </w:r>
          </w:p>
        </w:tc>
        <w:tc>
          <w:tcPr>
            <w:tcW w:type="dxa" w:w="3135"/>
            <w:shd w:val="clear" w:color="auto" w:fill="F4E8D0"/>
          </w:tcPr>
          <w:p>
            <w:r>
              <w:rPr>
                <w:sz w:val="19"/>
              </w:rPr>
              <w:t>Aleem &amp; Lahiani (2014) para México (TVAR); Literatura NARDL en América Latina; Maertens Odría et al. (2012) y Rodríguez et al. (2024) para Perú.</w:t>
            </w:r>
          </w:p>
        </w:tc>
      </w:tr>
      <w:tr>
        <w:tc>
          <w:tcPr>
            <w:tcW w:type="dxa" w:w="3135"/>
            <w:shd w:val="clear" w:color="auto" w:fill="FFFFFF"/>
          </w:tcPr>
          <w:p>
            <w:r>
              <w:rPr>
                <w:sz w:val="19"/>
              </w:rPr>
              <w:t>Diferenciación del original</w:t>
            </w:r>
          </w:p>
        </w:tc>
        <w:tc>
          <w:tcPr>
            <w:tcW w:type="dxa" w:w="3135"/>
            <w:shd w:val="clear" w:color="auto" w:fill="FFFFFF"/>
          </w:tcPr>
          <w:p>
            <w:r>
              <w:rPr>
                <w:sz w:val="19"/>
              </w:rPr>
              <w:t>✔ CLARA</w:t>
            </w:r>
          </w:p>
        </w:tc>
        <w:tc>
          <w:tcPr>
            <w:tcW w:type="dxa" w:w="3135"/>
            <w:shd w:val="clear" w:color="auto" w:fill="FFFFFF"/>
          </w:tcPr>
          <w:p>
            <w:r>
              <w:rPr>
                <w:sz w:val="19"/>
              </w:rPr>
              <w:t>El paper original asume linealidad. Esta propuesta es la extensión metodológica más directa y explícitamente sugerida en las recomendaciones del estudio.</w:t>
            </w:r>
          </w:p>
        </w:tc>
      </w:tr>
      <w:tr>
        <w:tc>
          <w:tcPr>
            <w:tcW w:type="dxa" w:w="3135"/>
            <w:shd w:val="clear" w:color="auto" w:fill="F4E8D0"/>
          </w:tcPr>
          <w:p>
            <w:r>
              <w:rPr>
                <w:sz w:val="19"/>
              </w:rPr>
              <w:t>Viabilidad universitaria</w:t>
            </w:r>
          </w:p>
        </w:tc>
        <w:tc>
          <w:tcPr>
            <w:tcW w:type="dxa" w:w="3135"/>
            <w:shd w:val="clear" w:color="auto" w:fill="F4E8D0"/>
          </w:tcPr>
          <w:p>
            <w:r>
              <w:rPr>
                <w:sz w:val="19"/>
              </w:rPr>
              <w:t>⚠ MEDIA</w:t>
            </w:r>
          </w:p>
        </w:tc>
        <w:tc>
          <w:tcPr>
            <w:tcW w:type="dxa" w:w="3135"/>
            <w:shd w:val="clear" w:color="auto" w:fill="F4E8D0"/>
          </w:tcPr>
          <w:p>
            <w:r>
              <w:rPr>
                <w:sz w:val="19"/>
              </w:rPr>
              <w:t>Alcanzable con NARDL. El TVAR requiere más tiempo. Se recomienda comenzar con NARDL y escalar si el tiempo lo permite.</w:t>
            </w:r>
          </w:p>
        </w:tc>
      </w:tr>
    </w:tbl>
    <w:p/>
    <w:p>
      <w:r>
        <w:rPr>
          <w:b/>
          <w:i w:val="0"/>
          <w:sz w:val="22"/>
        </w:rPr>
        <w:t>Relación con teoría de política monetaria:</w:t>
      </w:r>
    </w:p>
    <w:p>
      <w:r>
        <w:rPr>
          <w:b w:val="0"/>
          <w:i w:val="0"/>
          <w:sz w:val="22"/>
        </w:rPr>
        <w:t>La Hipótesis de Taylor (2000) postula que el ERPT es endógeno al entorno inflacionario: cuando la inflación es baja y estable (régimen de IT creíble), los agentes no perciben el shock cambiario como persistente y las empresas no lo trasladan a precios. Esto implica que el BCRP debe responder más agresivamente con la tasa de referencia cuando la inflación supera la banda objetivo (2% ± 1 pp), porque en ese régimen el pass-through se amplifica. La asimetría depreciación/apreciación también es relevante para las intervenciones cambiarias del BCRP (compra/venta de dólares en mesa de negociaciones).</w:t>
      </w:r>
    </w:p>
    <w:p/>
    <w:p>
      <w:r>
        <w:rPr>
          <w:b/>
          <w:i w:val="0"/>
          <w:sz w:val="22"/>
        </w:rPr>
        <w:t>5 papers representativos para el Tema 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7F4F24"/>
          </w:tcPr>
          <w:p>
            <w:pPr>
              <w:jc w:val="center"/>
            </w:pPr>
            <w:r>
              <w:rPr>
                <w:b/>
                <w:color w:val="FFFFFF"/>
                <w:sz w:val="20"/>
              </w:rPr>
              <w:t>#</w:t>
            </w:r>
          </w:p>
        </w:tc>
        <w:tc>
          <w:tcPr>
            <w:tcW w:type="dxa" w:w="1881"/>
            <w:shd w:val="clear" w:color="auto" w:fill="7F4F24"/>
          </w:tcPr>
          <w:p>
            <w:pPr>
              <w:jc w:val="center"/>
            </w:pPr>
            <w:r>
              <w:rPr>
                <w:b/>
                <w:color w:val="FFFFFF"/>
                <w:sz w:val="20"/>
              </w:rPr>
              <w:t>Autores y año</w:t>
            </w:r>
          </w:p>
        </w:tc>
        <w:tc>
          <w:tcPr>
            <w:tcW w:type="dxa" w:w="1881"/>
            <w:shd w:val="clear" w:color="auto" w:fill="7F4F24"/>
          </w:tcPr>
          <w:p>
            <w:pPr>
              <w:jc w:val="center"/>
            </w:pPr>
            <w:r>
              <w:rPr>
                <w:b/>
                <w:color w:val="FFFFFF"/>
                <w:sz w:val="20"/>
              </w:rPr>
              <w:t>Título / Revista</w:t>
            </w:r>
          </w:p>
        </w:tc>
        <w:tc>
          <w:tcPr>
            <w:tcW w:type="dxa" w:w="1881"/>
            <w:shd w:val="clear" w:color="auto" w:fill="7F4F24"/>
          </w:tcPr>
          <w:p>
            <w:pPr>
              <w:jc w:val="center"/>
            </w:pPr>
            <w:r>
              <w:rPr>
                <w:b/>
                <w:color w:val="FFFFFF"/>
                <w:sz w:val="20"/>
              </w:rPr>
              <w:t>Metodología</w:t>
            </w:r>
          </w:p>
        </w:tc>
        <w:tc>
          <w:tcPr>
            <w:tcW w:type="dxa" w:w="1881"/>
            <w:shd w:val="clear" w:color="auto" w:fill="7F4F24"/>
          </w:tcPr>
          <w:p>
            <w:pPr>
              <w:jc w:val="center"/>
            </w:pPr>
            <w:r>
              <w:rPr>
                <w:b/>
                <w:color w:val="FFFFFF"/>
                <w:sz w:val="20"/>
              </w:rPr>
              <w:t>Relevancia</w:t>
            </w:r>
          </w:p>
        </w:tc>
      </w:tr>
      <w:tr>
        <w:tc>
          <w:tcPr>
            <w:tcW w:type="dxa" w:w="1881"/>
            <w:shd w:val="clear" w:color="auto" w:fill="FFFFFF"/>
          </w:tcPr>
          <w:p>
            <w:r>
              <w:rPr>
                <w:sz w:val="19"/>
              </w:rPr>
              <w:t>1</w:t>
            </w:r>
          </w:p>
        </w:tc>
        <w:tc>
          <w:tcPr>
            <w:tcW w:type="dxa" w:w="1881"/>
            <w:shd w:val="clear" w:color="auto" w:fill="FFFFFF"/>
          </w:tcPr>
          <w:p>
            <w:r>
              <w:rPr>
                <w:sz w:val="19"/>
              </w:rPr>
              <w:t>Aleem, A. &amp; Lahiani, A. (2014)</w:t>
            </w:r>
          </w:p>
        </w:tc>
        <w:tc>
          <w:tcPr>
            <w:tcW w:type="dxa" w:w="1881"/>
            <w:shd w:val="clear" w:color="auto" w:fill="FFFFFF"/>
          </w:tcPr>
          <w:p>
            <w:r>
              <w:rPr>
                <w:sz w:val="19"/>
              </w:rPr>
              <w:t>"A threshold vector autoregression model of exchange rate pass-through in Mexico"</w:t>
              <w:br/>
              <w:t>Research in International Business and Finance, 30, 24–33</w:t>
            </w:r>
          </w:p>
        </w:tc>
        <w:tc>
          <w:tcPr>
            <w:tcW w:type="dxa" w:w="1881"/>
            <w:shd w:val="clear" w:color="auto" w:fill="FFFFFF"/>
          </w:tcPr>
          <w:p>
            <w:r>
              <w:rPr>
                <w:sz w:val="19"/>
              </w:rPr>
              <w:t>TVAR con umbral de inflación (0.79% mensual). Datos mensuales México 1994–2009.</w:t>
            </w:r>
          </w:p>
        </w:tc>
        <w:tc>
          <w:tcPr>
            <w:tcW w:type="dxa" w:w="1881"/>
            <w:shd w:val="clear" w:color="auto" w:fill="FFFFFF"/>
          </w:tcPr>
          <w:p>
            <w:r>
              <w:rPr>
                <w:sz w:val="19"/>
              </w:rPr>
              <w:t>Paper fundacional del enfoque TVAR para ERPT. Demuestra que el pass-through solo es significativo cuando la inflación supera el umbral. Metodología directamente replicable para Perú.</w:t>
            </w:r>
          </w:p>
        </w:tc>
      </w:tr>
      <w:tr>
        <w:tc>
          <w:tcPr>
            <w:tcW w:type="dxa" w:w="1881"/>
            <w:shd w:val="clear" w:color="auto" w:fill="F4E8D0"/>
          </w:tcPr>
          <w:p>
            <w:r>
              <w:rPr>
                <w:sz w:val="19"/>
              </w:rPr>
              <w:t>2</w:t>
            </w:r>
          </w:p>
        </w:tc>
        <w:tc>
          <w:tcPr>
            <w:tcW w:type="dxa" w:w="1881"/>
            <w:shd w:val="clear" w:color="auto" w:fill="F4E8D0"/>
          </w:tcPr>
          <w:p>
            <w:r>
              <w:rPr>
                <w:sz w:val="19"/>
              </w:rPr>
              <w:t>Ha, J., Stocker, M. &amp; Yilmazkuday, H. (2020)</w:t>
            </w:r>
          </w:p>
        </w:tc>
        <w:tc>
          <w:tcPr>
            <w:tcW w:type="dxa" w:w="1881"/>
            <w:shd w:val="clear" w:color="auto" w:fill="F4E8D0"/>
          </w:tcPr>
          <w:p>
            <w:r>
              <w:rPr>
                <w:sz w:val="19"/>
              </w:rPr>
              <w:t>"Inflation and exchange rate pass-through"</w:t>
              <w:br/>
              <w:t>Journal of International Money and Finance, 105</w:t>
            </w:r>
          </w:p>
        </w:tc>
        <w:tc>
          <w:tcPr>
            <w:tcW w:type="dxa" w:w="1881"/>
            <w:shd w:val="clear" w:color="auto" w:fill="F4E8D0"/>
          </w:tcPr>
          <w:p>
            <w:r>
              <w:rPr>
                <w:sz w:val="19"/>
              </w:rPr>
              <w:t>FAVAR (Factor-Augmented VAR) para 55 países (1971–2017). Identificación por tipo de shock.</w:t>
            </w:r>
          </w:p>
        </w:tc>
        <w:tc>
          <w:tcPr>
            <w:tcW w:type="dxa" w:w="1881"/>
            <w:shd w:val="clear" w:color="auto" w:fill="F4E8D0"/>
          </w:tcPr>
          <w:p>
            <w:r>
              <w:rPr>
                <w:sz w:val="19"/>
              </w:rPr>
              <w:t>Muestra que el ERPT varía por tipo de shock (monetario vs. demanda interna) y que la credibilidad del banco central y el régimen de IT reducen el pass-through. Marco global de referencia.</w:t>
            </w:r>
          </w:p>
        </w:tc>
      </w:tr>
      <w:tr>
        <w:tc>
          <w:tcPr>
            <w:tcW w:type="dxa" w:w="1881"/>
            <w:shd w:val="clear" w:color="auto" w:fill="FFFFFF"/>
          </w:tcPr>
          <w:p>
            <w:r>
              <w:rPr>
                <w:sz w:val="19"/>
              </w:rPr>
              <w:t>3</w:t>
            </w:r>
          </w:p>
        </w:tc>
        <w:tc>
          <w:tcPr>
            <w:tcW w:type="dxa" w:w="1881"/>
            <w:shd w:val="clear" w:color="auto" w:fill="FFFFFF"/>
          </w:tcPr>
          <w:p>
            <w:r>
              <w:rPr>
                <w:sz w:val="19"/>
              </w:rPr>
              <w:t>Maertens Odría, L. R., Castillo, P. &amp; Rodríguez, G. (2012)</w:t>
            </w:r>
          </w:p>
        </w:tc>
        <w:tc>
          <w:tcPr>
            <w:tcW w:type="dxa" w:w="1881"/>
            <w:shd w:val="clear" w:color="auto" w:fill="FFFFFF"/>
          </w:tcPr>
          <w:p>
            <w:r>
              <w:rPr>
                <w:sz w:val="19"/>
              </w:rPr>
              <w:t>"Does the exchange rate pass-through into prices change when inflation targeting is adopted? The Peruvian case study between 1994 and 2007"</w:t>
              <w:br/>
              <w:t>Journal of Macroeconomics, 34(4), 1154–1166</w:t>
            </w:r>
          </w:p>
        </w:tc>
        <w:tc>
          <w:tcPr>
            <w:tcW w:type="dxa" w:w="1881"/>
            <w:shd w:val="clear" w:color="auto" w:fill="FFFFFF"/>
          </w:tcPr>
          <w:p>
            <w:r>
              <w:rPr>
                <w:sz w:val="19"/>
              </w:rPr>
              <w:t>TV-VAR (parámetros variantes en el tiempo) para Perú pre y post IT (2002).</w:t>
            </w:r>
          </w:p>
        </w:tc>
        <w:tc>
          <w:tcPr>
            <w:tcW w:type="dxa" w:w="1881"/>
            <w:shd w:val="clear" w:color="auto" w:fill="FFFFFF"/>
          </w:tcPr>
          <w:p>
            <w:r>
              <w:rPr>
                <w:sz w:val="19"/>
              </w:rPr>
              <w:t>Primer estudio de parámetros variantes para el ERPT en Perú. Documenta la caída del pass-through tras la adopción del IT. Base histórica directa para el tema propuesto.</w:t>
            </w:r>
          </w:p>
        </w:tc>
      </w:tr>
      <w:tr>
        <w:tc>
          <w:tcPr>
            <w:tcW w:type="dxa" w:w="1881"/>
            <w:shd w:val="clear" w:color="auto" w:fill="F4E8D0"/>
          </w:tcPr>
          <w:p>
            <w:r>
              <w:rPr>
                <w:sz w:val="19"/>
              </w:rPr>
              <w:t>4</w:t>
            </w:r>
          </w:p>
        </w:tc>
        <w:tc>
          <w:tcPr>
            <w:tcW w:type="dxa" w:w="1881"/>
            <w:shd w:val="clear" w:color="auto" w:fill="F4E8D0"/>
          </w:tcPr>
          <w:p>
            <w:r>
              <w:rPr>
                <w:sz w:val="19"/>
              </w:rPr>
              <w:t>Rodríguez, G. et al. (2024)</w:t>
            </w:r>
          </w:p>
        </w:tc>
        <w:tc>
          <w:tcPr>
            <w:tcW w:type="dxa" w:w="1881"/>
            <w:shd w:val="clear" w:color="auto" w:fill="F4E8D0"/>
          </w:tcPr>
          <w:p>
            <w:r>
              <w:rPr>
                <w:sz w:val="19"/>
              </w:rPr>
              <w:t>"Evolution of the exchange rate pass-through into prices in Peru: An empirical application using TVP-VAR-SV models"</w:t>
              <w:br/>
              <w:t>Journal of International Money and Finance, 142</w:t>
            </w:r>
          </w:p>
        </w:tc>
        <w:tc>
          <w:tcPr>
            <w:tcW w:type="dxa" w:w="1881"/>
            <w:shd w:val="clear" w:color="auto" w:fill="F4E8D0"/>
          </w:tcPr>
          <w:p>
            <w:r>
              <w:rPr>
                <w:sz w:val="19"/>
              </w:rPr>
              <w:t>TVP-VAR con volatilidad estocástica (TVP-VAR-SV). Perú 1995Q2–2022Q4.</w:t>
            </w:r>
          </w:p>
        </w:tc>
        <w:tc>
          <w:tcPr>
            <w:tcW w:type="dxa" w:w="1881"/>
            <w:shd w:val="clear" w:color="auto" w:fill="F4E8D0"/>
          </w:tcPr>
          <w:p>
            <w:r>
              <w:rPr>
                <w:sz w:val="19"/>
              </w:rPr>
              <w:t>Estudio más reciente y completo sobre ERPT en Perú con modelos variantes. Muestra resurgimiento del pass-through desde 2014. Benchmark directo y actualizado para el análisis asimétrico.</w:t>
            </w:r>
          </w:p>
        </w:tc>
      </w:tr>
      <w:tr>
        <w:tc>
          <w:tcPr>
            <w:tcW w:type="dxa" w:w="1881"/>
            <w:shd w:val="clear" w:color="auto" w:fill="FFFFFF"/>
          </w:tcPr>
          <w:p>
            <w:r>
              <w:rPr>
                <w:sz w:val="19"/>
              </w:rPr>
              <w:t>5</w:t>
            </w:r>
          </w:p>
        </w:tc>
        <w:tc>
          <w:tcPr>
            <w:tcW w:type="dxa" w:w="1881"/>
            <w:shd w:val="clear" w:color="auto" w:fill="FFFFFF"/>
          </w:tcPr>
          <w:p>
            <w:r>
              <w:rPr>
                <w:sz w:val="19"/>
              </w:rPr>
              <w:t>Caselli, F. G. &amp; Roitman, A. (2019)</w:t>
            </w:r>
          </w:p>
        </w:tc>
        <w:tc>
          <w:tcPr>
            <w:tcW w:type="dxa" w:w="1881"/>
            <w:shd w:val="clear" w:color="auto" w:fill="FFFFFF"/>
          </w:tcPr>
          <w:p>
            <w:r>
              <w:rPr>
                <w:sz w:val="19"/>
              </w:rPr>
              <w:t>"Nonlinear exchange-rate pass-through in emerging markets"</w:t>
              <w:br/>
              <w:t>International Finance (Wiley), 22(2), 279–306</w:t>
            </w:r>
          </w:p>
        </w:tc>
        <w:tc>
          <w:tcPr>
            <w:tcW w:type="dxa" w:w="1881"/>
            <w:shd w:val="clear" w:color="auto" w:fill="FFFFFF"/>
          </w:tcPr>
          <w:p>
            <w:r>
              <w:rPr>
                <w:sz w:val="19"/>
              </w:rPr>
              <w:t>Modelos no-lineales tipo NARDL y regresiones de umbral. Panel de mercados emergentes.</w:t>
            </w:r>
          </w:p>
        </w:tc>
        <w:tc>
          <w:tcPr>
            <w:tcW w:type="dxa" w:w="1881"/>
            <w:shd w:val="clear" w:color="auto" w:fill="FFFFFF"/>
          </w:tcPr>
          <w:p>
            <w:r>
              <w:rPr>
                <w:sz w:val="19"/>
              </w:rPr>
              <w:t>Documenta no-linealidades del ERPT en economías emergentes. Encuentra que el pass-through es mayor durante episodios de alta inflación y depreciaciones fuertes. Marco metodológico comparable al propuesto.</w:t>
            </w:r>
          </w:p>
        </w:tc>
      </w:tr>
    </w:tbl>
    <w:p>
      <w:r>
        <w:br w:type="page"/>
      </w:r>
    </w:p>
    <w:p>
      <w:pPr>
        <w:pStyle w:val="Heading2"/>
      </w:pPr>
      <w:r>
        <w:rPr>
          <w:color w:val="5A2D82"/>
        </w:rPr>
        <w:t>4.3 TEMA 3 [RANGO: ⭐⭐⭐ MÁS COMPLEJO] — Credibilidad del BCRP, expectativas de inflación y moderación del pass-through</w:t>
      </w:r>
    </w:p>
    <w:p>
      <w:r>
        <w:rPr>
          <w:b/>
          <w:i w:val="0"/>
          <w:sz w:val="22"/>
        </w:rPr>
        <w:t>Título tentativo:</w:t>
      </w:r>
    </w:p>
    <w:p>
      <w:r>
        <w:rPr>
          <w:b w:val="0"/>
          <w:i/>
          <w:sz w:val="22"/>
        </w:rPr>
        <w:t>"¿Ancla el BCRP las expectativas? Credibilidad de la política monetaria y su rol en la moderación del pass-through cambiario en Perú mediante un modelo TVP-VAR-SV (2002–2024)"</w:t>
      </w:r>
    </w:p>
    <w:p/>
    <w:p>
      <w:r>
        <w:rPr>
          <w:b/>
          <w:i w:val="0"/>
          <w:sz w:val="22"/>
        </w:rPr>
        <w:t>Descripción del enfoque:</w:t>
      </w:r>
    </w:p>
    <w:p>
      <w:r>
        <w:rPr>
          <w:b w:val="0"/>
          <w:i w:val="0"/>
          <w:sz w:val="22"/>
        </w:rPr>
        <w:t>El trabajo original señala que el anclaje de expectativas del BCRP explica el bajo impacto del shock cambiario sobre el IPC subyacente, pero no cuantifica ese canal. Esta propuesta construye un índice de credibilidad del banco central (brecha entre expectativas de inflación de los agentes y la meta del BCRP) e incorpora dicho índice en un modelo TVP-VAR con volatilidad estocástica (SV) para evaluar cómo el pass-through ha cambiado en función de la credibilidad institucional desde la adopción del esquema IT en 2002.</w:t>
      </w:r>
    </w:p>
    <w:p/>
    <w:p>
      <w:r>
        <w:rPr>
          <w:b/>
          <w:i w:val="0"/>
          <w:sz w:val="22"/>
        </w:rPr>
        <w:t>Evaluación de viabilidad: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5A2D82"/>
          </w:tcPr>
          <w:p>
            <w:pPr>
              <w:jc w:val="center"/>
            </w:pPr>
            <w:r>
              <w:rPr>
                <w:b/>
                <w:color w:val="FFFFFF"/>
                <w:sz w:val="20"/>
              </w:rPr>
              <w:t>Criterio</w:t>
            </w:r>
          </w:p>
        </w:tc>
        <w:tc>
          <w:tcPr>
            <w:tcW w:type="dxa" w:w="3135"/>
            <w:shd w:val="clear" w:color="auto" w:fill="5A2D82"/>
          </w:tcPr>
          <w:p>
            <w:pPr>
              <w:jc w:val="center"/>
            </w:pPr>
            <w:r>
              <w:rPr>
                <w:b/>
                <w:color w:val="FFFFFF"/>
                <w:sz w:val="20"/>
              </w:rPr>
              <w:t>Evaluación</w:t>
            </w:r>
          </w:p>
        </w:tc>
        <w:tc>
          <w:tcPr>
            <w:tcW w:type="dxa" w:w="3135"/>
            <w:shd w:val="clear" w:color="auto" w:fill="5A2D82"/>
          </w:tcPr>
          <w:p>
            <w:pPr>
              <w:jc w:val="center"/>
            </w:pPr>
            <w:r>
              <w:rPr>
                <w:b/>
                <w:color w:val="FFFFFF"/>
                <w:sz w:val="20"/>
              </w:rPr>
              <w:t>Justificación</w:t>
            </w:r>
          </w:p>
        </w:tc>
      </w:tr>
      <w:tr>
        <w:tc>
          <w:tcPr>
            <w:tcW w:type="dxa" w:w="3135"/>
            <w:shd w:val="clear" w:color="auto" w:fill="FFFFFF"/>
          </w:tcPr>
          <w:p>
            <w:r>
              <w:rPr>
                <w:sz w:val="19"/>
              </w:rPr>
              <w:t>Disponibilidad de datos</w:t>
            </w:r>
          </w:p>
        </w:tc>
        <w:tc>
          <w:tcPr>
            <w:tcW w:type="dxa" w:w="3135"/>
            <w:shd w:val="clear" w:color="auto" w:fill="FFFFFF"/>
          </w:tcPr>
          <w:p>
            <w:r>
              <w:rPr>
                <w:sz w:val="19"/>
              </w:rPr>
              <w:t>✔ MEDIA-ALTA</w:t>
            </w:r>
          </w:p>
        </w:tc>
        <w:tc>
          <w:tcPr>
            <w:tcW w:type="dxa" w:w="3135"/>
            <w:shd w:val="clear" w:color="auto" w:fill="FFFFFF"/>
          </w:tcPr>
          <w:p>
            <w:r>
              <w:rPr>
                <w:sz w:val="19"/>
              </w:rPr>
              <w:t>Encuesta de expectativas del BCRP (mensual, disponible online). La construcción del índice de credibilidad requiere procesamiento adicional.</w:t>
            </w:r>
          </w:p>
        </w:tc>
      </w:tr>
      <w:tr>
        <w:tc>
          <w:tcPr>
            <w:tcW w:type="dxa" w:w="3135"/>
            <w:shd w:val="clear" w:color="auto" w:fill="E8D9F4"/>
          </w:tcPr>
          <w:p>
            <w:r>
              <w:rPr>
                <w:sz w:val="19"/>
              </w:rPr>
              <w:t>Accesibilidad metodológica</w:t>
            </w:r>
          </w:p>
        </w:tc>
        <w:tc>
          <w:tcPr>
            <w:tcW w:type="dxa" w:w="3135"/>
            <w:shd w:val="clear" w:color="auto" w:fill="E8D9F4"/>
          </w:tcPr>
          <w:p>
            <w:r>
              <w:rPr>
                <w:sz w:val="19"/>
              </w:rPr>
              <w:t>✗ BAJA-MEDIA</w:t>
            </w:r>
          </w:p>
        </w:tc>
        <w:tc>
          <w:tcPr>
            <w:tcW w:type="dxa" w:w="3135"/>
            <w:shd w:val="clear" w:color="auto" w:fill="E8D9F4"/>
          </w:tcPr>
          <w:p>
            <w:r>
              <w:rPr>
                <w:sz w:val="19"/>
              </w:rPr>
              <w:t>TVP-VAR-SV requiere estimación Bayesiana (MCMC). Implementación en MATLAB (código Primiceri) o R (bvarsv). Curva de aprendizaje alta para nivel de pregrado.</w:t>
            </w:r>
          </w:p>
        </w:tc>
      </w:tr>
      <w:tr>
        <w:tc>
          <w:tcPr>
            <w:tcW w:type="dxa" w:w="3135"/>
            <w:shd w:val="clear" w:color="auto" w:fill="FFFFFF"/>
          </w:tcPr>
          <w:p>
            <w:r>
              <w:rPr>
                <w:sz w:val="19"/>
              </w:rPr>
              <w:t>Complejidad teórica</w:t>
            </w:r>
          </w:p>
        </w:tc>
        <w:tc>
          <w:tcPr>
            <w:tcW w:type="dxa" w:w="3135"/>
            <w:shd w:val="clear" w:color="auto" w:fill="FFFFFF"/>
          </w:tcPr>
          <w:p>
            <w:r>
              <w:rPr>
                <w:sz w:val="19"/>
              </w:rPr>
              <w:t>✗ ALTA</w:t>
            </w:r>
          </w:p>
        </w:tc>
        <w:tc>
          <w:tcPr>
            <w:tcW w:type="dxa" w:w="3135"/>
            <w:shd w:val="clear" w:color="auto" w:fill="FFFFFF"/>
          </w:tcPr>
          <w:p>
            <w:r>
              <w:rPr>
                <w:sz w:val="19"/>
              </w:rPr>
              <w:t>Requiere dominar: reglas de Taylor, esquemas IT, credibilidad imperfecta, expectativas racionales, modelos DSGE. Muy profundo para un proyecto de pregrado.</w:t>
            </w:r>
          </w:p>
        </w:tc>
      </w:tr>
      <w:tr>
        <w:tc>
          <w:tcPr>
            <w:tcW w:type="dxa" w:w="3135"/>
            <w:shd w:val="clear" w:color="auto" w:fill="E8D9F4"/>
          </w:tcPr>
          <w:p>
            <w:r>
              <w:rPr>
                <w:sz w:val="19"/>
              </w:rPr>
              <w:t>Precedentes bibliográficos</w:t>
            </w:r>
          </w:p>
        </w:tc>
        <w:tc>
          <w:tcPr>
            <w:tcW w:type="dxa" w:w="3135"/>
            <w:shd w:val="clear" w:color="auto" w:fill="E8D9F4"/>
          </w:tcPr>
          <w:p>
            <w:r>
              <w:rPr>
                <w:sz w:val="19"/>
              </w:rPr>
              <w:t>✔ SÓLIDOS</w:t>
            </w:r>
          </w:p>
        </w:tc>
        <w:tc>
          <w:tcPr>
            <w:tcW w:type="dxa" w:w="3135"/>
            <w:shd w:val="clear" w:color="auto" w:fill="E8D9F4"/>
          </w:tcPr>
          <w:p>
            <w:r>
              <w:rPr>
                <w:sz w:val="19"/>
              </w:rPr>
              <w:t>Cuitiño et al. (2022) para Uruguay/Chile; Carrière-Swallow et al. (2021) global; Rodríguez et al. (2024) para Perú. Pero este último ya cubre gran parte del tema.</w:t>
            </w:r>
          </w:p>
        </w:tc>
      </w:tr>
      <w:tr>
        <w:tc>
          <w:tcPr>
            <w:tcW w:type="dxa" w:w="3135"/>
            <w:shd w:val="clear" w:color="auto" w:fill="FFFFFF"/>
          </w:tcPr>
          <w:p>
            <w:r>
              <w:rPr>
                <w:sz w:val="19"/>
              </w:rPr>
              <w:t>Diferenciación del original</w:t>
            </w:r>
          </w:p>
        </w:tc>
        <w:tc>
          <w:tcPr>
            <w:tcW w:type="dxa" w:w="3135"/>
            <w:shd w:val="clear" w:color="auto" w:fill="FFFFFF"/>
          </w:tcPr>
          <w:p>
            <w:r>
              <w:rPr>
                <w:sz w:val="19"/>
              </w:rPr>
              <w:t>⚠ MEDIA</w:t>
            </w:r>
          </w:p>
        </w:tc>
        <w:tc>
          <w:tcPr>
            <w:tcW w:type="dxa" w:w="3135"/>
            <w:shd w:val="clear" w:color="auto" w:fill="FFFFFF"/>
          </w:tcPr>
          <w:p>
            <w:r>
              <w:rPr>
                <w:sz w:val="19"/>
              </w:rPr>
              <w:t>Rodríguez et al. (2024) ya aplica TVP-VAR-SV para Perú. Diferenciarse requiere añadir el índice de credibilidad explícitamente, lo que es un aporte pero no trivial.</w:t>
            </w:r>
          </w:p>
        </w:tc>
      </w:tr>
      <w:tr>
        <w:tc>
          <w:tcPr>
            <w:tcW w:type="dxa" w:w="3135"/>
            <w:shd w:val="clear" w:color="auto" w:fill="E8D9F4"/>
          </w:tcPr>
          <w:p>
            <w:r>
              <w:rPr>
                <w:sz w:val="19"/>
              </w:rPr>
              <w:t>Viabilidad universitaria</w:t>
            </w:r>
          </w:p>
        </w:tc>
        <w:tc>
          <w:tcPr>
            <w:tcW w:type="dxa" w:w="3135"/>
            <w:shd w:val="clear" w:color="auto" w:fill="E8D9F4"/>
          </w:tcPr>
          <w:p>
            <w:r>
              <w:rPr>
                <w:sz w:val="19"/>
              </w:rPr>
              <w:t>⚠ BAJA-MEDIA</w:t>
            </w:r>
          </w:p>
        </w:tc>
        <w:tc>
          <w:tcPr>
            <w:tcW w:type="dxa" w:w="3135"/>
            <w:shd w:val="clear" w:color="auto" w:fill="E8D9F4"/>
          </w:tcPr>
          <w:p>
            <w:r>
              <w:rPr>
                <w:sz w:val="19"/>
              </w:rPr>
              <w:t>Más adecuado para tesis de maestría o investigación en BCRP. Difícil concluir en un semestre universitario sin background en métodos Bayesianos.</w:t>
            </w:r>
          </w:p>
        </w:tc>
      </w:tr>
    </w:tbl>
    <w:p/>
    <w:p>
      <w:r>
        <w:rPr>
          <w:b/>
          <w:i w:val="0"/>
          <w:sz w:val="22"/>
        </w:rPr>
        <w:t>Relación con teoría de política monetaria:</w:t>
      </w:r>
    </w:p>
    <w:p>
      <w:r>
        <w:rPr>
          <w:b w:val="0"/>
          <w:i w:val="0"/>
          <w:sz w:val="22"/>
        </w:rPr>
        <w:t>Es el tema con mayor conexión directa con la teoría de política monetaria: Regla de Taylor, esquema de metas de inflación, credibilidad institucional del banco central, mecanismo de transmisión de la tasa de referencia y formación de expectativas. Sin embargo, esta profundidad teórica también lo hace el más exigente en términos de conocimientos previos y tiempo de implementación.</w:t>
      </w:r>
    </w:p>
    <w:p/>
    <w:p>
      <w:r>
        <w:rPr>
          <w:b/>
          <w:i w:val="0"/>
          <w:sz w:val="22"/>
        </w:rPr>
        <w:t>5 papers representativos para el Tema 3:</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5A2D82"/>
          </w:tcPr>
          <w:p>
            <w:pPr>
              <w:jc w:val="center"/>
            </w:pPr>
            <w:r>
              <w:rPr>
                <w:b/>
                <w:color w:val="FFFFFF"/>
                <w:sz w:val="20"/>
              </w:rPr>
              <w:t>#</w:t>
            </w:r>
          </w:p>
        </w:tc>
        <w:tc>
          <w:tcPr>
            <w:tcW w:type="dxa" w:w="1881"/>
            <w:shd w:val="clear" w:color="auto" w:fill="5A2D82"/>
          </w:tcPr>
          <w:p>
            <w:pPr>
              <w:jc w:val="center"/>
            </w:pPr>
            <w:r>
              <w:rPr>
                <w:b/>
                <w:color w:val="FFFFFF"/>
                <w:sz w:val="20"/>
              </w:rPr>
              <w:t>Autores y año</w:t>
            </w:r>
          </w:p>
        </w:tc>
        <w:tc>
          <w:tcPr>
            <w:tcW w:type="dxa" w:w="1881"/>
            <w:shd w:val="clear" w:color="auto" w:fill="5A2D82"/>
          </w:tcPr>
          <w:p>
            <w:pPr>
              <w:jc w:val="center"/>
            </w:pPr>
            <w:r>
              <w:rPr>
                <w:b/>
                <w:color w:val="FFFFFF"/>
                <w:sz w:val="20"/>
              </w:rPr>
              <w:t>Título / Revista</w:t>
            </w:r>
          </w:p>
        </w:tc>
        <w:tc>
          <w:tcPr>
            <w:tcW w:type="dxa" w:w="1881"/>
            <w:shd w:val="clear" w:color="auto" w:fill="5A2D82"/>
          </w:tcPr>
          <w:p>
            <w:pPr>
              <w:jc w:val="center"/>
            </w:pPr>
            <w:r>
              <w:rPr>
                <w:b/>
                <w:color w:val="FFFFFF"/>
                <w:sz w:val="20"/>
              </w:rPr>
              <w:t>Metodología</w:t>
            </w:r>
          </w:p>
        </w:tc>
        <w:tc>
          <w:tcPr>
            <w:tcW w:type="dxa" w:w="1881"/>
            <w:shd w:val="clear" w:color="auto" w:fill="5A2D82"/>
          </w:tcPr>
          <w:p>
            <w:pPr>
              <w:jc w:val="center"/>
            </w:pPr>
            <w:r>
              <w:rPr>
                <w:b/>
                <w:color w:val="FFFFFF"/>
                <w:sz w:val="20"/>
              </w:rPr>
              <w:t>Relevancia</w:t>
            </w:r>
          </w:p>
        </w:tc>
      </w:tr>
      <w:tr>
        <w:tc>
          <w:tcPr>
            <w:tcW w:type="dxa" w:w="1881"/>
            <w:shd w:val="clear" w:color="auto" w:fill="FFFFFF"/>
          </w:tcPr>
          <w:p>
            <w:r>
              <w:rPr>
                <w:sz w:val="19"/>
              </w:rPr>
              <w:t>1</w:t>
            </w:r>
          </w:p>
        </w:tc>
        <w:tc>
          <w:tcPr>
            <w:tcW w:type="dxa" w:w="1881"/>
            <w:shd w:val="clear" w:color="auto" w:fill="FFFFFF"/>
          </w:tcPr>
          <w:p>
            <w:r>
              <w:rPr>
                <w:sz w:val="19"/>
              </w:rPr>
              <w:t>Cuitiño, M. F., Medina, J. P. &amp; Zacheo, L. (2022)</w:t>
            </w:r>
          </w:p>
        </w:tc>
        <w:tc>
          <w:tcPr>
            <w:tcW w:type="dxa" w:w="1881"/>
            <w:shd w:val="clear" w:color="auto" w:fill="FFFFFF"/>
          </w:tcPr>
          <w:p>
            <w:r>
              <w:rPr>
                <w:sz w:val="19"/>
              </w:rPr>
              <w:t>"Conditional exchange rate pass-through and monetary policy credibility: Insights from Uruguay and Chile"</w:t>
              <w:br/>
              <w:t>Economic Modelling, 114</w:t>
            </w:r>
          </w:p>
        </w:tc>
        <w:tc>
          <w:tcPr>
            <w:tcW w:type="dxa" w:w="1881"/>
            <w:shd w:val="clear" w:color="auto" w:fill="FFFFFF"/>
          </w:tcPr>
          <w:p>
            <w:r>
              <w:rPr>
                <w:sz w:val="19"/>
              </w:rPr>
              <w:t>DSGE Nuevo Keynesiano con credibilidad imperfecta + funciones impulso-respuesta. Uruguay (2005–2020) y Chile (2002–2019).</w:t>
            </w:r>
          </w:p>
        </w:tc>
        <w:tc>
          <w:tcPr>
            <w:tcW w:type="dxa" w:w="1881"/>
            <w:shd w:val="clear" w:color="auto" w:fill="FFFFFF"/>
          </w:tcPr>
          <w:p>
            <w:r>
              <w:rPr>
                <w:sz w:val="19"/>
              </w:rPr>
              <w:t>Paper más cercano al enfoque propuesto para economías similares a Perú. Modela explícitamente la credibilidad imperfecta del banco central y su rol en el ERPT. Metodología de referencia central.</w:t>
            </w:r>
          </w:p>
        </w:tc>
      </w:tr>
      <w:tr>
        <w:tc>
          <w:tcPr>
            <w:tcW w:type="dxa" w:w="1881"/>
            <w:shd w:val="clear" w:color="auto" w:fill="E8D9F4"/>
          </w:tcPr>
          <w:p>
            <w:r>
              <w:rPr>
                <w:sz w:val="19"/>
              </w:rPr>
              <w:t>2</w:t>
            </w:r>
          </w:p>
        </w:tc>
        <w:tc>
          <w:tcPr>
            <w:tcW w:type="dxa" w:w="1881"/>
            <w:shd w:val="clear" w:color="auto" w:fill="E8D9F4"/>
          </w:tcPr>
          <w:p>
            <w:r>
              <w:rPr>
                <w:sz w:val="19"/>
              </w:rPr>
              <w:t>Carrière-Swallow, Y., Gruss, B., Magud, N. E. &amp; Valencia, F. (2021)</w:t>
            </w:r>
          </w:p>
        </w:tc>
        <w:tc>
          <w:tcPr>
            <w:tcW w:type="dxa" w:w="1881"/>
            <w:shd w:val="clear" w:color="auto" w:fill="E8D9F4"/>
          </w:tcPr>
          <w:p>
            <w:r>
              <w:rPr>
                <w:sz w:val="19"/>
              </w:rPr>
              <w:t>"Monetary Policy Credibility and Exchange Rate Pass-Through"</w:t>
              <w:br/>
              <w:t>International Journal of Central Banking, 17(3), 61–94</w:t>
            </w:r>
          </w:p>
        </w:tc>
        <w:tc>
          <w:tcPr>
            <w:tcW w:type="dxa" w:w="1881"/>
            <w:shd w:val="clear" w:color="auto" w:fill="E8D9F4"/>
          </w:tcPr>
          <w:p>
            <w:r>
              <w:rPr>
                <w:sz w:val="19"/>
              </w:rPr>
              <w:t>Panel de economías emergentes y avanzadas. Índice de credibilidad basado en anclaje de expectativas de inflación.</w:t>
            </w:r>
          </w:p>
        </w:tc>
        <w:tc>
          <w:tcPr>
            <w:tcW w:type="dxa" w:w="1881"/>
            <w:shd w:val="clear" w:color="auto" w:fill="E8D9F4"/>
          </w:tcPr>
          <w:p>
            <w:r>
              <w:rPr>
                <w:sz w:val="19"/>
              </w:rPr>
              <w:t>Documenta empíricamente que mayor credibilidad del banco central se asocia con menor pass-through al consumidor. Provee el marco empírico y el índice de credibilidad replicable para Perú.</w:t>
            </w:r>
          </w:p>
        </w:tc>
      </w:tr>
      <w:tr>
        <w:tc>
          <w:tcPr>
            <w:tcW w:type="dxa" w:w="1881"/>
            <w:shd w:val="clear" w:color="auto" w:fill="FFFFFF"/>
          </w:tcPr>
          <w:p>
            <w:r>
              <w:rPr>
                <w:sz w:val="19"/>
              </w:rPr>
              <w:t>3</w:t>
            </w:r>
          </w:p>
        </w:tc>
        <w:tc>
          <w:tcPr>
            <w:tcW w:type="dxa" w:w="1881"/>
            <w:shd w:val="clear" w:color="auto" w:fill="FFFFFF"/>
          </w:tcPr>
          <w:p>
            <w:r>
              <w:rPr>
                <w:sz w:val="19"/>
              </w:rPr>
              <w:t>Maertens Odría, L. R., Castillo, P. &amp; Rodríguez, G. (2012)</w:t>
            </w:r>
          </w:p>
        </w:tc>
        <w:tc>
          <w:tcPr>
            <w:tcW w:type="dxa" w:w="1881"/>
            <w:shd w:val="clear" w:color="auto" w:fill="FFFFFF"/>
          </w:tcPr>
          <w:p>
            <w:r>
              <w:rPr>
                <w:sz w:val="19"/>
              </w:rPr>
              <w:t>"Does the exchange rate pass-through into prices change when inflation targeting is adopted? The Peruvian case study between 1994 and 2007"</w:t>
              <w:br/>
              <w:t>Journal of Macroeconomics, 34(4), 1154–1166</w:t>
            </w:r>
          </w:p>
        </w:tc>
        <w:tc>
          <w:tcPr>
            <w:tcW w:type="dxa" w:w="1881"/>
            <w:shd w:val="clear" w:color="auto" w:fill="FFFFFF"/>
          </w:tcPr>
          <w:p>
            <w:r>
              <w:rPr>
                <w:sz w:val="19"/>
              </w:rPr>
              <w:t>TV-VAR (parámetros variantes). Perú 1994–2007, pre y post adopción del IT.</w:t>
            </w:r>
          </w:p>
        </w:tc>
        <w:tc>
          <w:tcPr>
            <w:tcW w:type="dxa" w:w="1881"/>
            <w:shd w:val="clear" w:color="auto" w:fill="FFFFFF"/>
          </w:tcPr>
          <w:p>
            <w:r>
              <w:rPr>
                <w:sz w:val="19"/>
              </w:rPr>
              <w:t>Antecedente directo para Perú. Primer estudio que vincula la adopción del IT con la reducción del ERPT mediante modelo variante en el tiempo. Punto de partida histórico imprescindible.</w:t>
            </w:r>
          </w:p>
        </w:tc>
      </w:tr>
      <w:tr>
        <w:tc>
          <w:tcPr>
            <w:tcW w:type="dxa" w:w="1881"/>
            <w:shd w:val="clear" w:color="auto" w:fill="E8D9F4"/>
          </w:tcPr>
          <w:p>
            <w:r>
              <w:rPr>
                <w:sz w:val="19"/>
              </w:rPr>
              <w:t>4</w:t>
            </w:r>
          </w:p>
        </w:tc>
        <w:tc>
          <w:tcPr>
            <w:tcW w:type="dxa" w:w="1881"/>
            <w:shd w:val="clear" w:color="auto" w:fill="E8D9F4"/>
          </w:tcPr>
          <w:p>
            <w:r>
              <w:rPr>
                <w:sz w:val="19"/>
              </w:rPr>
              <w:t>Rodríguez, G. et al. (2024)</w:t>
            </w:r>
          </w:p>
        </w:tc>
        <w:tc>
          <w:tcPr>
            <w:tcW w:type="dxa" w:w="1881"/>
            <w:shd w:val="clear" w:color="auto" w:fill="E8D9F4"/>
          </w:tcPr>
          <w:p>
            <w:r>
              <w:rPr>
                <w:sz w:val="19"/>
              </w:rPr>
              <w:t>"Evolution of the exchange rate pass-through into prices in Peru: An empirical application using TVP-VAR-SV models"</w:t>
              <w:br/>
              <w:t>Journal of International Money and Finance, 142</w:t>
            </w:r>
          </w:p>
        </w:tc>
        <w:tc>
          <w:tcPr>
            <w:tcW w:type="dxa" w:w="1881"/>
            <w:shd w:val="clear" w:color="auto" w:fill="E8D9F4"/>
          </w:tcPr>
          <w:p>
            <w:r>
              <w:rPr>
                <w:sz w:val="19"/>
              </w:rPr>
              <w:t>TVP-VAR con volatilidad estocástica (SV). Perú 1995Q2–2022Q4.</w:t>
            </w:r>
          </w:p>
        </w:tc>
        <w:tc>
          <w:tcPr>
            <w:tcW w:type="dxa" w:w="1881"/>
            <w:shd w:val="clear" w:color="auto" w:fill="E8D9F4"/>
          </w:tcPr>
          <w:p>
            <w:r>
              <w:rPr>
                <w:sz w:val="19"/>
              </w:rPr>
              <w:t>Paper más reciente y técnicamente avanzado sobre ERPT en Perú. Define el estado del arte. Para diferenciarse, el tema propuesto debería agregar explícitamente el canal de credibilidad no modelado en este paper.</w:t>
            </w:r>
          </w:p>
        </w:tc>
      </w:tr>
      <w:tr>
        <w:tc>
          <w:tcPr>
            <w:tcW w:type="dxa" w:w="1881"/>
            <w:shd w:val="clear" w:color="auto" w:fill="FFFFFF"/>
          </w:tcPr>
          <w:p>
            <w:r>
              <w:rPr>
                <w:sz w:val="19"/>
              </w:rPr>
              <w:t>5</w:t>
            </w:r>
          </w:p>
        </w:tc>
        <w:tc>
          <w:tcPr>
            <w:tcW w:type="dxa" w:w="1881"/>
            <w:shd w:val="clear" w:color="auto" w:fill="FFFFFF"/>
          </w:tcPr>
          <w:p>
            <w:r>
              <w:rPr>
                <w:sz w:val="19"/>
              </w:rPr>
              <w:t>Ha, J., Stocker, M. &amp; Yilmazkuday, H. (2020)</w:t>
            </w:r>
          </w:p>
        </w:tc>
        <w:tc>
          <w:tcPr>
            <w:tcW w:type="dxa" w:w="1881"/>
            <w:shd w:val="clear" w:color="auto" w:fill="FFFFFF"/>
          </w:tcPr>
          <w:p>
            <w:r>
              <w:rPr>
                <w:sz w:val="19"/>
              </w:rPr>
              <w:t>"Inflation and exchange rate pass-through"</w:t>
              <w:br/>
              <w:t>Journal of International Money and Finance, 105</w:t>
            </w:r>
          </w:p>
        </w:tc>
        <w:tc>
          <w:tcPr>
            <w:tcW w:type="dxa" w:w="1881"/>
            <w:shd w:val="clear" w:color="auto" w:fill="FFFFFF"/>
          </w:tcPr>
          <w:p>
            <w:r>
              <w:rPr>
                <w:sz w:val="19"/>
              </w:rPr>
              <w:t>FAVAR para 55 países (1971–2017). Descomposición por tipo de shock.</w:t>
            </w:r>
          </w:p>
        </w:tc>
        <w:tc>
          <w:tcPr>
            <w:tcW w:type="dxa" w:w="1881"/>
            <w:shd w:val="clear" w:color="auto" w:fill="FFFFFF"/>
          </w:tcPr>
          <w:p>
            <w:r>
              <w:rPr>
                <w:sz w:val="19"/>
              </w:rPr>
              <w:t>Muestra que el ERPT es considerablemente menor en países con regímenes IT creíbles. Provee la base empírica global para el vínculo credibilidad-pass-through, y sirve como benchmark de comparación internacional.</w:t>
            </w:r>
          </w:p>
        </w:tc>
      </w:tr>
    </w:tbl>
    <w:p>
      <w:r>
        <w:br w:type="page"/>
      </w:r>
    </w:p>
    <w:p>
      <w:pPr>
        <w:pStyle w:val="Heading1"/>
      </w:pPr>
      <w:r>
        <w:rPr>
          <w:color w:val="1F3864"/>
        </w:rPr>
        <w:t>5. Tabla comparativa y ranking de viabilidad</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Criterio</w:t>
            </w:r>
          </w:p>
        </w:tc>
        <w:tc>
          <w:tcPr>
            <w:tcW w:type="dxa" w:w="1344"/>
            <w:shd w:val="clear" w:color="auto" w:fill="1F3864"/>
          </w:tcPr>
          <w:p>
            <w:pPr>
              <w:jc w:val="center"/>
            </w:pPr>
            <w:r>
              <w:rPr>
                <w:b/>
                <w:color w:val="FFFFFF"/>
                <w:sz w:val="20"/>
              </w:rPr>
              <w:t>Tema 2</w:t>
              <w:br/>
              <w:t>(Sectorial GMM)</w:t>
            </w:r>
          </w:p>
        </w:tc>
        <w:tc>
          <w:tcPr>
            <w:tcW w:type="dxa" w:w="1344"/>
            <w:shd w:val="clear" w:color="auto" w:fill="1F3864"/>
          </w:tcPr>
          <w:p>
            <w:pPr>
              <w:jc w:val="center"/>
            </w:pPr>
            <w:r>
              <w:rPr>
                <w:b/>
                <w:color w:val="FFFFFF"/>
                <w:sz w:val="20"/>
              </w:rPr>
              <w:t>Tema 1</w:t>
              <w:br/>
              <w:t>(NARDL/TVAR)</w:t>
            </w:r>
          </w:p>
        </w:tc>
        <w:tc>
          <w:tcPr>
            <w:tcW w:type="dxa" w:w="1344"/>
            <w:shd w:val="clear" w:color="auto" w:fill="1F3864"/>
          </w:tcPr>
          <w:p>
            <w:pPr>
              <w:jc w:val="center"/>
            </w:pPr>
            <w:r>
              <w:rPr>
                <w:b/>
                <w:color w:val="FFFFFF"/>
                <w:sz w:val="20"/>
              </w:rPr>
              <w:t>Tema 3</w:t>
              <w:br/>
              <w:t>(TVP-VAR)</w:t>
            </w:r>
          </w:p>
        </w:tc>
        <w:tc>
          <w:tcPr>
            <w:tcW w:type="dxa" w:w="1344"/>
          </w:tcPr>
          <w:p/>
        </w:tc>
        <w:tc>
          <w:tcPr>
            <w:tcW w:type="dxa" w:w="1344"/>
          </w:tcPr>
          <w:p/>
        </w:tc>
        <w:tc>
          <w:tcPr>
            <w:tcW w:type="dxa" w:w="1344"/>
          </w:tcPr>
          <w:p/>
        </w:tc>
      </w:tr>
      <w:tr>
        <w:tc>
          <w:tcPr>
            <w:tcW w:type="dxa" w:w="1344"/>
          </w:tcP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tc>
        <w:tc>
          <w:tcPr>
            <w:tcW w:type="dxa" w:w="1344"/>
          </w:tcPr>
          <w:p/>
        </w:tc>
        <w:tc>
          <w:tcPr>
            <w:tcW w:type="dxa" w:w="1344"/>
          </w:tcPr>
          <w:p/>
        </w:tc>
        <w:tc>
          <w:tcPr>
            <w:tcW w:type="dxa" w:w="1344"/>
          </w:tcPr>
          <w:p/>
        </w:tc>
        <w:tc>
          <w:tcPr>
            <w:tcW w:type="dxa" w:w="1344"/>
          </w:tcPr>
          <w:p/>
        </w:tc>
        <w:tc>
          <w:tcPr>
            <w:tcW w:type="dxa" w:w="1344"/>
          </w:tcPr>
          <w:p/>
        </w:tc>
        <w:tc>
          <w:tcPr>
            <w:tcW w:type="dxa" w:w="1344"/>
          </w:tcPr>
          <w:p/>
        </w:tc>
      </w:tr>
    </w:tbl>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Criterio</w:t>
            </w:r>
          </w:p>
        </w:tc>
        <w:tc>
          <w:tcPr>
            <w:tcW w:type="dxa" w:w="2351"/>
            <w:shd w:val="clear" w:color="auto" w:fill="1F3864"/>
          </w:tcPr>
          <w:p>
            <w:pPr>
              <w:jc w:val="center"/>
            </w:pPr>
            <w:r>
              <w:rPr>
                <w:b/>
                <w:color w:val="FFFFFF"/>
                <w:sz w:val="20"/>
              </w:rPr>
              <w:t>Tema 2 — Sectorial (GMM)</w:t>
            </w:r>
          </w:p>
        </w:tc>
        <w:tc>
          <w:tcPr>
            <w:tcW w:type="dxa" w:w="2351"/>
            <w:shd w:val="clear" w:color="auto" w:fill="1F3864"/>
          </w:tcPr>
          <w:p>
            <w:pPr>
              <w:jc w:val="center"/>
            </w:pPr>
            <w:r>
              <w:rPr>
                <w:b/>
                <w:color w:val="FFFFFF"/>
                <w:sz w:val="20"/>
              </w:rPr>
              <w:t>Tema 1 — Asimetría (NARDL/TVAR)</w:t>
            </w:r>
          </w:p>
        </w:tc>
        <w:tc>
          <w:tcPr>
            <w:tcW w:type="dxa" w:w="2351"/>
            <w:shd w:val="clear" w:color="auto" w:fill="1F3864"/>
          </w:tcPr>
          <w:p>
            <w:pPr>
              <w:jc w:val="center"/>
            </w:pPr>
            <w:r>
              <w:rPr>
                <w:b/>
                <w:color w:val="FFFFFF"/>
                <w:sz w:val="20"/>
              </w:rPr>
              <w:t>Tema 3 — Credibilidad (TVP-VAR)</w:t>
            </w:r>
          </w:p>
        </w:tc>
      </w:tr>
      <w:tr>
        <w:tc>
          <w:tcPr>
            <w:tcW w:type="dxa" w:w="2351"/>
            <w:shd w:val="clear" w:color="auto" w:fill="FFFFFF"/>
          </w:tcPr>
          <w:p>
            <w:r>
              <w:rPr>
                <w:sz w:val="19"/>
              </w:rPr>
              <w:t>Datos disponibles</w:t>
            </w:r>
          </w:p>
        </w:tc>
        <w:tc>
          <w:tcPr>
            <w:tcW w:type="dxa" w:w="2351"/>
            <w:shd w:val="clear" w:color="auto" w:fill="FFFFFF"/>
          </w:tcPr>
          <w:p>
            <w:r>
              <w:rPr>
                <w:sz w:val="19"/>
              </w:rPr>
              <w:t>✔✔ Alta</w:t>
            </w:r>
          </w:p>
        </w:tc>
        <w:tc>
          <w:tcPr>
            <w:tcW w:type="dxa" w:w="2351"/>
            <w:shd w:val="clear" w:color="auto" w:fill="FFFFFF"/>
          </w:tcPr>
          <w:p>
            <w:r>
              <w:rPr>
                <w:sz w:val="19"/>
              </w:rPr>
              <w:t>✔✔ Alta</w:t>
            </w:r>
          </w:p>
        </w:tc>
        <w:tc>
          <w:tcPr>
            <w:tcW w:type="dxa" w:w="2351"/>
            <w:shd w:val="clear" w:color="auto" w:fill="FFFFFF"/>
          </w:tcPr>
          <w:p>
            <w:r>
              <w:rPr>
                <w:sz w:val="19"/>
              </w:rPr>
              <w:t>✔ Media-Alta</w:t>
            </w:r>
          </w:p>
        </w:tc>
      </w:tr>
      <w:tr>
        <w:tc>
          <w:tcPr>
            <w:tcW w:type="dxa" w:w="2351"/>
            <w:shd w:val="clear" w:color="auto" w:fill="F2F7FF"/>
          </w:tcPr>
          <w:p>
            <w:r>
              <w:rPr>
                <w:sz w:val="19"/>
              </w:rPr>
              <w:t>Impl. econométrica</w:t>
            </w:r>
          </w:p>
        </w:tc>
        <w:tc>
          <w:tcPr>
            <w:tcW w:type="dxa" w:w="2351"/>
            <w:shd w:val="clear" w:color="auto" w:fill="F2F7FF"/>
          </w:tcPr>
          <w:p>
            <w:r>
              <w:rPr>
                <w:sz w:val="19"/>
              </w:rPr>
              <w:t>✔✔ Media-Alta</w:t>
            </w:r>
          </w:p>
        </w:tc>
        <w:tc>
          <w:tcPr>
            <w:tcW w:type="dxa" w:w="2351"/>
            <w:shd w:val="clear" w:color="auto" w:fill="F2F7FF"/>
          </w:tcPr>
          <w:p>
            <w:r>
              <w:rPr>
                <w:sz w:val="19"/>
              </w:rPr>
              <w:t>✔ Media</w:t>
            </w:r>
          </w:p>
        </w:tc>
        <w:tc>
          <w:tcPr>
            <w:tcW w:type="dxa" w:w="2351"/>
            <w:shd w:val="clear" w:color="auto" w:fill="F2F7FF"/>
          </w:tcPr>
          <w:p>
            <w:r>
              <w:rPr>
                <w:sz w:val="19"/>
              </w:rPr>
              <w:t>✗ Baja-Media</w:t>
            </w:r>
          </w:p>
        </w:tc>
      </w:tr>
      <w:tr>
        <w:tc>
          <w:tcPr>
            <w:tcW w:type="dxa" w:w="2351"/>
            <w:shd w:val="clear" w:color="auto" w:fill="FFFFFF"/>
          </w:tcPr>
          <w:p>
            <w:r>
              <w:rPr>
                <w:sz w:val="19"/>
              </w:rPr>
              <w:t>Complejidad teórica</w:t>
            </w:r>
          </w:p>
        </w:tc>
        <w:tc>
          <w:tcPr>
            <w:tcW w:type="dxa" w:w="2351"/>
            <w:shd w:val="clear" w:color="auto" w:fill="FFFFFF"/>
          </w:tcPr>
          <w:p>
            <w:r>
              <w:rPr>
                <w:sz w:val="19"/>
              </w:rPr>
              <w:t>✔✔ Moderada</w:t>
            </w:r>
          </w:p>
        </w:tc>
        <w:tc>
          <w:tcPr>
            <w:tcW w:type="dxa" w:w="2351"/>
            <w:shd w:val="clear" w:color="auto" w:fill="FFFFFF"/>
          </w:tcPr>
          <w:p>
            <w:r>
              <w:rPr>
                <w:sz w:val="19"/>
              </w:rPr>
              <w:t>✔ Media-Alta</w:t>
            </w:r>
          </w:p>
        </w:tc>
        <w:tc>
          <w:tcPr>
            <w:tcW w:type="dxa" w:w="2351"/>
            <w:shd w:val="clear" w:color="auto" w:fill="FFFFFF"/>
          </w:tcPr>
          <w:p>
            <w:r>
              <w:rPr>
                <w:sz w:val="19"/>
              </w:rPr>
              <w:t>✗ Muy Alta</w:t>
            </w:r>
          </w:p>
        </w:tc>
      </w:tr>
      <w:tr>
        <w:tc>
          <w:tcPr>
            <w:tcW w:type="dxa" w:w="2351"/>
            <w:shd w:val="clear" w:color="auto" w:fill="F2F7FF"/>
          </w:tcPr>
          <w:p>
            <w:r>
              <w:rPr>
                <w:sz w:val="19"/>
              </w:rPr>
              <w:t>Precedentes directos</w:t>
            </w:r>
          </w:p>
        </w:tc>
        <w:tc>
          <w:tcPr>
            <w:tcW w:type="dxa" w:w="2351"/>
            <w:shd w:val="clear" w:color="auto" w:fill="F2F7FF"/>
          </w:tcPr>
          <w:p>
            <w:r>
              <w:rPr>
                <w:sz w:val="19"/>
              </w:rPr>
              <w:t>✔✔ Castellares &amp;</w:t>
              <w:br/>
              <w:t>Toma (2020)</w:t>
            </w:r>
          </w:p>
        </w:tc>
        <w:tc>
          <w:tcPr>
            <w:tcW w:type="dxa" w:w="2351"/>
            <w:shd w:val="clear" w:color="auto" w:fill="F2F7FF"/>
          </w:tcPr>
          <w:p>
            <w:r>
              <w:rPr>
                <w:sz w:val="19"/>
              </w:rPr>
              <w:t>✔ Aleem &amp;</w:t>
              <w:br/>
              <w:t>Lahiani (2014)</w:t>
            </w:r>
          </w:p>
        </w:tc>
        <w:tc>
          <w:tcPr>
            <w:tcW w:type="dxa" w:w="2351"/>
            <w:shd w:val="clear" w:color="auto" w:fill="F2F7FF"/>
          </w:tcPr>
          <w:p>
            <w:r>
              <w:rPr>
                <w:sz w:val="19"/>
              </w:rPr>
              <w:t>✔ Rodríguez</w:t>
              <w:br/>
              <w:t>et al. (2024)</w:t>
            </w:r>
          </w:p>
        </w:tc>
      </w:tr>
      <w:tr>
        <w:tc>
          <w:tcPr>
            <w:tcW w:type="dxa" w:w="2351"/>
            <w:shd w:val="clear" w:color="auto" w:fill="FFFFFF"/>
          </w:tcPr>
          <w:p>
            <w:r>
              <w:rPr>
                <w:sz w:val="19"/>
              </w:rPr>
              <w:t>Diferenciación</w:t>
            </w:r>
          </w:p>
        </w:tc>
        <w:tc>
          <w:tcPr>
            <w:tcW w:type="dxa" w:w="2351"/>
            <w:shd w:val="clear" w:color="auto" w:fill="FFFFFF"/>
          </w:tcPr>
          <w:p>
            <w:r>
              <w:rPr>
                <w:sz w:val="19"/>
              </w:rPr>
              <w:t>✔✔ Clara</w:t>
            </w:r>
          </w:p>
        </w:tc>
        <w:tc>
          <w:tcPr>
            <w:tcW w:type="dxa" w:w="2351"/>
            <w:shd w:val="clear" w:color="auto" w:fill="FFFFFF"/>
          </w:tcPr>
          <w:p>
            <w:r>
              <w:rPr>
                <w:sz w:val="19"/>
              </w:rPr>
              <w:t>✔✔ Clara</w:t>
            </w:r>
          </w:p>
        </w:tc>
        <w:tc>
          <w:tcPr>
            <w:tcW w:type="dxa" w:w="2351"/>
            <w:shd w:val="clear" w:color="auto" w:fill="FFFFFF"/>
          </w:tcPr>
          <w:p>
            <w:r>
              <w:rPr>
                <w:sz w:val="19"/>
              </w:rPr>
              <w:t>✔ Requiere</w:t>
              <w:br/>
              <w:t>más esfuerzo</w:t>
            </w:r>
          </w:p>
        </w:tc>
      </w:tr>
      <w:tr>
        <w:tc>
          <w:tcPr>
            <w:tcW w:type="dxa" w:w="2351"/>
            <w:shd w:val="clear" w:color="auto" w:fill="F2F7FF"/>
          </w:tcPr>
          <w:p>
            <w:r>
              <w:rPr>
                <w:sz w:val="19"/>
              </w:rPr>
              <w:t>Viabilidad pregrado</w:t>
            </w:r>
          </w:p>
        </w:tc>
        <w:tc>
          <w:tcPr>
            <w:tcW w:type="dxa" w:w="2351"/>
            <w:shd w:val="clear" w:color="auto" w:fill="F2F7FF"/>
          </w:tcPr>
          <w:p>
            <w:r>
              <w:rPr>
                <w:sz w:val="19"/>
              </w:rPr>
              <w:t>✔✔ Alta</w:t>
            </w:r>
          </w:p>
        </w:tc>
        <w:tc>
          <w:tcPr>
            <w:tcW w:type="dxa" w:w="2351"/>
            <w:shd w:val="clear" w:color="auto" w:fill="F2F7FF"/>
          </w:tcPr>
          <w:p>
            <w:r>
              <w:rPr>
                <w:sz w:val="19"/>
              </w:rPr>
              <w:t>✔ Media</w:t>
            </w:r>
          </w:p>
        </w:tc>
        <w:tc>
          <w:tcPr>
            <w:tcW w:type="dxa" w:w="2351"/>
            <w:shd w:val="clear" w:color="auto" w:fill="F2F7FF"/>
          </w:tcPr>
          <w:p>
            <w:r>
              <w:rPr>
                <w:sz w:val="19"/>
              </w:rPr>
              <w:t>✗ Baja-Media</w:t>
            </w:r>
          </w:p>
        </w:tc>
      </w:tr>
      <w:tr>
        <w:tc>
          <w:tcPr>
            <w:tcW w:type="dxa" w:w="2351"/>
            <w:shd w:val="clear" w:color="auto" w:fill="D9E2F3"/>
          </w:tcPr>
          <w:p>
            <w:r>
              <w:rPr>
                <w:b/>
                <w:sz w:val="20"/>
              </w:rPr>
              <w:t>RANKING GLOBAL</w:t>
            </w:r>
          </w:p>
        </w:tc>
        <w:tc>
          <w:tcPr>
            <w:tcW w:type="dxa" w:w="2351"/>
            <w:shd w:val="clear" w:color="auto" w:fill="D9E2F3"/>
          </w:tcPr>
          <w:p>
            <w:r>
              <w:rPr>
                <w:b/>
                <w:sz w:val="20"/>
              </w:rPr>
              <w:t>🥇 #1 MÁS VIABLE</w:t>
            </w:r>
          </w:p>
        </w:tc>
        <w:tc>
          <w:tcPr>
            <w:tcW w:type="dxa" w:w="2351"/>
            <w:shd w:val="clear" w:color="auto" w:fill="D9E2F3"/>
          </w:tcPr>
          <w:p>
            <w:r>
              <w:rPr>
                <w:b/>
                <w:sz w:val="20"/>
              </w:rPr>
              <w:t>🥈 #2 MEDIO</w:t>
            </w:r>
          </w:p>
        </w:tc>
        <w:tc>
          <w:tcPr>
            <w:tcW w:type="dxa" w:w="2351"/>
            <w:shd w:val="clear" w:color="auto" w:fill="D9E2F3"/>
          </w:tcPr>
          <w:p>
            <w:r>
              <w:rPr>
                <w:b/>
                <w:sz w:val="20"/>
              </w:rPr>
              <w:t>🥉 #3 MÁS COMPLEJO</w:t>
            </w:r>
          </w:p>
        </w:tc>
      </w:tr>
    </w:tbl>
    <w:p>
      <w:r>
        <w:br w:type="page"/>
      </w:r>
    </w:p>
    <w:p>
      <w:pPr>
        <w:pStyle w:val="Heading1"/>
      </w:pPr>
      <w:r>
        <w:rPr>
          <w:color w:val="1F3864"/>
        </w:rPr>
        <w:t>6. Conclusión y recomendación</w:t>
      </w:r>
    </w:p>
    <w:p>
      <w:r>
        <w:rPr>
          <w:b w:val="0"/>
          <w:i w:val="0"/>
          <w:sz w:val="22"/>
        </w:rPr>
        <w:t>Considerando los criterios evaluados, el tema más viable para un proyecto académico universitario de pregrado es:</w:t>
      </w:r>
    </w:p>
    <w:p/>
    <w:p>
      <w:pPr>
        <w:jc w:val="center"/>
      </w:pPr>
      <w:r>
        <w:rPr>
          <w:b/>
          <w:color w:val="1F6864"/>
          <w:sz w:val="26"/>
        </w:rPr>
        <w:t>TEMA 2: Traspaso cambiario heterogéneo a nivel sectorial en Perú (Panel GMM)</w:t>
      </w:r>
    </w:p>
    <w:p/>
    <w:p>
      <w:r>
        <w:rPr>
          <w:b w:val="0"/>
          <w:i w:val="0"/>
          <w:sz w:val="22"/>
        </w:rPr>
        <w:t>Este tema combina tres ventajas clave: (1) datos accesibles y públicos sin necesidad de procesamiento adicional complejo, (2) metodología GMM bien documentada con software estándar (Stata xtabond2), y (3) un antecedente metodológico directo para Perú (Castellares &amp; Toma, 2020) que sirve como guía. Además, la pregunta de investigación —¿cuáles sectores son más vulnerables al shock cambiario?— es directamente relevante para la política monetaria del BCRP y aporta valor concreto sobre los resultados agregados del paper original.</w:t>
      </w:r>
    </w:p>
    <w:p/>
    <w:p>
      <w:r>
        <w:rPr>
          <w:b w:val="0"/>
          <w:i w:val="0"/>
          <w:sz w:val="22"/>
        </w:rPr>
        <w:t>El Tema 1 (NARDL/TVAR) es una alternativa sólida si el equipo tiene mayor familiaridad con modelos no-lineales o dispone de más tiempo; la ventaja es que utiliza exactamente los mismos datos del paper original. El Tema 3 (TVP-VAR + credibilidad) se recomienda reservar para nivel de maestría o investigación institucional (BCRP/PUCP), dado que Rodríguez et al. (2024) ya cubre el TVP-VAR-SV para Perú y diferenciarse requeriría estimación Bayesiana avanzada.</w:t>
      </w:r>
    </w:p>
    <w:p/>
    <w:p>
      <w:r>
        <w:rPr>
          <w:b/>
          <w:i w:val="0"/>
          <w:sz w:val="22"/>
        </w:rPr>
        <w:t>Nota metodológica importante:</w:t>
      </w:r>
    </w:p>
    <w:p>
      <w:r>
        <w:rPr>
          <w:b w:val="0"/>
          <w:i w:val="0"/>
          <w:sz w:val="22"/>
        </w:rPr>
        <w:t>Sea cual sea el tema elegido, los tres pueden enmarcarse dentro de la teoría de política monetaria a través del mecanismo de transmisión del tipo de cambio a la inflación, la Hipótesis de Taylor (2000), el esquema de metas de inflación del BCRP y la literatura de credibilidad del banco central. La selección del tema no implica alejarse de la teoría monetaria, sino profundizar en aspectos específicos de ella.</w:t>
      </w:r>
    </w:p>
    <w:p>
      <w:r>
        <w:br w:type="page"/>
      </w:r>
    </w:p>
    <w:p>
      <w:pPr>
        <w:pStyle w:val="Heading1"/>
      </w:pPr>
      <w:r>
        <w:rPr>
          <w:color w:val="1F3864"/>
        </w:rPr>
        <w:t>7. Referencias generales</w:t>
      </w:r>
    </w:p>
    <w:p>
      <w:pPr>
        <w:pStyle w:val="ListBullet"/>
        <w:ind w:left="360"/>
      </w:pPr>
      <w:r>
        <w:t>Aleem, A., &amp; Lahiani, A. (2014). A threshold vector autoregression model of exchange rate pass-through in Mexico. Research in International Business and Finance, 30, 24–33.</w:t>
      </w:r>
    </w:p>
    <w:p>
      <w:pPr>
        <w:pStyle w:val="ListBullet"/>
        <w:ind w:left="360"/>
      </w:pPr>
      <w:r>
        <w:t>Bussière, M., Delle Chiaie, S., &amp; Peltonen, T. A. (2013). Exchange rate pass-through in the global economy (SSRN Working Paper No. 2226259).</w:t>
      </w:r>
    </w:p>
    <w:p>
      <w:pPr>
        <w:pStyle w:val="ListBullet"/>
        <w:ind w:left="360"/>
      </w:pPr>
      <w:r>
        <w:t>Campa, J. M., &amp; Goldberg, L. S. (2005). Exchange rate pass-through into import prices. The Review of Economics and Statistics, 87(4), 679–690.</w:t>
      </w:r>
    </w:p>
    <w:p>
      <w:pPr>
        <w:pStyle w:val="ListBullet"/>
        <w:ind w:left="360"/>
      </w:pPr>
      <w:r>
        <w:t>Carrière-Swallow, Y., Gruss, B., Magud, N. E., &amp; Valencia, F. (2021). Monetary Policy Credibility and Exchange Rate Pass-Through. International Journal of Central Banking, 17(3), 61–94.</w:t>
      </w:r>
    </w:p>
    <w:p>
      <w:pPr>
        <w:pStyle w:val="ListBullet"/>
        <w:ind w:left="360"/>
      </w:pPr>
      <w:r>
        <w:t>Caselli, F. G., &amp; Roitman, A. (2019). Nonlinear exchange-rate pass-through in emerging markets. International Finance, 22(2), 279–306.</w:t>
      </w:r>
    </w:p>
    <w:p>
      <w:pPr>
        <w:pStyle w:val="ListBullet"/>
        <w:ind w:left="360"/>
      </w:pPr>
      <w:r>
        <w:t>Castellares, R., &amp; Toma, H. (2020). Effects of a mandatory local currency pricing law on the exchange rate pass-through. Journal of International Money and Finance, 106.</w:t>
      </w:r>
    </w:p>
    <w:p>
      <w:pPr>
        <w:pStyle w:val="ListBullet"/>
        <w:ind w:left="360"/>
      </w:pPr>
      <w:r>
        <w:t>Choudhri, E. U., &amp; Hakura, D. S. (2015). The exchange rate pass-through to import and export prices: The role of nominal rigidities and currency choice. Journal of International Money and Finance, 51, 1–25.</w:t>
      </w:r>
    </w:p>
    <w:p>
      <w:pPr>
        <w:pStyle w:val="ListBullet"/>
        <w:ind w:left="360"/>
      </w:pPr>
      <w:r>
        <w:t>Cuitiño, M. F., Medina, J. P., &amp; Zacheo, L. (2022). Conditional exchange rate pass-through and monetary policy credibility: Insights from Uruguay and Chile. Economic Modelling, 114.</w:t>
      </w:r>
    </w:p>
    <w:p>
      <w:pPr>
        <w:pStyle w:val="ListBullet"/>
        <w:ind w:left="360"/>
      </w:pPr>
      <w:r>
        <w:t>Ha, J., Stocker, M. M., &amp; Yilmazkuday, H. (2020). Inflation and exchange rate pass-through. Journal of International Money and Finance, 105.</w:t>
      </w:r>
    </w:p>
    <w:p>
      <w:pPr>
        <w:pStyle w:val="ListBullet"/>
        <w:ind w:left="360"/>
      </w:pPr>
      <w:r>
        <w:t>Maertens Odría, L. R., Castillo, P., &amp; Rodríguez, G. (2012). Does the exchange rate pass-through into prices change when inflation targeting is adopted? The Peruvian case study between 1994 and 2007. Journal of Macroeconomics, 34(4), 1154–1166.</w:t>
      </w:r>
    </w:p>
    <w:p>
      <w:pPr>
        <w:pStyle w:val="ListBullet"/>
        <w:ind w:left="360"/>
      </w:pPr>
      <w:r>
        <w:t>Rodríguez, G. et al. (2024). Evolution of the exchange rate pass-through into prices in Peru: An empirical application using TVP-VAR-SV models. Journal of International Money and Finance, 142.</w:t>
      </w:r>
    </w:p>
    <w:p>
      <w:pPr>
        <w:pStyle w:val="ListBullet"/>
        <w:ind w:left="360"/>
      </w:pPr>
      <w:r>
        <w:t>Solórzano, D. (2023). Heterogeneous exchange rate pass-through in Mexico: What drives it? Latin American Journal of Central Banking, 4(4).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