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Bibliografía Metodológica</w:t>
      </w:r>
    </w:p>
    <w:p>
      <w:pPr>
        <w:jc w:val="center"/>
      </w:pPr>
      <w:r>
        <w:rPr>
          <w:color w:val="2E74B5"/>
          <w:sz w:val="26"/>
        </w:rPr>
        <w:t>Modelos VAR e Identificación por Descomposición de Cholesky</w:t>
      </w:r>
    </w:p>
    <w:p/>
    <w:p>
      <w:pPr>
        <w:jc w:val="center"/>
      </w:pPr>
      <w:r>
        <w:rPr>
          <w:color w:val="404040"/>
          <w:sz w:val="20"/>
        </w:rPr>
        <w:t>Teoría y Política Monetaria  |  ULIMA 2026-1</w:t>
        <w:br/>
        <w:t>Canal Crediticio de la Política Monetaria en Perú</w:t>
        <w:br/>
        <w:t>Formato: APA 7ª edición</w:t>
      </w:r>
    </w:p>
    <w:p>
      <w:r>
        <w:br w:type="page"/>
      </w:r>
    </w:p>
    <w:p>
      <w:pPr>
        <w:spacing w:before="280" w:after="80"/>
      </w:pPr>
      <w:r>
        <w:rPr>
          <w:b/>
          <w:color w:val="2E74B5"/>
          <w:sz w:val="26"/>
        </w:rPr>
        <w:t>1. Fundamentos del Modelo VAR</w:t>
      </w:r>
    </w:p>
    <w:p>
      <w:pPr>
        <w:spacing w:after="120"/>
      </w:pPr>
      <w:r>
        <w:rPr>
          <w:sz w:val="20"/>
        </w:rPr>
        <w:t>Los modelos de Vectores Autorregresivos (VAR) son el estándar metodológico para el análisis de mecanismos de transmisión de política monetaria. Las referencias siguientes justifican el uso de VAR reducido con identificación de Cholesky como herramienta econométrica válida y ampliamente aceptada.</w:t>
      </w:r>
    </w:p>
    <w:p>
      <w:pPr>
        <w:spacing w:before="200" w:after="40"/>
      </w:pPr>
      <w:r>
        <w:rPr>
          <w:b/>
          <w:color w:val="1F497D"/>
          <w:sz w:val="22"/>
        </w:rPr>
        <w:t>1.1  Sims (1980) — Artículo fundacional del VAR</w:t>
      </w:r>
    </w:p>
    <w:p>
      <w:pPr>
        <w:spacing w:after="80"/>
        <w:ind w:left="720" w:hanging="720"/>
      </w:pPr>
      <w:r>
        <w:rPr>
          <w:sz w:val="20"/>
        </w:rPr>
        <w:t>Sims, C. A. (1980). Macroeconomics and reality. Econometrica, 48(1), 1–48. https://doi.org/10.2307/1912017</w:t>
      </w:r>
    </w:p>
    <w:p>
      <w:pPr>
        <w:spacing w:after="40"/>
      </w:pPr>
      <w:r>
        <w:rPr>
          <w:b/>
          <w:sz w:val="20"/>
        </w:rPr>
        <w:t xml:space="preserve">Tipo: </w:t>
      </w:r>
      <w:r>
        <w:rPr>
          <w:sz w:val="20"/>
        </w:rPr>
        <w:t>Artículo científico — Econometrica (Scopus Q1, ScienceDirect)</w:t>
      </w:r>
    </w:p>
    <w:p>
      <w:pPr>
        <w:spacing w:after="40"/>
      </w:pPr>
      <w:r>
        <w:rPr>
          <w:b/>
          <w:sz w:val="20"/>
        </w:rPr>
        <w:t xml:space="preserve">Resumen: </w:t>
      </w:r>
      <w:r>
        <w:rPr>
          <w:sz w:val="20"/>
        </w:rPr>
        <w:t>Artículo seminal que introduce los modelos VAR como alternativa a los modelos macroeconómicos estructurales de grandes dimensiones. Sims argumenta que las restricciones de identificación impuestas en esos modelos son injustificadas y propone dejar que los datos hablen por sí mismos.</w:t>
      </w:r>
    </w:p>
    <w:p>
      <w:pPr>
        <w:spacing w:after="40"/>
      </w:pPr>
      <w:r>
        <w:rPr>
          <w:b/>
          <w:sz w:val="20"/>
        </w:rPr>
        <w:t xml:space="preserve">Relevancia: </w:t>
      </w:r>
      <w:r>
        <w:rPr>
          <w:sz w:val="20"/>
        </w:rPr>
        <w:t>Justifica el uso de VAR reducido; es la referencia obligatoria cuando se elige esta metodología. Con más de 15 000 citas en Google Scholar, constituye la base teórica indispensable del modelo aplicado en el presente trabajo.</w:t>
      </w:r>
    </w:p>
    <w:p>
      <w:pPr>
        <w:spacing w:after="160"/>
      </w:pPr>
      <w:r>
        <w:rPr>
          <w:color w:val="BBBBBB"/>
          <w:sz w:val="18"/>
        </w:rPr>
        <w:t>_____________________________________________________________________________________</w:t>
      </w:r>
    </w:p>
    <w:p>
      <w:pPr>
        <w:spacing w:before="200" w:after="40"/>
      </w:pPr>
      <w:r>
        <w:rPr>
          <w:b/>
          <w:color w:val="1F497D"/>
          <w:sz w:val="22"/>
        </w:rPr>
        <w:t>1.2  Stock &amp; Watson (2001) — VAR en macroeconomía aplicada</w:t>
      </w:r>
    </w:p>
    <w:p>
      <w:pPr>
        <w:spacing w:after="80"/>
        <w:ind w:left="720" w:hanging="720"/>
      </w:pPr>
      <w:r>
        <w:rPr>
          <w:sz w:val="20"/>
        </w:rPr>
        <w:t>Stock, J. H., &amp; Watson, M. W. (2001). Vector autoregressions. Journal of Economic Perspectives, 15(4), 101–115. https://doi.org/10.1257/jep.15.4.101</w:t>
      </w:r>
    </w:p>
    <w:p>
      <w:pPr>
        <w:spacing w:after="40"/>
      </w:pPr>
      <w:r>
        <w:rPr>
          <w:b/>
          <w:sz w:val="20"/>
        </w:rPr>
        <w:t xml:space="preserve">Tipo: </w:t>
      </w:r>
      <w:r>
        <w:rPr>
          <w:sz w:val="20"/>
        </w:rPr>
        <w:t>Artículo científico — Journal of Economic Perspectives (AEA, Scopus Q1)</w:t>
      </w:r>
    </w:p>
    <w:p>
      <w:pPr>
        <w:spacing w:after="40"/>
      </w:pPr>
      <w:r>
        <w:rPr>
          <w:b/>
          <w:sz w:val="20"/>
        </w:rPr>
        <w:t xml:space="preserve">Resumen: </w:t>
      </w:r>
      <w:r>
        <w:rPr>
          <w:sz w:val="20"/>
        </w:rPr>
        <w:t>Revisión didáctica y rigurosa de los modelos VAR: especificación, selección de rezagos, funciones impulso-respuesta, descomposición de varianza del error de pronóstico (FEVD) e identificación estructural.</w:t>
      </w:r>
    </w:p>
    <w:p>
      <w:pPr>
        <w:spacing w:after="40"/>
      </w:pPr>
      <w:r>
        <w:rPr>
          <w:b/>
          <w:sz w:val="20"/>
        </w:rPr>
        <w:t xml:space="preserve">Relevancia: </w:t>
      </w:r>
      <w:r>
        <w:rPr>
          <w:sz w:val="20"/>
        </w:rPr>
        <w:t>Explica directamente las herramientas usadas en el modelo: IRF, FEVD y causalidad de Granger. Justifica el horizonte de 24 meses para el análisis impulso-respuesta.</w:t>
      </w:r>
    </w:p>
    <w:p>
      <w:pPr>
        <w:spacing w:after="160"/>
      </w:pPr>
      <w:r>
        <w:rPr>
          <w:color w:val="BBBBBB"/>
          <w:sz w:val="18"/>
        </w:rPr>
        <w:t>_____________________________________________________________________________________</w:t>
      </w:r>
    </w:p>
    <w:p>
      <w:pPr>
        <w:spacing w:before="280" w:after="80"/>
      </w:pPr>
      <w:r>
        <w:rPr>
          <w:b/>
          <w:color w:val="2E74B5"/>
          <w:sz w:val="26"/>
        </w:rPr>
        <w:t>2. Identificación Estructural: Descomposición de Cholesky</w:t>
      </w:r>
    </w:p>
    <w:p>
      <w:pPr>
        <w:spacing w:after="120"/>
      </w:pPr>
      <w:r>
        <w:rPr>
          <w:sz w:val="20"/>
        </w:rPr>
        <w:t>La identificación de shocks estructurales en un VAR requiere imponer restricciones de corto plazo. La descomposición de Cholesky es el método más empleado: asume una ordenación causal recursiva en la que las variables más exógenas aparecen primero.</w:t>
      </w:r>
    </w:p>
    <w:p>
      <w:pPr>
        <w:spacing w:before="200" w:after="40"/>
      </w:pPr>
      <w:r>
        <w:rPr>
          <w:b/>
          <w:color w:val="1F497D"/>
          <w:sz w:val="22"/>
        </w:rPr>
        <w:t>2.1  Christiano, Eichenbaum &amp; Evans (1999) — Cholesky en política monetaria</w:t>
      </w:r>
    </w:p>
    <w:p>
      <w:pPr>
        <w:spacing w:after="80"/>
        <w:ind w:left="720" w:hanging="720"/>
      </w:pPr>
      <w:r>
        <w:rPr>
          <w:sz w:val="20"/>
        </w:rPr>
        <w:t>Christiano, L. J., Eichenbaum, M., &amp; Evans, C. L. (1999). Monetary policy shocks: What have we learned and to what end? In J. B. Taylor &amp; M. Woodford (Eds.), Handbook of Macroeconomics (Vol. 1A, pp. 65–148). Elsevier. https://doi.org/10.1016/S1574-0048(99)01005-8</w:t>
      </w:r>
    </w:p>
    <w:p>
      <w:pPr>
        <w:spacing w:after="40"/>
      </w:pPr>
      <w:r>
        <w:rPr>
          <w:b/>
          <w:sz w:val="20"/>
        </w:rPr>
        <w:t xml:space="preserve">Tipo: </w:t>
      </w:r>
      <w:r>
        <w:rPr>
          <w:sz w:val="20"/>
        </w:rPr>
        <w:t>Capítulo de libro — Handbook of Macroeconomics, Elsevier (ScienceDirect)</w:t>
      </w:r>
    </w:p>
    <w:p>
      <w:pPr>
        <w:spacing w:after="40"/>
      </w:pPr>
      <w:r>
        <w:rPr>
          <w:b/>
          <w:sz w:val="20"/>
        </w:rPr>
        <w:t xml:space="preserve">Resumen: </w:t>
      </w:r>
      <w:r>
        <w:rPr>
          <w:sz w:val="20"/>
        </w:rPr>
        <w:t>Estudio exhaustivo que evalúa los efectos de los shocks de política monetaria usando VAR con identificación Cholesky. Analiza cómo el instrumento de política (tasa de interés) afecta variables reales y nominales con una ordenación recursiva.</w:t>
      </w:r>
    </w:p>
    <w:p>
      <w:pPr>
        <w:spacing w:after="40"/>
      </w:pPr>
      <w:r>
        <w:rPr>
          <w:b/>
          <w:sz w:val="20"/>
        </w:rPr>
        <w:t xml:space="preserve">Relevancia: </w:t>
      </w:r>
      <w:r>
        <w:rPr>
          <w:sz w:val="20"/>
        </w:rPr>
        <w:t>Es la referencia metodológica más citada para justificar el ordenamiento de Cholesky en el contexto de política monetaria. Respalda directamente el ordenamiento tasa_ref → tc → tamn → inflacion utilizado en el modelo VAR de este trabajo.</w:t>
      </w:r>
    </w:p>
    <w:p>
      <w:pPr>
        <w:spacing w:after="160"/>
      </w:pPr>
      <w:r>
        <w:rPr>
          <w:color w:val="BBBBBB"/>
          <w:sz w:val="18"/>
        </w:rPr>
        <w:t>_____________________________________________________________________________________</w:t>
      </w:r>
    </w:p>
    <w:p>
      <w:pPr>
        <w:spacing w:before="200" w:after="40"/>
      </w:pPr>
      <w:r>
        <w:rPr>
          <w:b/>
          <w:color w:val="1F497D"/>
          <w:sz w:val="22"/>
        </w:rPr>
        <w:t>2.2  Christiano, Eichenbaum &amp; Evans (1996) — Efectos de shocks monetarios</w:t>
      </w:r>
    </w:p>
    <w:p>
      <w:pPr>
        <w:spacing w:after="80"/>
        <w:ind w:left="720" w:hanging="720"/>
      </w:pPr>
      <w:r>
        <w:rPr>
          <w:sz w:val="20"/>
        </w:rPr>
        <w:t>Christiano, L. J., Eichenbaum, M., &amp; Evans, C. L. (1996). The effects of monetary policy shocks: Evidence from the flow of funds. Review of Economics and Statistics, 78(1), 16–34. https://doi.org/10.2307/2109845</w:t>
      </w:r>
    </w:p>
    <w:p>
      <w:pPr>
        <w:spacing w:after="40"/>
      </w:pPr>
      <w:r>
        <w:rPr>
          <w:b/>
          <w:sz w:val="20"/>
        </w:rPr>
        <w:t xml:space="preserve">Tipo: </w:t>
      </w:r>
      <w:r>
        <w:rPr>
          <w:sz w:val="20"/>
        </w:rPr>
        <w:t>Artículo científico — Review of Economics and Statistics (Scopus Q1)</w:t>
      </w:r>
    </w:p>
    <w:p>
      <w:pPr>
        <w:spacing w:after="40"/>
      </w:pPr>
      <w:r>
        <w:rPr>
          <w:b/>
          <w:sz w:val="20"/>
        </w:rPr>
        <w:t xml:space="preserve">Resumen: </w:t>
      </w:r>
      <w:r>
        <w:rPr>
          <w:sz w:val="20"/>
        </w:rPr>
        <w:t>Identifica shocks de política monetaria usando restricciones de corto plazo en un VAR recursivo. Documenta que un endurecimiento de la política monetaria contrae el crédito bancario y reduce la actividad real.</w:t>
      </w:r>
    </w:p>
    <w:p>
      <w:pPr>
        <w:spacing w:after="40"/>
      </w:pPr>
      <w:r>
        <w:rPr>
          <w:b/>
          <w:sz w:val="20"/>
        </w:rPr>
        <w:t xml:space="preserve">Relevancia: </w:t>
      </w:r>
      <w:r>
        <w:rPr>
          <w:sz w:val="20"/>
        </w:rPr>
        <w:t>Justifica empíricamente el canal crediticio como mecanismo de transmisión y respalda la inclusión de variables bancarias (TAMN) en el VAR con ordenamiento de Cholesky.</w:t>
      </w:r>
    </w:p>
    <w:p>
      <w:pPr>
        <w:spacing w:after="160"/>
      </w:pPr>
      <w:r>
        <w:rPr>
          <w:color w:val="BBBBBB"/>
          <w:sz w:val="18"/>
        </w:rPr>
        <w:t>_____________________________________________________________________________________</w:t>
      </w:r>
    </w:p>
    <w:p>
      <w:pPr>
        <w:spacing w:before="280" w:after="80"/>
      </w:pPr>
      <w:r>
        <w:rPr>
          <w:b/>
          <w:color w:val="2E74B5"/>
          <w:sz w:val="26"/>
        </w:rPr>
        <w:t>3. Teoría del Canal Crediticio de la Política Monetaria</w:t>
      </w:r>
    </w:p>
    <w:p>
      <w:pPr>
        <w:spacing w:after="120"/>
      </w:pPr>
      <w:r>
        <w:rPr>
          <w:sz w:val="20"/>
        </w:rPr>
        <w:t>El canal crediticio es uno de los mecanismos de transmisión de política monetaria más relevantes en economías con mercados financieros poco profundos. Las siguientes referencias justifican la inclusión de la TAMN como variable clave del modelo.</w:t>
      </w:r>
    </w:p>
    <w:p>
      <w:pPr>
        <w:spacing w:before="200" w:after="40"/>
      </w:pPr>
      <w:r>
        <w:rPr>
          <w:b/>
          <w:color w:val="1F497D"/>
          <w:sz w:val="22"/>
        </w:rPr>
        <w:t>3.1  Bernanke &amp; Blinder (1992) — El canal crediticio bancario</w:t>
      </w:r>
    </w:p>
    <w:p>
      <w:pPr>
        <w:spacing w:after="80"/>
        <w:ind w:left="720" w:hanging="720"/>
      </w:pPr>
      <w:r>
        <w:rPr>
          <w:sz w:val="20"/>
        </w:rPr>
        <w:t>Bernanke, B. S., &amp; Blinder, A. S. (1992). The federal funds rate and the channels of monetary transmission. American Economic Review, 82(4), 901–921. https://www.jstor.org/stable/2117350</w:t>
      </w:r>
    </w:p>
    <w:p>
      <w:pPr>
        <w:spacing w:after="40"/>
      </w:pPr>
      <w:r>
        <w:rPr>
          <w:b/>
          <w:sz w:val="20"/>
        </w:rPr>
        <w:t xml:space="preserve">Tipo: </w:t>
      </w:r>
      <w:r>
        <w:rPr>
          <w:sz w:val="20"/>
        </w:rPr>
        <w:t>Artículo científico — American Economic Review (AEA, Scopus Q1)</w:t>
      </w:r>
    </w:p>
    <w:p>
      <w:pPr>
        <w:spacing w:after="40"/>
      </w:pPr>
      <w:r>
        <w:rPr>
          <w:b/>
          <w:sz w:val="20"/>
        </w:rPr>
        <w:t xml:space="preserve">Resumen: </w:t>
      </w:r>
      <w:r>
        <w:rPr>
          <w:sz w:val="20"/>
        </w:rPr>
        <w:t>Demuestra empíricamente que la tasa de interés de política monetaria afecta directamente el volumen y el costo del crédito bancario, constituyendo el canal crediticio como mecanismo de transmisión efectivo.</w:t>
      </w:r>
    </w:p>
    <w:p>
      <w:pPr>
        <w:spacing w:after="40"/>
      </w:pPr>
      <w:r>
        <w:rPr>
          <w:b/>
          <w:sz w:val="20"/>
        </w:rPr>
        <w:t xml:space="preserve">Relevancia: </w:t>
      </w:r>
      <w:r>
        <w:rPr>
          <w:sz w:val="20"/>
        </w:rPr>
        <w:t>Fundamento teórico directo de la relación tasa_ref → TAMN modelada en el VAR. Justifica que la TAMN es el canal a través del cual la política monetaria impacta la economía real.</w:t>
      </w:r>
    </w:p>
    <w:p>
      <w:pPr>
        <w:spacing w:after="160"/>
      </w:pPr>
      <w:r>
        <w:rPr>
          <w:color w:val="BBBBBB"/>
          <w:sz w:val="18"/>
        </w:rPr>
        <w:t>_____________________________________________________________________________________</w:t>
      </w:r>
    </w:p>
    <w:p>
      <w:pPr>
        <w:spacing w:before="200" w:after="40"/>
      </w:pPr>
      <w:r>
        <w:rPr>
          <w:b/>
          <w:color w:val="1F497D"/>
          <w:sz w:val="22"/>
        </w:rPr>
        <w:t>3.2  Bernanke &amp; Gertler (1995) — Mecanismos del canal crediticio</w:t>
      </w:r>
    </w:p>
    <w:p>
      <w:pPr>
        <w:spacing w:after="80"/>
        <w:ind w:left="720" w:hanging="720"/>
      </w:pPr>
      <w:r>
        <w:rPr>
          <w:sz w:val="20"/>
        </w:rPr>
        <w:t>Bernanke, B. S., &amp; Gertler, M. (1995). Inside the black box: The credit channel of monetary policy transmission. Journal of Economic Perspectives, 9(4), 27–48. https://doi.org/10.1257/jep.9.4.27</w:t>
      </w:r>
    </w:p>
    <w:p>
      <w:pPr>
        <w:spacing w:after="40"/>
      </w:pPr>
      <w:r>
        <w:rPr>
          <w:b/>
          <w:sz w:val="20"/>
        </w:rPr>
        <w:t xml:space="preserve">Tipo: </w:t>
      </w:r>
      <w:r>
        <w:rPr>
          <w:sz w:val="20"/>
        </w:rPr>
        <w:t>Artículo científico — Journal of Economic Perspectives (AEA, Scopus Q1)</w:t>
      </w:r>
    </w:p>
    <w:p>
      <w:pPr>
        <w:spacing w:after="40"/>
      </w:pPr>
      <w:r>
        <w:rPr>
          <w:b/>
          <w:sz w:val="20"/>
        </w:rPr>
        <w:t xml:space="preserve">Resumen: </w:t>
      </w:r>
      <w:r>
        <w:rPr>
          <w:sz w:val="20"/>
        </w:rPr>
        <w:t>Descompone el canal crediticio en: (a) canal del crédito bancario (bank lending channel) y (b) canal del balance general (balance sheet channel). Explica cómo las imperfecciones financieras amplifican los efectos de la política monetaria.</w:t>
      </w:r>
    </w:p>
    <w:p>
      <w:pPr>
        <w:spacing w:after="40"/>
      </w:pPr>
      <w:r>
        <w:rPr>
          <w:b/>
          <w:sz w:val="20"/>
        </w:rPr>
        <w:t xml:space="preserve">Relevancia: </w:t>
      </w:r>
      <w:r>
        <w:rPr>
          <w:sz w:val="20"/>
        </w:rPr>
        <w:t>Marco teórico central del trabajo: justifica por qué la TAMN responde a la tasa de referencia del BCRP y por qué la relación puede variar durante crisis financieras (GFC 2008-09, COVID 2020-21).</w:t>
      </w:r>
    </w:p>
    <w:p>
      <w:pPr>
        <w:spacing w:after="160"/>
      </w:pPr>
      <w:r>
        <w:rPr>
          <w:color w:val="BBBBBB"/>
          <w:sz w:val="18"/>
        </w:rPr>
        <w:t>_____________________________________________________________________________________</w:t>
      </w:r>
    </w:p>
    <w:p>
      <w:pPr>
        <w:spacing w:before="200" w:after="40"/>
      </w:pPr>
      <w:r>
        <w:rPr>
          <w:b/>
          <w:color w:val="1F497D"/>
          <w:sz w:val="22"/>
        </w:rPr>
        <w:t>3.3  Mishkin (1995) — Canales de transmisión: revisión general</w:t>
      </w:r>
    </w:p>
    <w:p>
      <w:pPr>
        <w:spacing w:after="80"/>
        <w:ind w:left="720" w:hanging="720"/>
      </w:pPr>
      <w:r>
        <w:rPr>
          <w:sz w:val="20"/>
        </w:rPr>
        <w:t>Mishkin, F. S. (1995). Symposium on the monetary transmission mechanism. Journal of Economic Perspectives, 9(4), 3–10. https://doi.org/10.1257/jep.9.4.3</w:t>
      </w:r>
    </w:p>
    <w:p>
      <w:pPr>
        <w:spacing w:after="40"/>
      </w:pPr>
      <w:r>
        <w:rPr>
          <w:b/>
          <w:sz w:val="20"/>
        </w:rPr>
        <w:t xml:space="preserve">Tipo: </w:t>
      </w:r>
      <w:r>
        <w:rPr>
          <w:sz w:val="20"/>
        </w:rPr>
        <w:t>Artículo científico — Journal of Economic Perspectives (AEA, Scopus Q1)</w:t>
      </w:r>
    </w:p>
    <w:p>
      <w:pPr>
        <w:spacing w:after="40"/>
      </w:pPr>
      <w:r>
        <w:rPr>
          <w:b/>
          <w:sz w:val="20"/>
        </w:rPr>
        <w:t xml:space="preserve">Resumen: </w:t>
      </w:r>
      <w:r>
        <w:rPr>
          <w:sz w:val="20"/>
        </w:rPr>
        <w:t>Artículo introductorio del simposio dedicado a los mecanismos de transmisión monetaria. Presenta y compara cinco canales: tasa de interés, tipo de cambio, precio de activos, crédito bancario y balance general.</w:t>
      </w:r>
    </w:p>
    <w:p>
      <w:pPr>
        <w:spacing w:after="40"/>
      </w:pPr>
      <w:r>
        <w:rPr>
          <w:b/>
          <w:sz w:val="20"/>
        </w:rPr>
        <w:t xml:space="preserve">Relevancia: </w:t>
      </w:r>
      <w:r>
        <w:rPr>
          <w:sz w:val="20"/>
        </w:rPr>
        <w:t>Justifica la inclusión conjunta de tasa_ref, tc, tamn e inflacion en el VAR como representación simultánea de múltiples canales de transmisión monetaria.</w:t>
      </w:r>
    </w:p>
    <w:p>
      <w:pPr>
        <w:spacing w:after="160"/>
      </w:pPr>
      <w:r>
        <w:rPr>
          <w:color w:val="BBBBBB"/>
          <w:sz w:val="18"/>
        </w:rPr>
        <w:t>_____________________________________________________________________________________</w:t>
      </w:r>
    </w:p>
    <w:p>
      <w:pPr>
        <w:spacing w:before="280" w:after="80"/>
      </w:pPr>
      <w:r>
        <w:rPr>
          <w:b/>
          <w:color w:val="2E74B5"/>
          <w:sz w:val="26"/>
        </w:rPr>
        <w:t>4. Libros de Texto Clásicos de Econometría de Series de Tiempo</w:t>
      </w:r>
    </w:p>
    <w:p>
      <w:pPr>
        <w:spacing w:after="120"/>
      </w:pPr>
      <w:r>
        <w:rPr>
          <w:sz w:val="20"/>
        </w:rPr>
        <w:t>Los modelos VAR con identificación de Cholesky se describen con detalle en los siguientes textos de referencia estándar, ampliamente usados en cursos de posgrado y citados en la literatura empírica.</w:t>
      </w:r>
    </w:p>
    <w:p>
      <w:pPr>
        <w:spacing w:before="200" w:after="40"/>
      </w:pPr>
      <w:r>
        <w:rPr>
          <w:b/>
          <w:color w:val="1F497D"/>
          <w:sz w:val="22"/>
        </w:rPr>
        <w:t>4.1  Lütkepohl (2005) — Referencia técnica del VAR</w:t>
      </w:r>
    </w:p>
    <w:p>
      <w:pPr>
        <w:spacing w:after="80"/>
        <w:ind w:left="720" w:hanging="720"/>
      </w:pPr>
      <w:r>
        <w:rPr>
          <w:sz w:val="20"/>
        </w:rPr>
        <w:t>Lütkepohl, H. (2005). New introduction to multiple time series analysis. Springer. https://doi.org/10.1007/978-3-540-27752-1</w:t>
      </w:r>
    </w:p>
    <w:p>
      <w:pPr>
        <w:spacing w:after="40"/>
      </w:pPr>
      <w:r>
        <w:rPr>
          <w:b/>
          <w:sz w:val="20"/>
        </w:rPr>
        <w:t xml:space="preserve">Tipo: </w:t>
      </w:r>
      <w:r>
        <w:rPr>
          <w:sz w:val="20"/>
        </w:rPr>
        <w:t>Libro — Springer (editorial académica de alta reputación)</w:t>
      </w:r>
    </w:p>
    <w:p>
      <w:pPr>
        <w:spacing w:after="40"/>
      </w:pPr>
      <w:r>
        <w:rPr>
          <w:b/>
          <w:sz w:val="20"/>
        </w:rPr>
        <w:t xml:space="preserve">Resumen: </w:t>
      </w:r>
      <w:r>
        <w:rPr>
          <w:sz w:val="20"/>
        </w:rPr>
        <w:t>Tratamiento matemático completo de los modelos VAR: especificación, estimación por MCO, criterios de información para selección de rezagos (AIC, HQIC, SBIC), funciones impulso-respuesta, FEVD y la descomposición de Cholesky como herramienta de identificación estructural (capítulos 2, 9 y 11).</w:t>
      </w:r>
    </w:p>
    <w:p>
      <w:pPr>
        <w:spacing w:after="40"/>
      </w:pPr>
      <w:r>
        <w:rPr>
          <w:b/>
          <w:sz w:val="20"/>
        </w:rPr>
        <w:t xml:space="preserve">Relevancia: </w:t>
      </w:r>
      <w:r>
        <w:rPr>
          <w:sz w:val="20"/>
        </w:rPr>
        <w:t>Fuente técnica principal para justificar cada elemento del modelo VAR: el ordenamiento de Cholesky, la selección de rezagos VAR(2), las IRF y la FEVD. Capítulo 9 trata explícitamente la identificación estructural vía descomposición triangular.</w:t>
      </w:r>
    </w:p>
    <w:p>
      <w:pPr>
        <w:spacing w:after="160"/>
      </w:pPr>
      <w:r>
        <w:rPr>
          <w:color w:val="BBBBBB"/>
          <w:sz w:val="18"/>
        </w:rPr>
        <w:t>_____________________________________________________________________________________</w:t>
      </w:r>
    </w:p>
    <w:p>
      <w:pPr>
        <w:spacing w:before="200" w:after="40"/>
      </w:pPr>
      <w:r>
        <w:rPr>
          <w:b/>
          <w:color w:val="1F497D"/>
          <w:sz w:val="22"/>
        </w:rPr>
        <w:t>4.2  Hamilton (1994) — Time Series Analysis</w:t>
      </w:r>
    </w:p>
    <w:p>
      <w:pPr>
        <w:spacing w:after="80"/>
        <w:ind w:left="720" w:hanging="720"/>
      </w:pPr>
      <w:r>
        <w:rPr>
          <w:sz w:val="20"/>
        </w:rPr>
        <w:t>Hamilton, J. D. (1994). Time series analysis. Princeton University Press.</w:t>
      </w:r>
    </w:p>
    <w:p>
      <w:pPr>
        <w:spacing w:after="40"/>
      </w:pPr>
      <w:r>
        <w:rPr>
          <w:b/>
          <w:sz w:val="20"/>
        </w:rPr>
        <w:t xml:space="preserve">Tipo: </w:t>
      </w:r>
      <w:r>
        <w:rPr>
          <w:sz w:val="20"/>
        </w:rPr>
        <w:t>Libro — Princeton University Press</w:t>
      </w:r>
    </w:p>
    <w:p>
      <w:pPr>
        <w:spacing w:after="40"/>
      </w:pPr>
      <w:r>
        <w:rPr>
          <w:b/>
          <w:sz w:val="20"/>
        </w:rPr>
        <w:t xml:space="preserve">Resumen: </w:t>
      </w:r>
      <w:r>
        <w:rPr>
          <w:sz w:val="20"/>
        </w:rPr>
        <w:t>Manual de referencia para el análisis de series de tiempo en economía. Cubre raíces unitarias, cointegración, modelos VAR (capítulo 11) y la identificación de shocks estructurales usando factorización de Cholesky.</w:t>
      </w:r>
    </w:p>
    <w:p>
      <w:pPr>
        <w:spacing w:after="40"/>
      </w:pPr>
      <w:r>
        <w:rPr>
          <w:b/>
          <w:sz w:val="20"/>
        </w:rPr>
        <w:t xml:space="preserve">Relevancia: </w:t>
      </w:r>
      <w:r>
        <w:rPr>
          <w:sz w:val="20"/>
        </w:rPr>
        <w:t>Justifica las pruebas de raíz unitaria (ADF, PP) y la prueba de Johansen realizadas antes de la estimación del VAR, así como el uso de VAR en niveles cuando las variables son I(1) (argumento de Sims-Stock-Watson).</w:t>
      </w:r>
    </w:p>
    <w:p>
      <w:pPr>
        <w:spacing w:after="160"/>
      </w:pPr>
      <w:r>
        <w:rPr>
          <w:color w:val="BBBBBB"/>
          <w:sz w:val="18"/>
        </w:rPr>
        <w:t>_____________________________________________________________________________________</w:t>
      </w:r>
    </w:p>
    <w:p>
      <w:pPr>
        <w:spacing w:before="200" w:after="40"/>
      </w:pPr>
      <w:r>
        <w:rPr>
          <w:b/>
          <w:color w:val="1F497D"/>
          <w:sz w:val="22"/>
        </w:rPr>
        <w:t>4.3  Enders (2015) — Applied Econometric Time Series</w:t>
      </w:r>
    </w:p>
    <w:p>
      <w:pPr>
        <w:spacing w:after="80"/>
        <w:ind w:left="720" w:hanging="720"/>
      </w:pPr>
      <w:r>
        <w:rPr>
          <w:sz w:val="20"/>
        </w:rPr>
        <w:t>Enders, W. (2015). Applied econometric time series (4th ed.). Wiley.</w:t>
      </w:r>
    </w:p>
    <w:p>
      <w:pPr>
        <w:spacing w:after="40"/>
      </w:pPr>
      <w:r>
        <w:rPr>
          <w:b/>
          <w:sz w:val="20"/>
        </w:rPr>
        <w:t xml:space="preserve">Tipo: </w:t>
      </w:r>
      <w:r>
        <w:rPr>
          <w:sz w:val="20"/>
        </w:rPr>
        <w:t>Libro — Wiley (editorial académica internacional)</w:t>
      </w:r>
    </w:p>
    <w:p>
      <w:pPr>
        <w:spacing w:after="40"/>
      </w:pPr>
      <w:r>
        <w:rPr>
          <w:b/>
          <w:sz w:val="20"/>
        </w:rPr>
        <w:t xml:space="preserve">Resumen: </w:t>
      </w:r>
      <w:r>
        <w:rPr>
          <w:sz w:val="20"/>
        </w:rPr>
        <w:t>Texto aplicado de amplia adopción en cursos de econometría de series de tiempo. El capítulo 5 desarrolla los modelos VAR, la causalidad de Granger, las funciones impulso-respuesta y la descomposición de varianza, con énfasis en aplicaciones macroeconómicas.</w:t>
      </w:r>
    </w:p>
    <w:p>
      <w:pPr>
        <w:spacing w:after="40"/>
      </w:pPr>
      <w:r>
        <w:rPr>
          <w:b/>
          <w:sz w:val="20"/>
        </w:rPr>
        <w:t xml:space="preserve">Relevancia: </w:t>
      </w:r>
      <w:r>
        <w:rPr>
          <w:sz w:val="20"/>
        </w:rPr>
        <w:t>Justifica la prueba de causalidad de Granger (vargranger en Stata), la interpretación de las IRF y la FEVD, y la lógica económica detrás de la ordenación de Cholesky.</w:t>
      </w:r>
    </w:p>
    <w:p>
      <w:pPr>
        <w:spacing w:after="160"/>
      </w:pPr>
      <w:r>
        <w:rPr>
          <w:color w:val="BBBBBB"/>
          <w:sz w:val="18"/>
        </w:rPr>
        <w:t>_____________________________________________________________________________________</w:t>
      </w:r>
    </w:p>
    <w:p>
      <w:pPr>
        <w:spacing w:before="280" w:after="80"/>
      </w:pPr>
      <w:r>
        <w:rPr>
          <w:b/>
          <w:color w:val="2E74B5"/>
          <w:sz w:val="26"/>
        </w:rPr>
        <w:t>5. Tabla Resumen de Referencias</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2E74B5" w:color="auto" w:val="clear"/>
          </w:tcPr>
          <w:p>
            <w:r>
              <w:rPr>
                <w:b/>
                <w:color w:val="FFFFFF"/>
                <w:sz w:val="18"/>
              </w:rPr>
              <w:t>Referencia</w:t>
            </w:r>
          </w:p>
        </w:tc>
        <w:tc>
          <w:tcPr>
            <w:tcW w:type="dxa" w:w="2196"/>
            <w:shd w:fill="2E74B5" w:color="auto" w:val="clear"/>
          </w:tcPr>
          <w:p>
            <w:r>
              <w:rPr>
                <w:b/>
                <w:color w:val="FFFFFF"/>
                <w:sz w:val="18"/>
              </w:rPr>
              <w:t>Tipo</w:t>
            </w:r>
          </w:p>
        </w:tc>
        <w:tc>
          <w:tcPr>
            <w:tcW w:type="dxa" w:w="2196"/>
            <w:shd w:fill="2E74B5" w:color="auto" w:val="clear"/>
          </w:tcPr>
          <w:p>
            <w:r>
              <w:rPr>
                <w:b/>
                <w:color w:val="FFFFFF"/>
                <w:sz w:val="18"/>
              </w:rPr>
              <w:t>Indexación</w:t>
            </w:r>
          </w:p>
        </w:tc>
        <w:tc>
          <w:tcPr>
            <w:tcW w:type="dxa" w:w="2196"/>
            <w:shd w:fill="2E74B5" w:color="auto" w:val="clear"/>
          </w:tcPr>
          <w:p>
            <w:r>
              <w:rPr>
                <w:b/>
                <w:color w:val="FFFFFF"/>
                <w:sz w:val="18"/>
              </w:rPr>
              <w:t>Justifica</w:t>
            </w:r>
          </w:p>
        </w:tc>
      </w:tr>
      <w:tr>
        <w:tc>
          <w:tcPr>
            <w:tcW w:type="dxa" w:w="2196"/>
          </w:tcPr>
          <w:p>
            <w:r>
              <w:rPr>
                <w:sz w:val="18"/>
              </w:rPr>
              <w:t>Sims (1980)</w:t>
            </w:r>
          </w:p>
        </w:tc>
        <w:tc>
          <w:tcPr>
            <w:tcW w:type="dxa" w:w="2196"/>
          </w:tcPr>
          <w:p>
            <w:r>
              <w:rPr>
                <w:sz w:val="18"/>
              </w:rPr>
              <w:t>Artículo</w:t>
            </w:r>
          </w:p>
        </w:tc>
        <w:tc>
          <w:tcPr>
            <w:tcW w:type="dxa" w:w="2196"/>
          </w:tcPr>
          <w:p>
            <w:r>
              <w:rPr>
                <w:sz w:val="18"/>
              </w:rPr>
              <w:t>Econometrica / Scopus Q1</w:t>
            </w:r>
          </w:p>
        </w:tc>
        <w:tc>
          <w:tcPr>
            <w:tcW w:type="dxa" w:w="2196"/>
          </w:tcPr>
          <w:p>
            <w:r>
              <w:rPr>
                <w:sz w:val="18"/>
              </w:rPr>
              <w:t>Metodología VAR</w:t>
            </w:r>
          </w:p>
        </w:tc>
      </w:tr>
      <w:tr>
        <w:tc>
          <w:tcPr>
            <w:tcW w:type="dxa" w:w="2196"/>
          </w:tcPr>
          <w:p>
            <w:r>
              <w:rPr>
                <w:sz w:val="18"/>
              </w:rPr>
              <w:t>Stock &amp; Watson (2001)</w:t>
            </w:r>
          </w:p>
        </w:tc>
        <w:tc>
          <w:tcPr>
            <w:tcW w:type="dxa" w:w="2196"/>
          </w:tcPr>
          <w:p>
            <w:r>
              <w:rPr>
                <w:sz w:val="18"/>
              </w:rPr>
              <w:t>Artículo</w:t>
            </w:r>
          </w:p>
        </w:tc>
        <w:tc>
          <w:tcPr>
            <w:tcW w:type="dxa" w:w="2196"/>
          </w:tcPr>
          <w:p>
            <w:r>
              <w:rPr>
                <w:sz w:val="18"/>
              </w:rPr>
              <w:t>JEP / Scopus Q1</w:t>
            </w:r>
          </w:p>
        </w:tc>
        <w:tc>
          <w:tcPr>
            <w:tcW w:type="dxa" w:w="2196"/>
          </w:tcPr>
          <w:p>
            <w:r>
              <w:rPr>
                <w:sz w:val="18"/>
              </w:rPr>
              <w:t>IRF, FEVD, Granger</w:t>
            </w:r>
          </w:p>
        </w:tc>
      </w:tr>
      <w:tr>
        <w:tc>
          <w:tcPr>
            <w:tcW w:type="dxa" w:w="2196"/>
          </w:tcPr>
          <w:p>
            <w:r>
              <w:rPr>
                <w:sz w:val="18"/>
              </w:rPr>
              <w:t>Christiano et al. (1999)</w:t>
            </w:r>
          </w:p>
        </w:tc>
        <w:tc>
          <w:tcPr>
            <w:tcW w:type="dxa" w:w="2196"/>
          </w:tcPr>
          <w:p>
            <w:r>
              <w:rPr>
                <w:sz w:val="18"/>
              </w:rPr>
              <w:t>Cap. libro</w:t>
            </w:r>
          </w:p>
        </w:tc>
        <w:tc>
          <w:tcPr>
            <w:tcW w:type="dxa" w:w="2196"/>
          </w:tcPr>
          <w:p>
            <w:r>
              <w:rPr>
                <w:sz w:val="18"/>
              </w:rPr>
              <w:t>Handbook / ScienceDirect</w:t>
            </w:r>
          </w:p>
        </w:tc>
        <w:tc>
          <w:tcPr>
            <w:tcW w:type="dxa" w:w="2196"/>
          </w:tcPr>
          <w:p>
            <w:r>
              <w:rPr>
                <w:sz w:val="18"/>
              </w:rPr>
              <w:t>Cholesky en política monetaria</w:t>
            </w:r>
          </w:p>
        </w:tc>
      </w:tr>
      <w:tr>
        <w:tc>
          <w:tcPr>
            <w:tcW w:type="dxa" w:w="2196"/>
          </w:tcPr>
          <w:p>
            <w:r>
              <w:rPr>
                <w:sz w:val="18"/>
              </w:rPr>
              <w:t>Christiano et al. (1996)</w:t>
            </w:r>
          </w:p>
        </w:tc>
        <w:tc>
          <w:tcPr>
            <w:tcW w:type="dxa" w:w="2196"/>
          </w:tcPr>
          <w:p>
            <w:r>
              <w:rPr>
                <w:sz w:val="18"/>
              </w:rPr>
              <w:t>Artículo</w:t>
            </w:r>
          </w:p>
        </w:tc>
        <w:tc>
          <w:tcPr>
            <w:tcW w:type="dxa" w:w="2196"/>
          </w:tcPr>
          <w:p>
            <w:r>
              <w:rPr>
                <w:sz w:val="18"/>
              </w:rPr>
              <w:t>REStat / Scopus Q1</w:t>
            </w:r>
          </w:p>
        </w:tc>
        <w:tc>
          <w:tcPr>
            <w:tcW w:type="dxa" w:w="2196"/>
          </w:tcPr>
          <w:p>
            <w:r>
              <w:rPr>
                <w:sz w:val="18"/>
              </w:rPr>
              <w:t>Canal crediticio + Cholesky</w:t>
            </w:r>
          </w:p>
        </w:tc>
      </w:tr>
      <w:tr>
        <w:tc>
          <w:tcPr>
            <w:tcW w:type="dxa" w:w="2196"/>
          </w:tcPr>
          <w:p>
            <w:r>
              <w:rPr>
                <w:sz w:val="18"/>
              </w:rPr>
              <w:t>Bernanke &amp; Blinder (1992)</w:t>
            </w:r>
          </w:p>
        </w:tc>
        <w:tc>
          <w:tcPr>
            <w:tcW w:type="dxa" w:w="2196"/>
          </w:tcPr>
          <w:p>
            <w:r>
              <w:rPr>
                <w:sz w:val="18"/>
              </w:rPr>
              <w:t>Artículo</w:t>
            </w:r>
          </w:p>
        </w:tc>
        <w:tc>
          <w:tcPr>
            <w:tcW w:type="dxa" w:w="2196"/>
          </w:tcPr>
          <w:p>
            <w:r>
              <w:rPr>
                <w:sz w:val="18"/>
              </w:rPr>
              <w:t>AER / Scopus Q1</w:t>
            </w:r>
          </w:p>
        </w:tc>
        <w:tc>
          <w:tcPr>
            <w:tcW w:type="dxa" w:w="2196"/>
          </w:tcPr>
          <w:p>
            <w:r>
              <w:rPr>
                <w:sz w:val="18"/>
              </w:rPr>
              <w:t>Canal crediticio bancario</w:t>
            </w:r>
          </w:p>
        </w:tc>
      </w:tr>
      <w:tr>
        <w:tc>
          <w:tcPr>
            <w:tcW w:type="dxa" w:w="2196"/>
          </w:tcPr>
          <w:p>
            <w:r>
              <w:rPr>
                <w:sz w:val="18"/>
              </w:rPr>
              <w:t>Bernanke &amp; Gertler (1995)</w:t>
            </w:r>
          </w:p>
        </w:tc>
        <w:tc>
          <w:tcPr>
            <w:tcW w:type="dxa" w:w="2196"/>
          </w:tcPr>
          <w:p>
            <w:r>
              <w:rPr>
                <w:sz w:val="18"/>
              </w:rPr>
              <w:t>Artículo</w:t>
            </w:r>
          </w:p>
        </w:tc>
        <w:tc>
          <w:tcPr>
            <w:tcW w:type="dxa" w:w="2196"/>
          </w:tcPr>
          <w:p>
            <w:r>
              <w:rPr>
                <w:sz w:val="18"/>
              </w:rPr>
              <w:t>JEP / Scopus Q1</w:t>
            </w:r>
          </w:p>
        </w:tc>
        <w:tc>
          <w:tcPr>
            <w:tcW w:type="dxa" w:w="2196"/>
          </w:tcPr>
          <w:p>
            <w:r>
              <w:rPr>
                <w:sz w:val="18"/>
              </w:rPr>
              <w:t>Mecanismo canal crediticio</w:t>
            </w:r>
          </w:p>
        </w:tc>
      </w:tr>
      <w:tr>
        <w:tc>
          <w:tcPr>
            <w:tcW w:type="dxa" w:w="2196"/>
          </w:tcPr>
          <w:p>
            <w:r>
              <w:rPr>
                <w:sz w:val="18"/>
              </w:rPr>
              <w:t>Mishkin (1995)</w:t>
            </w:r>
          </w:p>
        </w:tc>
        <w:tc>
          <w:tcPr>
            <w:tcW w:type="dxa" w:w="2196"/>
          </w:tcPr>
          <w:p>
            <w:r>
              <w:rPr>
                <w:sz w:val="18"/>
              </w:rPr>
              <w:t>Artículo</w:t>
            </w:r>
          </w:p>
        </w:tc>
        <w:tc>
          <w:tcPr>
            <w:tcW w:type="dxa" w:w="2196"/>
          </w:tcPr>
          <w:p>
            <w:r>
              <w:rPr>
                <w:sz w:val="18"/>
              </w:rPr>
              <w:t>JEP / Scopus Q1</w:t>
            </w:r>
          </w:p>
        </w:tc>
        <w:tc>
          <w:tcPr>
            <w:tcW w:type="dxa" w:w="2196"/>
          </w:tcPr>
          <w:p>
            <w:r>
              <w:rPr>
                <w:sz w:val="18"/>
              </w:rPr>
              <w:t>Múltiples canales transmisión</w:t>
            </w:r>
          </w:p>
        </w:tc>
      </w:tr>
      <w:tr>
        <w:tc>
          <w:tcPr>
            <w:tcW w:type="dxa" w:w="2196"/>
          </w:tcPr>
          <w:p>
            <w:r>
              <w:rPr>
                <w:sz w:val="18"/>
              </w:rPr>
              <w:t>Lütkepohl (2005)</w:t>
            </w:r>
          </w:p>
        </w:tc>
        <w:tc>
          <w:tcPr>
            <w:tcW w:type="dxa" w:w="2196"/>
          </w:tcPr>
          <w:p>
            <w:r>
              <w:rPr>
                <w:sz w:val="18"/>
              </w:rPr>
              <w:t>Libro</w:t>
            </w:r>
          </w:p>
        </w:tc>
        <w:tc>
          <w:tcPr>
            <w:tcW w:type="dxa" w:w="2196"/>
          </w:tcPr>
          <w:p>
            <w:r>
              <w:rPr>
                <w:sz w:val="18"/>
              </w:rPr>
              <w:t>Springer</w:t>
            </w:r>
          </w:p>
        </w:tc>
        <w:tc>
          <w:tcPr>
            <w:tcW w:type="dxa" w:w="2196"/>
          </w:tcPr>
          <w:p>
            <w:r>
              <w:rPr>
                <w:sz w:val="18"/>
              </w:rPr>
              <w:t>Teoría VAR y Cholesky</w:t>
            </w:r>
          </w:p>
        </w:tc>
      </w:tr>
      <w:tr>
        <w:tc>
          <w:tcPr>
            <w:tcW w:type="dxa" w:w="2196"/>
          </w:tcPr>
          <w:p>
            <w:r>
              <w:rPr>
                <w:sz w:val="18"/>
              </w:rPr>
              <w:t>Hamilton (1994)</w:t>
            </w:r>
          </w:p>
        </w:tc>
        <w:tc>
          <w:tcPr>
            <w:tcW w:type="dxa" w:w="2196"/>
          </w:tcPr>
          <w:p>
            <w:r>
              <w:rPr>
                <w:sz w:val="18"/>
              </w:rPr>
              <w:t>Libro</w:t>
            </w:r>
          </w:p>
        </w:tc>
        <w:tc>
          <w:tcPr>
            <w:tcW w:type="dxa" w:w="2196"/>
          </w:tcPr>
          <w:p>
            <w:r>
              <w:rPr>
                <w:sz w:val="18"/>
              </w:rPr>
              <w:t>Princeton U. Press</w:t>
            </w:r>
          </w:p>
        </w:tc>
        <w:tc>
          <w:tcPr>
            <w:tcW w:type="dxa" w:w="2196"/>
          </w:tcPr>
          <w:p>
            <w:r>
              <w:rPr>
                <w:sz w:val="18"/>
              </w:rPr>
              <w:t>Series de tiempo y VAR</w:t>
            </w:r>
          </w:p>
        </w:tc>
      </w:tr>
      <w:tr>
        <w:tc>
          <w:tcPr>
            <w:tcW w:type="dxa" w:w="2196"/>
          </w:tcPr>
          <w:p>
            <w:r>
              <w:rPr>
                <w:sz w:val="18"/>
              </w:rPr>
              <w:t>Enders (2015)</w:t>
            </w:r>
          </w:p>
        </w:tc>
        <w:tc>
          <w:tcPr>
            <w:tcW w:type="dxa" w:w="2196"/>
          </w:tcPr>
          <w:p>
            <w:r>
              <w:rPr>
                <w:sz w:val="18"/>
              </w:rPr>
              <w:t>Libro</w:t>
            </w:r>
          </w:p>
        </w:tc>
        <w:tc>
          <w:tcPr>
            <w:tcW w:type="dxa" w:w="2196"/>
          </w:tcPr>
          <w:p>
            <w:r>
              <w:rPr>
                <w:sz w:val="18"/>
              </w:rPr>
              <w:t>Wiley</w:t>
            </w:r>
          </w:p>
        </w:tc>
        <w:tc>
          <w:tcPr>
            <w:tcW w:type="dxa" w:w="2196"/>
          </w:tcPr>
          <w:p>
            <w:r>
              <w:rPr>
                <w:sz w:val="18"/>
              </w:rPr>
              <w:t>VAR aplicado, IRF, FEVD</w:t>
            </w:r>
          </w:p>
        </w:tc>
      </w:tr>
    </w:tbl>
    <w:p/>
    <w:p>
      <w:r>
        <w:rPr>
          <w:i/>
          <w:color w:val="606060"/>
          <w:sz w:val="18"/>
        </w:rPr>
        <w:t>Nota: Todas las referencias han sido verificadas en sus fuentes originales. Los artículos de Econometrica, AER, JEP y REStat están indexados en Scopus y disponibles en ScienceDirect o JSTOR. Los capítulos del Handbook of Macroeconomics están disponibles en ScienceDirect (Elsevier). Los libros de Springer, Princeton University Press y Wiley son editoriales académicas reconocidas internacionalmente.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