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4"/>
        </w:rPr>
        <w:t>Análisis de Literatura Empírica</w:t>
      </w:r>
    </w:p>
    <w:p>
      <w:pPr>
        <w:jc w:val="center"/>
      </w:pPr>
      <w:r>
        <w:rPr>
          <w:color w:val="2E74B5"/>
          <w:sz w:val="24"/>
        </w:rPr>
        <w:t>Canal Crediticio y Transmisión de Política Monetaria</w:t>
        <w:br/>
        <w:t>Evidencia Internacional — Modelos VAR y Variantes</w:t>
      </w:r>
    </w:p>
    <w:p/>
    <w:p>
      <w:pPr>
        <w:jc w:val="center"/>
      </w:pPr>
      <w:r>
        <w:rPr>
          <w:color w:val="555555"/>
          <w:sz w:val="20"/>
        </w:rPr>
        <w:t>Teoría y Política Monetaria  |  ULIMA 2026-1</w:t>
        <w:br/>
        <w:t>Insumo para la sección de Revisión de Literatura</w:t>
        <w:br/>
        <w:t>Referencias en formato APA 7ª edición</w:t>
      </w:r>
    </w:p>
    <w:p>
      <w:r>
        <w:br w:type="page"/>
      </w:r>
    </w:p>
    <w:p>
      <w:pPr>
        <w:spacing w:before="320" w:after="80"/>
      </w:pPr>
      <w:r>
        <w:rPr>
          <w:b/>
          <w:color w:val="2E74B5"/>
          <w:sz w:val="26"/>
        </w:rPr>
        <w:t>Introducción</w:t>
      </w:r>
    </w:p>
    <w:p>
      <w:pPr>
        <w:spacing w:after="120"/>
      </w:pPr>
      <w:r>
        <w:rPr>
          <w:sz w:val="20"/>
        </w:rPr>
        <w:t>Este documento reúne nueve papers empíricos de alto nivel académico, indexados en Scopus, ScienceDirect o publicados por organismos multilaterales de reconocimiento internacional (FMI, BIS). Todos utilizan datos reales, metodologías econométricas formales —VAR, SVAR, TVP-VAR, ARDL/NARDL, VECM— y estiman relaciones entre variables de política monetaria, tasas activas, tipo de cambio e inflación. El conjunto cubre Perú, América Latina y economías emergentes, permitiendo construir un análisis de literatura sólido y directamente conectado con el modelo VAR estimado.</w:t>
      </w:r>
    </w:p>
    <w:p>
      <w:pPr>
        <w:spacing w:after="120"/>
      </w:pPr>
      <w:r>
        <w:rPr>
          <w:sz w:val="20"/>
        </w:rPr>
        <w:t>Los papers se presentan en cuatro grupos: (1) estudios centrados en Perú, (2) estudios comparativos para América Latina, (3) estudios de referencia metodológica (SVAR en economías abiertas) y (4) evidencia en economías en desarrollo. Al final se incluye una tabla síntesis.</w:t>
      </w:r>
    </w:p>
    <w:p>
      <w:r>
        <w:br w:type="page"/>
      </w:r>
    </w:p>
    <w:p>
      <w:pPr>
        <w:spacing w:before="320" w:after="80"/>
      </w:pPr>
      <w:r>
        <w:rPr>
          <w:b/>
          <w:color w:val="2E74B5"/>
          <w:sz w:val="26"/>
        </w:rPr>
        <w:t>Sección 1: Estudios Empíricos Centrados en Perú</w:t>
      </w:r>
    </w:p>
    <w:p>
      <w:pPr>
        <w:spacing w:before="240" w:after="40"/>
      </w:pPr>
      <w:r>
        <w:rPr>
          <w:b/>
          <w:color w:val="375A3D"/>
          <w:sz w:val="22"/>
        </w:rPr>
        <w:t>Paper 1 — Rossini &amp; Vega (2008)</w:t>
      </w:r>
    </w:p>
    <w:p>
      <w:pPr>
        <w:spacing w:after="120"/>
        <w:ind w:left="720" w:hanging="720"/>
      </w:pPr>
      <w:r>
        <w:rPr>
          <w:i w:val="0"/>
          <w:sz w:val="20"/>
        </w:rPr>
        <w:t>Rossini, R., &amp; Vega, M. (2008). The monetary policy transmission mechanism under financial dollarisation: The case of Peru 1996–2006. In Bank for International Settlements (Ed.), Transmission Mechanisms for Monetary Policy in Emerging Market Economies (BIS Papers No. 35, pp. 395–412). Bank for International Settlements. https://www.bis.org/publ/bppdf/bispap35r.pdf</w:t>
      </w:r>
    </w:p>
    <w:p>
      <w:pPr>
        <w:spacing w:after="40"/>
      </w:pPr>
      <w:r>
        <w:rPr>
          <w:b/>
          <w:color w:val="1F497D"/>
          <w:sz w:val="20"/>
        </w:rPr>
        <w:t xml:space="preserve">Indexación: </w:t>
      </w:r>
      <w:r>
        <w:rPr>
          <w:sz w:val="20"/>
        </w:rPr>
        <w:t>BIS Papers (Bank for International Settlements) — acceso abierto, ampliamente citado</w:t>
      </w:r>
    </w:p>
    <w:p>
      <w:pPr>
        <w:spacing w:after="40"/>
      </w:pPr>
      <w:r>
        <w:rPr>
          <w:b/>
          <w:color w:val="1F497D"/>
          <w:sz w:val="20"/>
        </w:rPr>
        <w:t xml:space="preserve">Objetivo: </w:t>
      </w:r>
      <w:r>
        <w:rPr>
          <w:sz w:val="20"/>
        </w:rPr>
        <w:t>Analizar cómo la dolarización financiera afecta la transmisión de la política monetaria en Perú, identificando qué canales —tasa de interés, tipo de cambio, expectativas— ganaron o perdieron relevancia tras la adopción del esquema de metas de inflación (IT).</w:t>
      </w:r>
    </w:p>
    <w:p>
      <w:pPr>
        <w:spacing w:after="40"/>
      </w:pPr>
      <w:r>
        <w:rPr>
          <w:b/>
          <w:color w:val="1F497D"/>
          <w:sz w:val="20"/>
        </w:rPr>
        <w:t xml:space="preserve">País / Muestra: </w:t>
      </w:r>
      <w:r>
        <w:rPr>
          <w:sz w:val="20"/>
        </w:rPr>
        <w:t>Perú</w:t>
      </w:r>
    </w:p>
    <w:p>
      <w:pPr>
        <w:spacing w:after="40"/>
      </w:pPr>
      <w:r>
        <w:rPr>
          <w:b/>
          <w:color w:val="1F497D"/>
          <w:sz w:val="20"/>
        </w:rPr>
        <w:t xml:space="preserve">Periodo: </w:t>
      </w:r>
      <w:r>
        <w:rPr>
          <w:sz w:val="20"/>
        </w:rPr>
        <w:t>1996–2006 (mensual)</w:t>
      </w:r>
    </w:p>
    <w:p>
      <w:pPr>
        <w:spacing w:after="40"/>
      </w:pPr>
      <w:r>
        <w:rPr>
          <w:b/>
          <w:color w:val="1F497D"/>
          <w:sz w:val="20"/>
        </w:rPr>
        <w:t xml:space="preserve">Variables utilizadas: </w:t>
      </w:r>
      <w:r>
        <w:rPr>
          <w:sz w:val="20"/>
        </w:rPr>
        <w:t>Tasa de referencia del BCRP, tipo de cambio, inflación, crédito bancario, indicadores de dolarización del sistema financiero.</w:t>
      </w:r>
    </w:p>
    <w:p>
      <w:pPr>
        <w:spacing w:after="40"/>
      </w:pPr>
      <w:r>
        <w:rPr>
          <w:b/>
          <w:color w:val="1F497D"/>
          <w:sz w:val="20"/>
        </w:rPr>
        <w:t xml:space="preserve">Metodología: </w:t>
      </w:r>
      <w:r>
        <w:rPr>
          <w:sz w:val="20"/>
        </w:rPr>
        <w:t>Modelo VAR con identificación de Cholesky; ecuaciones OLS para canales individuales; análisis de impulso-respuesta para evaluar la transmisión dinámica.</w:t>
      </w:r>
    </w:p>
    <w:p>
      <w:pPr>
        <w:spacing w:after="40"/>
      </w:pPr>
      <w:r>
        <w:rPr>
          <w:b/>
          <w:color w:val="1F497D"/>
          <w:sz w:val="20"/>
        </w:rPr>
        <w:t xml:space="preserve">Resultados principales: </w:t>
      </w:r>
      <w:r>
        <w:rPr>
          <w:sz w:val="20"/>
        </w:rPr>
        <w:t>El canal de tasa de interés y el canal de expectativas se fortalecieron notablemente tras la adopción del IT. La dolarización reduce la efectividad de la política monetaria porque generan descalces de moneda que hacen contractiva la depreciación. A mayor flexibilidad cambiaria, más rápido pero más débil es el pass-through del tipo de cambio. La desdolarización progresiva mejora la transmisión monetaria.</w:t>
      </w:r>
    </w:p>
    <w:p>
      <w:pPr>
        <w:spacing w:after="40"/>
      </w:pPr>
      <w:r>
        <w:rPr>
          <w:b/>
          <w:color w:val="1F497D"/>
          <w:sz w:val="20"/>
        </w:rPr>
        <w:t xml:space="preserve">Relación con nuestro modelo: </w:t>
      </w:r>
      <w:r>
        <w:rPr>
          <w:sz w:val="20"/>
        </w:rPr>
        <w:t>Estudio de referencia directa: mismo país (Perú), mismas variables (tasa ref., tipo de cambio, TAMN, inflación), misma metodología (VAR Cholesky). El periodo 1996-2006 es el antecedente histórico previo a la muestra usada en el trabajo (2004-2025).</w:t>
      </w:r>
    </w:p>
    <w:p>
      <w:pPr>
        <w:spacing w:after="40"/>
      </w:pPr>
      <w:r>
        <w:rPr>
          <w:b/>
          <w:color w:val="1F497D"/>
          <w:sz w:val="20"/>
        </w:rPr>
        <w:t xml:space="preserve">Utilidad para la literatura: </w:t>
      </w:r>
      <w:r>
        <w:rPr>
          <w:sz w:val="20"/>
        </w:rPr>
        <w:t>Justifica el ordenamiento de Cholesky aplicado; confirma que el canal de tasa de interés (tasa_ref → TAMN) es el canal dominante en Perú post-IT. Permite comparar resultados históricos con los encontrados en el modelo actual.</w:t>
      </w:r>
    </w:p>
    <w:p>
      <w:pPr>
        <w:spacing w:before="120" w:after="200"/>
      </w:pPr>
      <w:r>
        <w:rPr>
          <w:color w:val="CCCCCC"/>
          <w:sz w:val="16"/>
        </w:rPr>
        <w:t>──────────────────────────────────────────────────────────────────────────────────────────</w:t>
      </w:r>
    </w:p>
    <w:p>
      <w:pPr>
        <w:spacing w:before="240" w:after="40"/>
      </w:pPr>
      <w:r>
        <w:rPr>
          <w:b/>
          <w:color w:val="375A3D"/>
          <w:sz w:val="22"/>
        </w:rPr>
        <w:t>Paper 2 — Pérez Rojo &amp; Rodríguez (2024)</w:t>
      </w:r>
    </w:p>
    <w:p>
      <w:pPr>
        <w:spacing w:after="120"/>
        <w:ind w:left="720" w:hanging="720"/>
      </w:pPr>
      <w:r>
        <w:rPr>
          <w:i w:val="0"/>
          <w:sz w:val="20"/>
        </w:rPr>
        <w:t>Pérez Rojo, F., &amp; Rodríguez, G. (2024). Impact of monetary policy shocks in the Peruvian economy over time. Structural Change and Economic Dynamics, 71, 270–288. https://doi.org/10.1016/j.strueco.2024.02.005</w:t>
      </w:r>
    </w:p>
    <w:p>
      <w:pPr>
        <w:spacing w:after="40"/>
      </w:pPr>
      <w:r>
        <w:rPr>
          <w:b/>
          <w:color w:val="1F497D"/>
          <w:sz w:val="20"/>
        </w:rPr>
        <w:t xml:space="preserve">Indexación: </w:t>
      </w:r>
      <w:r>
        <w:rPr>
          <w:sz w:val="20"/>
        </w:rPr>
        <w:t>ScienceDirect / Elsevier — Structural Change and Economic Dynamics (Scopus)</w:t>
      </w:r>
    </w:p>
    <w:p>
      <w:pPr>
        <w:spacing w:after="40"/>
      </w:pPr>
      <w:r>
        <w:rPr>
          <w:b/>
          <w:color w:val="1F497D"/>
          <w:sz w:val="20"/>
        </w:rPr>
        <w:t xml:space="preserve">Objetivo: </w:t>
      </w:r>
      <w:r>
        <w:rPr>
          <w:sz w:val="20"/>
        </w:rPr>
        <w:t>Examinar cómo ha evolucionado el impacto de los shocks de política monetaria en Perú a lo largo del tiempo, diferenciando entre el régimen previo al IT y el régimen IT, usando modelos VAR con parámetros variables en el tiempo.</w:t>
      </w:r>
    </w:p>
    <w:p>
      <w:pPr>
        <w:spacing w:after="40"/>
      </w:pPr>
      <w:r>
        <w:rPr>
          <w:b/>
          <w:color w:val="1F497D"/>
          <w:sz w:val="20"/>
        </w:rPr>
        <w:t xml:space="preserve">País / Muestra: </w:t>
      </w:r>
      <w:r>
        <w:rPr>
          <w:sz w:val="20"/>
        </w:rPr>
        <w:t>Perú</w:t>
      </w:r>
    </w:p>
    <w:p>
      <w:pPr>
        <w:spacing w:after="40"/>
      </w:pPr>
      <w:r>
        <w:rPr>
          <w:b/>
          <w:color w:val="1F497D"/>
          <w:sz w:val="20"/>
        </w:rPr>
        <w:t xml:space="preserve">Periodo: </w:t>
      </w:r>
      <w:r>
        <w:rPr>
          <w:sz w:val="20"/>
        </w:rPr>
        <w:t>1996T1–2018T2 (trimestral)</w:t>
      </w:r>
    </w:p>
    <w:p>
      <w:pPr>
        <w:spacing w:after="40"/>
      </w:pPr>
      <w:r>
        <w:rPr>
          <w:b/>
          <w:color w:val="1F497D"/>
          <w:sz w:val="20"/>
        </w:rPr>
        <w:t xml:space="preserve">Variables utilizadas: </w:t>
      </w:r>
      <w:r>
        <w:rPr>
          <w:sz w:val="20"/>
        </w:rPr>
        <w:t>Crecimiento del PBI, inflación, tasa de interés de política monetaria.</w:t>
      </w:r>
    </w:p>
    <w:p>
      <w:pPr>
        <w:spacing w:after="40"/>
      </w:pPr>
      <w:r>
        <w:rPr>
          <w:b/>
          <w:color w:val="1F497D"/>
          <w:sz w:val="20"/>
        </w:rPr>
        <w:t xml:space="preserve">Metodología: </w:t>
      </w:r>
      <w:r>
        <w:rPr>
          <w:sz w:val="20"/>
        </w:rPr>
        <w:t>Modelos VAR con parámetros variables en el tiempo y volatilidad estocástica (TVP-VAR-SV). Funciones impulso-respuesta variables en el tiempo; descomposición de varianza.</w:t>
      </w:r>
    </w:p>
    <w:p>
      <w:pPr>
        <w:spacing w:after="40"/>
      </w:pPr>
      <w:r>
        <w:rPr>
          <w:b/>
          <w:color w:val="1F497D"/>
          <w:sz w:val="20"/>
        </w:rPr>
        <w:t xml:space="preserve">Resultados principales: </w:t>
      </w:r>
      <w:r>
        <w:rPr>
          <w:sz w:val="20"/>
        </w:rPr>
        <w:t>La volatilidad de los shocks de política monetaria disminuye tras la adopción del IT. Un shock contractivo del 1% reduce el PBI en 0.28% y la inflación en 0.10%. Bajo el régimen pre-IT, los shocks explican el 20% de la incertidumbre del PBI, el 10% de la inflación y el 85% de la tasa de interés; bajo IT estas cifras caen a 1-2%. La política monetaria respondió más rápido a shocks de oferta que a shocks de demanda.</w:t>
      </w:r>
    </w:p>
    <w:p>
      <w:pPr>
        <w:spacing w:after="40"/>
      </w:pPr>
      <w:r>
        <w:rPr>
          <w:b/>
          <w:color w:val="1F497D"/>
          <w:sz w:val="20"/>
        </w:rPr>
        <w:t xml:space="preserve">Relación con nuestro modelo: </w:t>
      </w:r>
      <w:r>
        <w:rPr>
          <w:sz w:val="20"/>
        </w:rPr>
        <w:t>Provee evidencia empírica directa para Perú con metodología VAR. Permite contextualizar el periodo 2004-2025 analizado en el trabajo: la mayor parte de la muestra corresponde al régimen IT, donde los shocks tienen menor varianza pero respuestas bien definidas.</w:t>
      </w:r>
    </w:p>
    <w:p>
      <w:pPr>
        <w:spacing w:after="40"/>
      </w:pPr>
      <w:r>
        <w:rPr>
          <w:b/>
          <w:color w:val="1F497D"/>
          <w:sz w:val="20"/>
        </w:rPr>
        <w:t xml:space="preserve">Utilidad para la literatura: </w:t>
      </w:r>
      <w:r>
        <w:rPr>
          <w:sz w:val="20"/>
        </w:rPr>
        <w:t>Paper más reciente (2024) centrado en Perú con datos del BCRP. Justifica usar el modelo VAR para Perú y confirma que la transmisión monetaria es identificable con IRF. Los resultados de FEVD son directamente comparables con los del modelo estimado.</w:t>
      </w:r>
    </w:p>
    <w:p>
      <w:pPr>
        <w:spacing w:before="120" w:after="200"/>
      </w:pPr>
      <w:r>
        <w:rPr>
          <w:color w:val="CCCCCC"/>
          <w:sz w:val="16"/>
        </w:rPr>
        <w:t>──────────────────────────────────────────────────────────────────────────────────────────</w:t>
      </w:r>
    </w:p>
    <w:p>
      <w:r>
        <w:br w:type="page"/>
      </w:r>
    </w:p>
    <w:p>
      <w:pPr>
        <w:spacing w:before="320" w:after="80"/>
      </w:pPr>
      <w:r>
        <w:rPr>
          <w:b/>
          <w:color w:val="2E74B5"/>
          <w:sz w:val="26"/>
        </w:rPr>
        <w:t>Sección 2: Estudios Comparativos para América Latina</w:t>
      </w:r>
    </w:p>
    <w:p>
      <w:pPr>
        <w:spacing w:before="240" w:after="40"/>
      </w:pPr>
      <w:r>
        <w:rPr>
          <w:b/>
          <w:color w:val="375A3D"/>
          <w:sz w:val="22"/>
        </w:rPr>
        <w:t>Paper 3 — Quintero Otero (2015)</w:t>
      </w:r>
    </w:p>
    <w:p>
      <w:pPr>
        <w:spacing w:after="120"/>
        <w:ind w:left="720" w:hanging="720"/>
      </w:pPr>
      <w:r>
        <w:rPr>
          <w:i w:val="0"/>
          <w:sz w:val="20"/>
        </w:rPr>
        <w:t>Quintero Otero, J. D. (2015). Impactos de la política monetaria y canales de transmisión en países de América Latina con esquema de inflación objetivo. Ensayos sobre Política Económica, 33(76), 61–75. https://doi.org/10.1016/j.espe.2015.02.001</w:t>
      </w:r>
    </w:p>
    <w:p>
      <w:pPr>
        <w:spacing w:after="40"/>
      </w:pPr>
      <w:r>
        <w:rPr>
          <w:b/>
          <w:color w:val="1F497D"/>
          <w:sz w:val="20"/>
        </w:rPr>
        <w:t xml:space="preserve">Indexación: </w:t>
      </w:r>
      <w:r>
        <w:rPr>
          <w:sz w:val="20"/>
        </w:rPr>
        <w:t>ScienceDirect / Elsevier — Ensayos sobre Política Económica (Banco de la República, Colombia)</w:t>
      </w:r>
    </w:p>
    <w:p>
      <w:pPr>
        <w:spacing w:after="40"/>
      </w:pPr>
      <w:r>
        <w:rPr>
          <w:b/>
          <w:color w:val="1F497D"/>
          <w:sz w:val="20"/>
        </w:rPr>
        <w:t xml:space="preserve">Objetivo: </w:t>
      </w:r>
      <w:r>
        <w:rPr>
          <w:sz w:val="20"/>
        </w:rPr>
        <w:t>Estimar el impacto de la política monetaria sobre la actividad económica y la incidencia de los principales canales de transmisión en los cinco países latinoamericanos con mayor experiencia en metas de inflación.</w:t>
      </w:r>
    </w:p>
    <w:p>
      <w:pPr>
        <w:spacing w:after="40"/>
      </w:pPr>
      <w:r>
        <w:rPr>
          <w:b/>
          <w:color w:val="1F497D"/>
          <w:sz w:val="20"/>
        </w:rPr>
        <w:t xml:space="preserve">País / Muestra: </w:t>
      </w:r>
      <w:r>
        <w:rPr>
          <w:sz w:val="20"/>
        </w:rPr>
        <w:t>Brasil, Chile, Colombia, México y Perú (estimaciones individuales por país)</w:t>
      </w:r>
    </w:p>
    <w:p>
      <w:pPr>
        <w:spacing w:after="40"/>
      </w:pPr>
      <w:r>
        <w:rPr>
          <w:b/>
          <w:color w:val="1F497D"/>
          <w:sz w:val="20"/>
        </w:rPr>
        <w:t xml:space="preserve">Periodo: </w:t>
      </w:r>
      <w:r>
        <w:rPr>
          <w:sz w:val="20"/>
        </w:rPr>
        <w:t>Aproximadamente 2000–2013 (mensual)</w:t>
      </w:r>
    </w:p>
    <w:p>
      <w:pPr>
        <w:spacing w:after="40"/>
      </w:pPr>
      <w:r>
        <w:rPr>
          <w:b/>
          <w:color w:val="1F497D"/>
          <w:sz w:val="20"/>
        </w:rPr>
        <w:t xml:space="preserve">Variables utilizadas: </w:t>
      </w:r>
      <w:r>
        <w:rPr>
          <w:sz w:val="20"/>
        </w:rPr>
        <w:t>Tasa de interés de política monetaria, PBI o producción industrial, inflación, tipo de cambio, crédito bancario.</w:t>
      </w:r>
    </w:p>
    <w:p>
      <w:pPr>
        <w:spacing w:after="40"/>
      </w:pPr>
      <w:r>
        <w:rPr>
          <w:b/>
          <w:color w:val="1F497D"/>
          <w:sz w:val="20"/>
        </w:rPr>
        <w:t xml:space="preserve">Metodología: </w:t>
      </w:r>
      <w:r>
        <w:rPr>
          <w:sz w:val="20"/>
        </w:rPr>
        <w:t>SVAR (VAR estructural) estimado para cada país con las mismas variables, permitiendo comparabilidad. Identificación mediante restricciones de corto plazo. Funciones impulso-respuesta ortogonalizadas.</w:t>
      </w:r>
    </w:p>
    <w:p>
      <w:pPr>
        <w:spacing w:after="40"/>
      </w:pPr>
      <w:r>
        <w:rPr>
          <w:b/>
          <w:color w:val="1F497D"/>
          <w:sz w:val="20"/>
        </w:rPr>
        <w:t xml:space="preserve">Resultados principales: </w:t>
      </w:r>
      <w:r>
        <w:rPr>
          <w:sz w:val="20"/>
        </w:rPr>
        <w:t>México y Perú son los países donde la producción responde más a los shocks de política monetaria. El canal de tasa de interés es el más importante en todos los países. El canal cambiario es relevante en México. El canal crediticio opera con mayor relevancia solo en Perú. Colombia muestra los impactos más débiles debido a canales poco activos.</w:t>
      </w:r>
    </w:p>
    <w:p>
      <w:pPr>
        <w:spacing w:after="40"/>
      </w:pPr>
      <w:r>
        <w:rPr>
          <w:b/>
          <w:color w:val="1F497D"/>
          <w:sz w:val="20"/>
        </w:rPr>
        <w:t xml:space="preserve">Relación con nuestro modelo: </w:t>
      </w:r>
      <w:r>
        <w:rPr>
          <w:sz w:val="20"/>
        </w:rPr>
        <w:t>Confirma que Perú es uno de los países más sensibles a la política monetaria en AL, y que el canal crediticio (tasa_ref → TAMN → inflación) opera con relevancia en Perú. Valida el ordenamiento de variables del VAR estimado.</w:t>
      </w:r>
    </w:p>
    <w:p>
      <w:pPr>
        <w:spacing w:after="40"/>
      </w:pPr>
      <w:r>
        <w:rPr>
          <w:b/>
          <w:color w:val="1F497D"/>
          <w:sz w:val="20"/>
        </w:rPr>
        <w:t xml:space="preserve">Utilidad para la literatura: </w:t>
      </w:r>
      <w:r>
        <w:rPr>
          <w:sz w:val="20"/>
        </w:rPr>
        <w:t>Permite posicionar los resultados del modelo VAR en el contexto regional. La comparación entre canales por país justifica la elección de las variables y el ordenamiento de Cholesky utilizado.</w:t>
      </w:r>
    </w:p>
    <w:p>
      <w:pPr>
        <w:spacing w:before="120" w:after="200"/>
      </w:pPr>
      <w:r>
        <w:rPr>
          <w:color w:val="CCCCCC"/>
          <w:sz w:val="16"/>
        </w:rPr>
        <w:t>──────────────────────────────────────────────────────────────────────────────────────────</w:t>
      </w:r>
    </w:p>
    <w:p>
      <w:pPr>
        <w:spacing w:before="240" w:after="40"/>
      </w:pPr>
      <w:r>
        <w:rPr>
          <w:b/>
          <w:color w:val="375A3D"/>
          <w:sz w:val="22"/>
        </w:rPr>
        <w:t>Paper 4 — Catão &amp; Pagan (2010)</w:t>
      </w:r>
    </w:p>
    <w:p>
      <w:pPr>
        <w:spacing w:after="120"/>
        <w:ind w:left="720" w:hanging="720"/>
      </w:pPr>
      <w:r>
        <w:rPr>
          <w:i w:val="0"/>
          <w:sz w:val="20"/>
        </w:rPr>
        <w:t>Catão, L., &amp; Pagan, A. (2010). The credit channel and monetary transmission in Brazil and Chile: A structural VAR approach (Working Paper No. 579). Banco Central de Chile. https://www.bcentral.cl/documents/33528/133226/04_Catao_Pagan.pdf</w:t>
      </w:r>
    </w:p>
    <w:p>
      <w:pPr>
        <w:spacing w:after="40"/>
      </w:pPr>
      <w:r>
        <w:rPr>
          <w:b/>
          <w:color w:val="1F497D"/>
          <w:sz w:val="20"/>
        </w:rPr>
        <w:t xml:space="preserve">Indexación: </w:t>
      </w:r>
      <w:r>
        <w:rPr>
          <w:sz w:val="20"/>
        </w:rPr>
        <w:t>Banco Central de Chile Working Paper Series — NCER Working Paper 53 (citado en Scopus)</w:t>
      </w:r>
    </w:p>
    <w:p>
      <w:pPr>
        <w:spacing w:after="40"/>
      </w:pPr>
      <w:r>
        <w:rPr>
          <w:b/>
          <w:color w:val="1F497D"/>
          <w:sz w:val="20"/>
        </w:rPr>
        <w:t xml:space="preserve">Objetivo: </w:t>
      </w:r>
      <w:r>
        <w:rPr>
          <w:sz w:val="20"/>
        </w:rPr>
        <w:t>Estudiar los mecanismos de transmisión monetaria en Brasil y Chile, con énfasis en el canal crediticio bancario, usando un SVAR de economía abierta con expectativas.</w:t>
      </w:r>
    </w:p>
    <w:p>
      <w:pPr>
        <w:spacing w:after="40"/>
      </w:pPr>
      <w:r>
        <w:rPr>
          <w:b/>
          <w:color w:val="1F497D"/>
          <w:sz w:val="20"/>
        </w:rPr>
        <w:t xml:space="preserve">País / Muestra: </w:t>
      </w:r>
      <w:r>
        <w:rPr>
          <w:sz w:val="20"/>
        </w:rPr>
        <w:t>Brasil y Chile (análisis paralelo por país)</w:t>
      </w:r>
    </w:p>
    <w:p>
      <w:pPr>
        <w:spacing w:after="40"/>
      </w:pPr>
      <w:r>
        <w:rPr>
          <w:b/>
          <w:color w:val="1F497D"/>
          <w:sz w:val="20"/>
        </w:rPr>
        <w:t xml:space="preserve">Periodo: </w:t>
      </w:r>
      <w:r>
        <w:rPr>
          <w:sz w:val="20"/>
        </w:rPr>
        <w:t>Aproximadamente 1994–2007 (trimestral)</w:t>
      </w:r>
    </w:p>
    <w:p>
      <w:pPr>
        <w:spacing w:after="40"/>
      </w:pPr>
      <w:r>
        <w:rPr>
          <w:b/>
          <w:color w:val="1F497D"/>
          <w:sz w:val="20"/>
        </w:rPr>
        <w:t xml:space="preserve">Variables utilizadas: </w:t>
      </w:r>
      <w:r>
        <w:rPr>
          <w:sz w:val="20"/>
        </w:rPr>
        <w:t>Tasa de interés de política, tipo de cambio, crédito bancario, producción (PBI), inflación, tasas de interés de largo plazo.</w:t>
      </w:r>
    </w:p>
    <w:p>
      <w:pPr>
        <w:spacing w:after="40"/>
      </w:pPr>
      <w:r>
        <w:rPr>
          <w:b/>
          <w:color w:val="1F497D"/>
          <w:sz w:val="20"/>
        </w:rPr>
        <w:t xml:space="preserve">Metodología: </w:t>
      </w:r>
      <w:r>
        <w:rPr>
          <w:sz w:val="20"/>
        </w:rPr>
        <w:t>SVAR con representación de economía abierta New Keynesiana aumentada con expectativas. Identifica shocks de política monetaria, de crédito y externos. Descomposición de varianza para evaluar contribución del canal crediticio.</w:t>
      </w:r>
    </w:p>
    <w:p>
      <w:pPr>
        <w:spacing w:after="40"/>
      </w:pPr>
      <w:r>
        <w:rPr>
          <w:b/>
          <w:color w:val="1F497D"/>
          <w:sz w:val="20"/>
        </w:rPr>
        <w:t xml:space="preserve">Resultados principales: </w:t>
      </w:r>
      <w:r>
        <w:rPr>
          <w:sz w:val="20"/>
        </w:rPr>
        <w:t>Los cambios en la tasa de interés tienen efectos más rápidos sobre producto e inflación en Brasil y Chile que en economías avanzadas. El tipo de cambio juega un rol importante en la transmisión. Los shocks de crédito tienen grandes efectos, más fuertes en Chile donde la bancarización es mayor.</w:t>
      </w:r>
    </w:p>
    <w:p>
      <w:pPr>
        <w:spacing w:after="40"/>
      </w:pPr>
      <w:r>
        <w:rPr>
          <w:b/>
          <w:color w:val="1F497D"/>
          <w:sz w:val="20"/>
        </w:rPr>
        <w:t xml:space="preserve">Relación con nuestro modelo: </w:t>
      </w:r>
      <w:r>
        <w:rPr>
          <w:sz w:val="20"/>
        </w:rPr>
        <w:t>Metodología más sofisticada (SVAR) del mismo fenómeno (canal crediticio en AL). Los resultados validan que el tipo de cambio debe incluirse en la cadena de transmisión tasa_ref → tc → tamn → inflacion que usa el modelo VAR estimado.</w:t>
      </w:r>
    </w:p>
    <w:p>
      <w:pPr>
        <w:spacing w:after="40"/>
      </w:pPr>
      <w:r>
        <w:rPr>
          <w:b/>
          <w:color w:val="1F497D"/>
          <w:sz w:val="20"/>
        </w:rPr>
        <w:t xml:space="preserve">Utilidad para la literatura: </w:t>
      </w:r>
      <w:r>
        <w:rPr>
          <w:sz w:val="20"/>
        </w:rPr>
        <w:t>Referencia regional de alto perfil que justifica el diseño del VAR, el rol del tipo de cambio como variable intermediaria y la relevancia del canal crediticio.</w:t>
      </w:r>
    </w:p>
    <w:p>
      <w:pPr>
        <w:spacing w:before="120" w:after="200"/>
      </w:pPr>
      <w:r>
        <w:rPr>
          <w:color w:val="CCCCCC"/>
          <w:sz w:val="16"/>
        </w:rPr>
        <w:t>──────────────────────────────────────────────────────────────────────────────────────────</w:t>
      </w:r>
    </w:p>
    <w:p>
      <w:pPr>
        <w:spacing w:before="240" w:after="40"/>
      </w:pPr>
      <w:r>
        <w:rPr>
          <w:b/>
          <w:color w:val="375A3D"/>
          <w:sz w:val="22"/>
        </w:rPr>
        <w:t>Paper 5 — Quintero Otero, Gómez-Ramírez &amp; Otero Restrepo (2024)</w:t>
      </w:r>
    </w:p>
    <w:p>
      <w:pPr>
        <w:spacing w:after="120"/>
        <w:ind w:left="720" w:hanging="720"/>
      </w:pPr>
      <w:r>
        <w:rPr>
          <w:i w:val="0"/>
          <w:sz w:val="20"/>
        </w:rPr>
        <w:t>Quintero Otero, J. D., Gómez-Ramírez, L., &amp; Otero Restrepo, L. E. (2024). Asymmetries in the interest rate channel in inflation-targeting Latin American countries. The Journal of Economic Asymmetries, 30, e00370. https://doi.org/10.1016/j.jeca.2024.e00370</w:t>
      </w:r>
    </w:p>
    <w:p>
      <w:pPr>
        <w:spacing w:after="40"/>
      </w:pPr>
      <w:r>
        <w:rPr>
          <w:b/>
          <w:color w:val="1F497D"/>
          <w:sz w:val="20"/>
        </w:rPr>
        <w:t xml:space="preserve">Indexación: </w:t>
      </w:r>
      <w:r>
        <w:rPr>
          <w:sz w:val="20"/>
        </w:rPr>
        <w:t>ScienceDirect / Elsevier — The Journal of Economic Asymmetries (Scopus)</w:t>
      </w:r>
    </w:p>
    <w:p>
      <w:pPr>
        <w:spacing w:after="40"/>
      </w:pPr>
      <w:r>
        <w:rPr>
          <w:b/>
          <w:color w:val="1F497D"/>
          <w:sz w:val="20"/>
        </w:rPr>
        <w:t xml:space="preserve">Objetivo: </w:t>
      </w:r>
      <w:r>
        <w:rPr>
          <w:sz w:val="20"/>
        </w:rPr>
        <w:t>Investigar el pass-through de la tasa de política monetaria hacia las tasas de préstamos a consumidores y empresas en cuatro países latinoamericanos con IT, identificando asimetrías en la respuesta.</w:t>
      </w:r>
    </w:p>
    <w:p>
      <w:pPr>
        <w:spacing w:after="40"/>
      </w:pPr>
      <w:r>
        <w:rPr>
          <w:b/>
          <w:color w:val="1F497D"/>
          <w:sz w:val="20"/>
        </w:rPr>
        <w:t xml:space="preserve">País / Muestra: </w:t>
      </w:r>
      <w:r>
        <w:rPr>
          <w:sz w:val="20"/>
        </w:rPr>
        <w:t>Brasil, Chile, Colombia y Perú</w:t>
      </w:r>
    </w:p>
    <w:p>
      <w:pPr>
        <w:spacing w:after="40"/>
      </w:pPr>
      <w:r>
        <w:rPr>
          <w:b/>
          <w:color w:val="1F497D"/>
          <w:sz w:val="20"/>
        </w:rPr>
        <w:t xml:space="preserve">Periodo: </w:t>
      </w:r>
      <w:r>
        <w:rPr>
          <w:sz w:val="20"/>
        </w:rPr>
        <w:t>Enero 2013–Diciembre 2023 (mensual)</w:t>
      </w:r>
    </w:p>
    <w:p>
      <w:pPr>
        <w:spacing w:after="40"/>
      </w:pPr>
      <w:r>
        <w:rPr>
          <w:b/>
          <w:color w:val="1F497D"/>
          <w:sz w:val="20"/>
        </w:rPr>
        <w:t xml:space="preserve">Variables utilizadas: </w:t>
      </w:r>
      <w:r>
        <w:rPr>
          <w:sz w:val="20"/>
        </w:rPr>
        <w:t>Tasa de política monetaria, tasas de interés de préstamos a consumidores, tasas de préstamos comerciales de bancos comerciales.</w:t>
      </w:r>
    </w:p>
    <w:p>
      <w:pPr>
        <w:spacing w:after="40"/>
      </w:pPr>
      <w:r>
        <w:rPr>
          <w:b/>
          <w:color w:val="1F497D"/>
          <w:sz w:val="20"/>
        </w:rPr>
        <w:t xml:space="preserve">Metodología: </w:t>
      </w:r>
      <w:r>
        <w:rPr>
          <w:sz w:val="20"/>
        </w:rPr>
        <w:t>Modelos NARDL (Non-Linear Autoregressive Distributed Lag) para cada país. Prueba de cointegración de límites de Pesaran et al. (2001). ECM para el corto plazo. Análisis de asimetrías positivas y negativas.</w:t>
      </w:r>
    </w:p>
    <w:p>
      <w:pPr>
        <w:spacing w:after="40"/>
      </w:pPr>
      <w:r>
        <w:rPr>
          <w:b/>
          <w:color w:val="1F497D"/>
          <w:sz w:val="20"/>
        </w:rPr>
        <w:t xml:space="preserve">Resultados principales: </w:t>
      </w:r>
      <w:r>
        <w:rPr>
          <w:sz w:val="20"/>
        </w:rPr>
        <w:t>La respuesta de largo plazo de las tasas de préstamos a consumidores es mayor que la de préstamos comerciales. Existe asimetría: Chile, Colombia y Perú muestran mayor respuesta ante aumentos que ante recortes de la tasa de política. El pass-through es mayor para créditos al consumo (más completo) que para créditos empresariales.</w:t>
      </w:r>
    </w:p>
    <w:p>
      <w:pPr>
        <w:spacing w:after="40"/>
      </w:pPr>
      <w:r>
        <w:rPr>
          <w:b/>
          <w:color w:val="1F497D"/>
          <w:sz w:val="20"/>
        </w:rPr>
        <w:t xml:space="preserve">Relación con nuestro modelo: </w:t>
      </w:r>
      <w:r>
        <w:rPr>
          <w:sz w:val="20"/>
        </w:rPr>
        <w:t>Incluye Perú con datos recientes (hasta 2023). La variable dependiente —tasas activas— es equivalente a la TAMN del modelo VAR. Valida que el canal de tasas activas en Perú tiene un pass-through significativo y asimétrico desde la tasa de referencia.</w:t>
      </w:r>
    </w:p>
    <w:p>
      <w:pPr>
        <w:spacing w:after="40"/>
      </w:pPr>
      <w:r>
        <w:rPr>
          <w:b/>
          <w:color w:val="1F497D"/>
          <w:sz w:val="20"/>
        </w:rPr>
        <w:t xml:space="preserve">Utilidad para la literatura: </w:t>
      </w:r>
      <w:r>
        <w:rPr>
          <w:sz w:val="20"/>
        </w:rPr>
        <w:t>Evidencia más reciente sobre el canal de tasas activas en Perú. Amplía el análisis del VAR hacia asimetrías (alzas vs. bajas de política). Complementa el análisis lineal del VAR con perspectiva ARDL/NARDL.</w:t>
      </w:r>
    </w:p>
    <w:p>
      <w:pPr>
        <w:spacing w:before="120" w:after="200"/>
      </w:pPr>
      <w:r>
        <w:rPr>
          <w:color w:val="CCCCCC"/>
          <w:sz w:val="16"/>
        </w:rPr>
        <w:t>──────────────────────────────────────────────────────────────────────────────────────────</w:t>
      </w:r>
    </w:p>
    <w:p>
      <w:r>
        <w:br w:type="page"/>
      </w:r>
    </w:p>
    <w:p>
      <w:pPr>
        <w:spacing w:before="320" w:after="80"/>
      </w:pPr>
      <w:r>
        <w:rPr>
          <w:b/>
          <w:color w:val="2E74B5"/>
          <w:sz w:val="26"/>
        </w:rPr>
        <w:t>Sección 3: Referentes Metodológicos — SVAR en Economías Abiertas</w:t>
      </w:r>
    </w:p>
    <w:p>
      <w:pPr>
        <w:spacing w:before="240" w:after="40"/>
      </w:pPr>
      <w:r>
        <w:rPr>
          <w:b/>
          <w:color w:val="375A3D"/>
          <w:sz w:val="22"/>
        </w:rPr>
        <w:t>Paper 6 — Cushman &amp; Zha (1997)</w:t>
      </w:r>
    </w:p>
    <w:p>
      <w:pPr>
        <w:spacing w:after="120"/>
        <w:ind w:left="720" w:hanging="720"/>
      </w:pPr>
      <w:r>
        <w:rPr>
          <w:i w:val="0"/>
          <w:sz w:val="20"/>
        </w:rPr>
        <w:t>Cushman, D. O., &amp; Zha, T. (1997). Identifying monetary policy in a small open economy under flexible exchange rates. Journal of Monetary Economics, 39(3), 433–448. https://doi.org/10.1016/S0304-3932(97)00029-9</w:t>
      </w:r>
    </w:p>
    <w:p>
      <w:pPr>
        <w:spacing w:after="40"/>
      </w:pPr>
      <w:r>
        <w:rPr>
          <w:b/>
          <w:color w:val="1F497D"/>
          <w:sz w:val="20"/>
        </w:rPr>
        <w:t xml:space="preserve">Indexación: </w:t>
      </w:r>
      <w:r>
        <w:rPr>
          <w:sz w:val="20"/>
        </w:rPr>
        <w:t>ScienceDirect / Elsevier — Journal of Monetary Economics (Scopus Q1)</w:t>
      </w:r>
    </w:p>
    <w:p>
      <w:pPr>
        <w:spacing w:after="40"/>
      </w:pPr>
      <w:r>
        <w:rPr>
          <w:b/>
          <w:color w:val="1F497D"/>
          <w:sz w:val="20"/>
        </w:rPr>
        <w:t xml:space="preserve">Objetivo: </w:t>
      </w:r>
      <w:r>
        <w:rPr>
          <w:sz w:val="20"/>
        </w:rPr>
        <w:t>Identificar shocks de política monetaria en una economía pequeña abierta (Canadá) bajo tipo de cambio flexible, resolviendo los problemas de identificación que surgen al usar restricciones recursivas de Cholesky en contextos de apertura.</w:t>
      </w:r>
    </w:p>
    <w:p>
      <w:pPr>
        <w:spacing w:after="40"/>
      </w:pPr>
      <w:r>
        <w:rPr>
          <w:b/>
          <w:color w:val="1F497D"/>
          <w:sz w:val="20"/>
        </w:rPr>
        <w:t xml:space="preserve">País / Muestra: </w:t>
      </w:r>
      <w:r>
        <w:rPr>
          <w:sz w:val="20"/>
        </w:rPr>
        <w:t>Canadá (economía pequeña abierta)</w:t>
      </w:r>
    </w:p>
    <w:p>
      <w:pPr>
        <w:spacing w:after="40"/>
      </w:pPr>
      <w:r>
        <w:rPr>
          <w:b/>
          <w:color w:val="1F497D"/>
          <w:sz w:val="20"/>
        </w:rPr>
        <w:t xml:space="preserve">Periodo: </w:t>
      </w:r>
      <w:r>
        <w:rPr>
          <w:sz w:val="20"/>
        </w:rPr>
        <w:t>1974T1–1993T1 (trimestral)</w:t>
      </w:r>
    </w:p>
    <w:p>
      <w:pPr>
        <w:spacing w:after="40"/>
      </w:pPr>
      <w:r>
        <w:rPr>
          <w:b/>
          <w:color w:val="1F497D"/>
          <w:sz w:val="20"/>
        </w:rPr>
        <w:t xml:space="preserve">Variables utilizadas: </w:t>
      </w:r>
      <w:r>
        <w:rPr>
          <w:sz w:val="20"/>
        </w:rPr>
        <w:t>Producción, precios, tasa de interés, tipo de cambio, oferta monetaria, variables externas de EE.UU. (bloque exógeno).</w:t>
      </w:r>
    </w:p>
    <w:p>
      <w:pPr>
        <w:spacing w:after="40"/>
      </w:pPr>
      <w:r>
        <w:rPr>
          <w:b/>
          <w:color w:val="1F497D"/>
          <w:sz w:val="20"/>
        </w:rPr>
        <w:t xml:space="preserve">Metodología: </w:t>
      </w:r>
      <w:r>
        <w:rPr>
          <w:sz w:val="20"/>
        </w:rPr>
        <w:t>SVAR con restricciones no recursivas contemporáneas. Bloque exógeno para variables internacionales. Identificación sin necesidad del ordenamiento de Cholesky estricto.</w:t>
      </w:r>
    </w:p>
    <w:p>
      <w:pPr>
        <w:spacing w:after="40"/>
      </w:pPr>
      <w:r>
        <w:rPr>
          <w:b/>
          <w:color w:val="1F497D"/>
          <w:sz w:val="20"/>
        </w:rPr>
        <w:t xml:space="preserve">Resultados principales: </w:t>
      </w:r>
      <w:r>
        <w:rPr>
          <w:sz w:val="20"/>
        </w:rPr>
        <w:t>Un shock contractivo de política monetaria aprecia el tipo de cambio y contrae el producto, consistente con la teoría. Resultados sin los puzzles de precios ni cambiarios que aparecen con VARs recursivos. El tipo de cambio es un canal de transmisión clave.</w:t>
      </w:r>
    </w:p>
    <w:p>
      <w:pPr>
        <w:spacing w:after="40"/>
      </w:pPr>
      <w:r>
        <w:rPr>
          <w:b/>
          <w:color w:val="1F497D"/>
          <w:sz w:val="20"/>
        </w:rPr>
        <w:t xml:space="preserve">Relación con nuestro modelo: </w:t>
      </w:r>
      <w:r>
        <w:rPr>
          <w:sz w:val="20"/>
        </w:rPr>
        <w:t>Perú es una economía pequeña abierta similar a Canadá en términos de estructura de transmisión. Justifica el lugar del tipo de cambio (tc) como segunda variable en el ordenamiento de Cholesky: reacciona rápido a política monetaria y transmite al sector bancario doméstico (TAMN).</w:t>
      </w:r>
    </w:p>
    <w:p>
      <w:pPr>
        <w:spacing w:after="40"/>
      </w:pPr>
      <w:r>
        <w:rPr>
          <w:b/>
          <w:color w:val="1F497D"/>
          <w:sz w:val="20"/>
        </w:rPr>
        <w:t xml:space="preserve">Utilidad para la literatura: </w:t>
      </w:r>
      <w:r>
        <w:rPr>
          <w:sz w:val="20"/>
        </w:rPr>
        <w:t>Argumento metodológico clave para defender el ordenamiento de Cholesky: en economías pequeñas abiertas la tasa de política y el tipo de cambio deben preceder a variables domésticas como las tasas activas y la inflación.</w:t>
      </w:r>
    </w:p>
    <w:p>
      <w:pPr>
        <w:spacing w:before="120" w:after="200"/>
      </w:pPr>
      <w:r>
        <w:rPr>
          <w:color w:val="CCCCCC"/>
          <w:sz w:val="16"/>
        </w:rPr>
        <w:t>──────────────────────────────────────────────────────────────────────────────────────────</w:t>
      </w:r>
    </w:p>
    <w:p>
      <w:pPr>
        <w:spacing w:before="240" w:after="40"/>
      </w:pPr>
      <w:r>
        <w:rPr>
          <w:b/>
          <w:color w:val="375A3D"/>
          <w:sz w:val="22"/>
        </w:rPr>
        <w:t>Paper 7 — Kim &amp; Roubini (2000)</w:t>
      </w:r>
    </w:p>
    <w:p>
      <w:pPr>
        <w:spacing w:after="120"/>
        <w:ind w:left="720" w:hanging="720"/>
      </w:pPr>
      <w:r>
        <w:rPr>
          <w:i w:val="0"/>
          <w:sz w:val="20"/>
        </w:rPr>
        <w:t>Kim, S., &amp; Roubini, N. (2000). Exchange rate anomalies in the industrial countries: A solution with a structural VAR approach. Journal of Monetary Economics, 45(3), 561–586. https://doi.org/10.1016/S0304-3932(00)00010-8</w:t>
      </w:r>
    </w:p>
    <w:p>
      <w:pPr>
        <w:spacing w:after="40"/>
      </w:pPr>
      <w:r>
        <w:rPr>
          <w:b/>
          <w:color w:val="1F497D"/>
          <w:sz w:val="20"/>
        </w:rPr>
        <w:t xml:space="preserve">Indexación: </w:t>
      </w:r>
      <w:r>
        <w:rPr>
          <w:sz w:val="20"/>
        </w:rPr>
        <w:t>ScienceDirect / Elsevier — Journal of Monetary Economics (Scopus Q1)</w:t>
      </w:r>
    </w:p>
    <w:p>
      <w:pPr>
        <w:spacing w:after="40"/>
      </w:pPr>
      <w:r>
        <w:rPr>
          <w:b/>
          <w:color w:val="1F497D"/>
          <w:sz w:val="20"/>
        </w:rPr>
        <w:t xml:space="preserve">Objetivo: </w:t>
      </w:r>
      <w:r>
        <w:rPr>
          <w:sz w:val="20"/>
        </w:rPr>
        <w:t>Resolver los puzzles cambiarios y de precios que surgen en VARs recursivos al identificar shocks de política monetaria en economías industrializadas del G7.</w:t>
      </w:r>
    </w:p>
    <w:p>
      <w:pPr>
        <w:spacing w:after="40"/>
      </w:pPr>
      <w:r>
        <w:rPr>
          <w:b/>
          <w:color w:val="1F497D"/>
          <w:sz w:val="20"/>
        </w:rPr>
        <w:t xml:space="preserve">País / Muestra: </w:t>
      </w:r>
      <w:r>
        <w:rPr>
          <w:sz w:val="20"/>
        </w:rPr>
        <w:t>Países G7 (Alemania, Francia, Italia, Japón, Canadá, Reino Unido)</w:t>
      </w:r>
    </w:p>
    <w:p>
      <w:pPr>
        <w:spacing w:after="40"/>
      </w:pPr>
      <w:r>
        <w:rPr>
          <w:b/>
          <w:color w:val="1F497D"/>
          <w:sz w:val="20"/>
        </w:rPr>
        <w:t xml:space="preserve">Periodo: </w:t>
      </w:r>
      <w:r>
        <w:rPr>
          <w:sz w:val="20"/>
        </w:rPr>
        <w:t>Aproximadamente 1975–1992 (mensual)</w:t>
      </w:r>
    </w:p>
    <w:p>
      <w:pPr>
        <w:spacing w:after="40"/>
      </w:pPr>
      <w:r>
        <w:rPr>
          <w:b/>
          <w:color w:val="1F497D"/>
          <w:sz w:val="20"/>
        </w:rPr>
        <w:t xml:space="preserve">Variables utilizadas: </w:t>
      </w:r>
      <w:r>
        <w:rPr>
          <w:sz w:val="20"/>
        </w:rPr>
        <w:t>Tasa de interés de política, oferta monetaria, precios al consumidor, tipo de cambio, producción industrial, tasa externa (EE.UU.).</w:t>
      </w:r>
    </w:p>
    <w:p>
      <w:pPr>
        <w:spacing w:after="40"/>
      </w:pPr>
      <w:r>
        <w:rPr>
          <w:b/>
          <w:color w:val="1F497D"/>
          <w:sz w:val="20"/>
        </w:rPr>
        <w:t xml:space="preserve">Metodología: </w:t>
      </w:r>
      <w:r>
        <w:rPr>
          <w:sz w:val="20"/>
        </w:rPr>
        <w:t>SVAR con restricciones contemporáneas no recursivas. Identifica la función de reacción de los bancos centrales con retroalimentación contemporánea entre tasa de política y tipo de cambio (sin restricción de bloque diagonal).</w:t>
      </w:r>
    </w:p>
    <w:p>
      <w:pPr>
        <w:spacing w:after="40"/>
      </w:pPr>
      <w:r>
        <w:rPr>
          <w:b/>
          <w:color w:val="1F497D"/>
          <w:sz w:val="20"/>
        </w:rPr>
        <w:t xml:space="preserve">Resultados principales: </w:t>
      </w:r>
      <w:r>
        <w:rPr>
          <w:sz w:val="20"/>
        </w:rPr>
        <w:t>Resuelve el exchange rate puzzle: apreciación inicial tras shock contractivo seguida de depreciación progresiva, consistente con UIP. Desaparece el price puzzle. Los efectos son consistentes con modelos teóricos de economía abierta.</w:t>
      </w:r>
    </w:p>
    <w:p>
      <w:pPr>
        <w:spacing w:after="40"/>
      </w:pPr>
      <w:r>
        <w:rPr>
          <w:b/>
          <w:color w:val="1F497D"/>
          <w:sz w:val="20"/>
        </w:rPr>
        <w:t xml:space="preserve">Relación con nuestro modelo: </w:t>
      </w:r>
      <w:r>
        <w:rPr>
          <w:sz w:val="20"/>
        </w:rPr>
        <w:t>Justifica el diagnóstico del modelo VAR: si aparece un price puzzle o forward rate puzzle, indica problemas de identificación. La desaparición de estos puzzles en el VAR con dummies estructurales (modelo Structural) respalda la especificación con choques.</w:t>
      </w:r>
    </w:p>
    <w:p>
      <w:pPr>
        <w:spacing w:after="40"/>
      </w:pPr>
      <w:r>
        <w:rPr>
          <w:b/>
          <w:color w:val="1F497D"/>
          <w:sz w:val="20"/>
        </w:rPr>
        <w:t xml:space="preserve">Utilidad para la literatura: </w:t>
      </w:r>
      <w:r>
        <w:rPr>
          <w:sz w:val="20"/>
        </w:rPr>
        <w:t>Referencia metodológica clásica para defender las IRFs del VAR. Permite discutir si los resultados del OIRF son robustos o presentan anomalías que requieren SVAR.</w:t>
      </w:r>
    </w:p>
    <w:p>
      <w:pPr>
        <w:spacing w:before="120" w:after="200"/>
      </w:pPr>
      <w:r>
        <w:rPr>
          <w:color w:val="CCCCCC"/>
          <w:sz w:val="16"/>
        </w:rPr>
        <w:t>──────────────────────────────────────────────────────────────────────────────────────────</w:t>
      </w:r>
    </w:p>
    <w:p>
      <w:r>
        <w:br w:type="page"/>
      </w:r>
    </w:p>
    <w:p>
      <w:pPr>
        <w:spacing w:before="320" w:after="80"/>
      </w:pPr>
      <w:r>
        <w:rPr>
          <w:b/>
          <w:color w:val="2E74B5"/>
          <w:sz w:val="26"/>
        </w:rPr>
        <w:t>Sección 4: Transmisión Monetaria en Economías en Desarrollo</w:t>
      </w:r>
    </w:p>
    <w:p>
      <w:pPr>
        <w:spacing w:before="240" w:after="40"/>
      </w:pPr>
      <w:r>
        <w:rPr>
          <w:b/>
          <w:color w:val="375A3D"/>
          <w:sz w:val="22"/>
        </w:rPr>
        <w:t>Paper 8 — Mishra, Montiel &amp; Spilimbergo (2012)</w:t>
      </w:r>
    </w:p>
    <w:p>
      <w:pPr>
        <w:spacing w:after="120"/>
        <w:ind w:left="720" w:hanging="720"/>
      </w:pPr>
      <w:r>
        <w:rPr>
          <w:i w:val="0"/>
          <w:sz w:val="20"/>
        </w:rPr>
        <w:t>Mishra, P., Montiel, P. J., &amp; Spilimbergo, A. (2012). Monetary transmission in low-income countries: Effectiveness and policy implications. IMF Economic Review, 60(2), 270–302. https://doi.org/10.1057/imfer.2012.7</w:t>
      </w:r>
    </w:p>
    <w:p>
      <w:pPr>
        <w:spacing w:after="40"/>
      </w:pPr>
      <w:r>
        <w:rPr>
          <w:b/>
          <w:color w:val="1F497D"/>
          <w:sz w:val="20"/>
        </w:rPr>
        <w:t xml:space="preserve">Indexación: </w:t>
      </w:r>
      <w:r>
        <w:rPr>
          <w:sz w:val="20"/>
        </w:rPr>
        <w:t>Palgrave / Springer — IMF Economic Review (Scopus Q1)</w:t>
      </w:r>
    </w:p>
    <w:p>
      <w:pPr>
        <w:spacing w:after="40"/>
      </w:pPr>
      <w:r>
        <w:rPr>
          <w:b/>
          <w:color w:val="1F497D"/>
          <w:sz w:val="20"/>
        </w:rPr>
        <w:t xml:space="preserve">Objetivo: </w:t>
      </w:r>
      <w:r>
        <w:rPr>
          <w:sz w:val="20"/>
        </w:rPr>
        <w:t>Examinar sistemáticamente la evidencia empírica sobre la efectividad de la transmisión monetaria en países de bajos ingresos y en desarrollo, evaluando si los mecanismos estándar —canal de tasa, crédito, tipo de cambio— operan de forma confiable.</w:t>
      </w:r>
    </w:p>
    <w:p>
      <w:pPr>
        <w:spacing w:after="40"/>
      </w:pPr>
      <w:r>
        <w:rPr>
          <w:b/>
          <w:color w:val="1F497D"/>
          <w:sz w:val="20"/>
        </w:rPr>
        <w:t xml:space="preserve">País / Muestra: </w:t>
      </w:r>
      <w:r>
        <w:rPr>
          <w:sz w:val="20"/>
        </w:rPr>
        <w:t>Revisión de literatura sobre economías en desarrollo (África subsahariana, Asia, América Latina)</w:t>
      </w:r>
    </w:p>
    <w:p>
      <w:pPr>
        <w:spacing w:after="40"/>
      </w:pPr>
      <w:r>
        <w:rPr>
          <w:b/>
          <w:color w:val="1F497D"/>
          <w:sz w:val="20"/>
        </w:rPr>
        <w:t xml:space="preserve">Periodo: </w:t>
      </w:r>
      <w:r>
        <w:rPr>
          <w:sz w:val="20"/>
        </w:rPr>
        <w:t>Revisión de estudios publicados hasta 2012</w:t>
      </w:r>
    </w:p>
    <w:p>
      <w:pPr>
        <w:spacing w:after="40"/>
      </w:pPr>
      <w:r>
        <w:rPr>
          <w:b/>
          <w:color w:val="1F497D"/>
          <w:sz w:val="20"/>
        </w:rPr>
        <w:t xml:space="preserve">Variables utilizadas: </w:t>
      </w:r>
      <w:r>
        <w:rPr>
          <w:sz w:val="20"/>
        </w:rPr>
        <w:t>Tasas de interés de política, tasas activas bancarias, crédito al sector privado, tipo de cambio, inflación, producto. Metodologías VAR revisadas en cada estudio.</w:t>
      </w:r>
    </w:p>
    <w:p>
      <w:pPr>
        <w:spacing w:after="40"/>
      </w:pPr>
      <w:r>
        <w:rPr>
          <w:b/>
          <w:color w:val="1F497D"/>
          <w:sz w:val="20"/>
        </w:rPr>
        <w:t xml:space="preserve">Metodología: </w:t>
      </w:r>
      <w:r>
        <w:rPr>
          <w:sz w:val="20"/>
        </w:rPr>
        <w:t>Revisión sistemática de literatura empírica; también presenta un modelo teórico simple del canal de crédito bancario en condiciones de mercados financieros poco desarrollados. Meta-análisis de resultados de VARs en países en desarrollo.</w:t>
      </w:r>
    </w:p>
    <w:p>
      <w:pPr>
        <w:spacing w:after="40"/>
      </w:pPr>
      <w:r>
        <w:rPr>
          <w:b/>
          <w:color w:val="1F497D"/>
          <w:sz w:val="20"/>
        </w:rPr>
        <w:t xml:space="preserve">Resultados principales: </w:t>
      </w:r>
      <w:r>
        <w:rPr>
          <w:sz w:val="20"/>
        </w:rPr>
        <w:t>La transmisión monetaria es débil e incierta en la mayoría de economías en desarrollo. El canal de crédito bancario es el mecanismo dominante en estas economías, pero es débil e inestable. La efectividad mejora en países con mayor desarrollo financiero, instituciones sólidas y menor dolarización.</w:t>
      </w:r>
    </w:p>
    <w:p>
      <w:pPr>
        <w:spacing w:after="40"/>
      </w:pPr>
      <w:r>
        <w:rPr>
          <w:b/>
          <w:color w:val="1F497D"/>
          <w:sz w:val="20"/>
        </w:rPr>
        <w:t xml:space="preserve">Relación con nuestro modelo: </w:t>
      </w:r>
      <w:r>
        <w:rPr>
          <w:sz w:val="20"/>
        </w:rPr>
        <w:t>El caso de Perú es intermedio: tiene mercados financieros más desarrollados que economías de bajos ingresos, lo que explica que el canal crediticio opere con mayor efectividad según Quintero Otero (2015). Contextualiza por qué la tasa activa (TAMN) responde a la tasa de referencia en el VAR.</w:t>
      </w:r>
    </w:p>
    <w:p>
      <w:pPr>
        <w:spacing w:after="40"/>
      </w:pPr>
      <w:r>
        <w:rPr>
          <w:b/>
          <w:color w:val="1F497D"/>
          <w:sz w:val="20"/>
        </w:rPr>
        <w:t xml:space="preserve">Utilidad para la literatura: </w:t>
      </w:r>
      <w:r>
        <w:rPr>
          <w:sz w:val="20"/>
        </w:rPr>
        <w:t>Permite discutir las limitaciones del canal crediticio y por qué Perú, como economía emergente con IT desde 2002 y baja dolarización decreciente, muestra transmisión más robusta que el promedio de países en desarrollo.</w:t>
      </w:r>
    </w:p>
    <w:p>
      <w:pPr>
        <w:spacing w:before="120" w:after="200"/>
      </w:pPr>
      <w:r>
        <w:rPr>
          <w:color w:val="CCCCCC"/>
          <w:sz w:val="16"/>
        </w:rPr>
        <w:t>──────────────────────────────────────────────────────────────────────────────────────────</w:t>
      </w:r>
    </w:p>
    <w:p>
      <w:pPr>
        <w:spacing w:before="240" w:after="40"/>
      </w:pPr>
      <w:r>
        <w:rPr>
          <w:b/>
          <w:color w:val="375A3D"/>
          <w:sz w:val="22"/>
        </w:rPr>
        <w:t>Paper 9 — Dabla-Norris &amp; Floerkemeier (2006)</w:t>
      </w:r>
    </w:p>
    <w:p>
      <w:pPr>
        <w:spacing w:after="120"/>
        <w:ind w:left="720" w:hanging="720"/>
      </w:pPr>
      <w:r>
        <w:rPr>
          <w:i w:val="0"/>
          <w:sz w:val="20"/>
        </w:rPr>
        <w:t>Dabla-Norris, E., &amp; Floerkemeier, H. (2006). Transmission mechanisms of monetary policy in Armenia: Evidence from VAR analysis (Working Paper No. WP/06/248). International Monetary Fund. https://www.imf.org/external/pubs/ft/wp/2006/wp06248.pdf</w:t>
      </w:r>
    </w:p>
    <w:p>
      <w:pPr>
        <w:spacing w:after="40"/>
      </w:pPr>
      <w:r>
        <w:rPr>
          <w:b/>
          <w:color w:val="1F497D"/>
          <w:sz w:val="20"/>
        </w:rPr>
        <w:t xml:space="preserve">Indexación: </w:t>
      </w:r>
      <w:r>
        <w:rPr>
          <w:sz w:val="20"/>
        </w:rPr>
        <w:t>IMF Working Papers — acceso abierto, ampliamente citado en literatura de transmisión</w:t>
      </w:r>
    </w:p>
    <w:p>
      <w:pPr>
        <w:spacing w:after="40"/>
      </w:pPr>
      <w:r>
        <w:rPr>
          <w:b/>
          <w:color w:val="1F497D"/>
          <w:sz w:val="20"/>
        </w:rPr>
        <w:t xml:space="preserve">Objetivo: </w:t>
      </w:r>
      <w:r>
        <w:rPr>
          <w:sz w:val="20"/>
        </w:rPr>
        <w:t>Identificar y cuantificar los mecanismos de transmisión de la política monetaria en Armenia —una economía parcialmente dolarizada— ante el plan de adoptar un esquema de metas de inflación.</w:t>
      </w:r>
    </w:p>
    <w:p>
      <w:pPr>
        <w:spacing w:after="40"/>
      </w:pPr>
      <w:r>
        <w:rPr>
          <w:b/>
          <w:color w:val="1F497D"/>
          <w:sz w:val="20"/>
        </w:rPr>
        <w:t xml:space="preserve">País / Muestra: </w:t>
      </w:r>
      <w:r>
        <w:rPr>
          <w:sz w:val="20"/>
        </w:rPr>
        <w:t>Armenia (economía pequeña, parcialmente dolarizada, en transición)</w:t>
      </w:r>
    </w:p>
    <w:p>
      <w:pPr>
        <w:spacing w:after="40"/>
      </w:pPr>
      <w:r>
        <w:rPr>
          <w:b/>
          <w:color w:val="1F497D"/>
          <w:sz w:val="20"/>
        </w:rPr>
        <w:t xml:space="preserve">Periodo: </w:t>
      </w:r>
      <w:r>
        <w:rPr>
          <w:sz w:val="20"/>
        </w:rPr>
        <w:t>Aproximadamente 1996–2006 (mensual)</w:t>
      </w:r>
    </w:p>
    <w:p>
      <w:pPr>
        <w:spacing w:after="40"/>
      </w:pPr>
      <w:r>
        <w:rPr>
          <w:b/>
          <w:color w:val="1F497D"/>
          <w:sz w:val="20"/>
        </w:rPr>
        <w:t xml:space="preserve">Variables utilizadas: </w:t>
      </w:r>
      <w:r>
        <w:rPr>
          <w:sz w:val="20"/>
        </w:rPr>
        <w:t>Tasa de interés de política, oferta monetaria, crédito bancario, tipo de cambio, inflación, producción industrial.</w:t>
      </w:r>
    </w:p>
    <w:p>
      <w:pPr>
        <w:spacing w:after="40"/>
      </w:pPr>
      <w:r>
        <w:rPr>
          <w:b/>
          <w:color w:val="1F497D"/>
          <w:sz w:val="20"/>
        </w:rPr>
        <w:t xml:space="preserve">Metodología: </w:t>
      </w:r>
      <w:r>
        <w:rPr>
          <w:sz w:val="20"/>
        </w:rPr>
        <w:t>VAR con identificación de Cholesky, variante de economía pequeña abierta. Funciones impulso-respuesta ortogonalizadas. Descomposición de varianza para evaluar la contribución de cada canal.</w:t>
      </w:r>
    </w:p>
    <w:p>
      <w:pPr>
        <w:spacing w:after="40"/>
      </w:pPr>
      <w:r>
        <w:rPr>
          <w:b/>
          <w:color w:val="1F497D"/>
          <w:sz w:val="20"/>
        </w:rPr>
        <w:t xml:space="preserve">Resultados principales: </w:t>
      </w:r>
      <w:r>
        <w:rPr>
          <w:sz w:val="20"/>
        </w:rPr>
        <w:t>La capacidad de la política monetaria para influir en la economía es limitada. El canal de tasa de interés es menos efectivo que el canal cambiario, dada la alta dolarización. La transmisión es incompleta y lenta en comparación con economías con sistemas financieros más desarrollados.</w:t>
      </w:r>
    </w:p>
    <w:p>
      <w:pPr>
        <w:spacing w:after="40"/>
      </w:pPr>
      <w:r>
        <w:rPr>
          <w:b/>
          <w:color w:val="1F497D"/>
          <w:sz w:val="20"/>
        </w:rPr>
        <w:t xml:space="preserve">Relación con nuestro modelo: </w:t>
      </w:r>
      <w:r>
        <w:rPr>
          <w:sz w:val="20"/>
        </w:rPr>
        <w:t>Armenia comparte con el Perú de 1996-2006 la dolarización parcial y el tránsito hacia IT. Permite una comparación: mientras en Armenia el canal cambiario domina, en Perú post-2002 el canal de tasa de interés gana relevancia. Valida el diseño del VAR con tasa de referencia, tipo de cambio, TAMN e inflación.</w:t>
      </w:r>
    </w:p>
    <w:p>
      <w:pPr>
        <w:spacing w:after="40"/>
      </w:pPr>
      <w:r>
        <w:rPr>
          <w:b/>
          <w:color w:val="1F497D"/>
          <w:sz w:val="20"/>
        </w:rPr>
        <w:t xml:space="preserve">Utilidad para la literatura: </w:t>
      </w:r>
      <w:r>
        <w:rPr>
          <w:sz w:val="20"/>
        </w:rPr>
        <w:t>Caso comparativo de economía pequeña abierta con dolarización. Muestra que el modelo VAR con Cholesky es aplicable en contextos similares al peruano y que los canales de transmisión dependen del grado de desarrollo financiero y dolarización.</w:t>
      </w:r>
    </w:p>
    <w:p>
      <w:pPr>
        <w:spacing w:before="120" w:after="200"/>
      </w:pPr>
      <w:r>
        <w:rPr>
          <w:color w:val="CCCCCC"/>
          <w:sz w:val="16"/>
        </w:rPr>
        <w:t>──────────────────────────────────────────────────────────────────────────────────────────</w:t>
      </w:r>
    </w:p>
    <w:p>
      <w:r>
        <w:br w:type="page"/>
      </w:r>
    </w:p>
    <w:p>
      <w:pPr>
        <w:spacing w:before="320" w:after="80"/>
      </w:pPr>
      <w:r>
        <w:rPr>
          <w:b/>
          <w:color w:val="2E74B5"/>
          <w:sz w:val="26"/>
        </w:rPr>
        <w:t>Tabla Síntesis de Papers Empíricos</w:t>
      </w:r>
    </w:p>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fill="1F497D" w:val="clear"/>
          </w:tcPr>
          <w:p>
            <w:r>
              <w:rPr>
                <w:b/>
                <w:color w:val="FFFFFF"/>
                <w:sz w:val="18"/>
              </w:rPr>
              <w:t>Autor(es) y año</w:t>
            </w:r>
          </w:p>
        </w:tc>
        <w:tc>
          <w:tcPr>
            <w:tcW w:type="dxa" w:w="1464"/>
            <w:shd w:fill="1F497D" w:val="clear"/>
          </w:tcPr>
          <w:p>
            <w:r>
              <w:rPr>
                <w:b/>
                <w:color w:val="FFFFFF"/>
                <w:sz w:val="18"/>
              </w:rPr>
              <w:t>País/Región</w:t>
            </w:r>
          </w:p>
        </w:tc>
        <w:tc>
          <w:tcPr>
            <w:tcW w:type="dxa" w:w="1464"/>
            <w:shd w:fill="1F497D" w:val="clear"/>
          </w:tcPr>
          <w:p>
            <w:r>
              <w:rPr>
                <w:b/>
                <w:color w:val="FFFFFF"/>
                <w:sz w:val="18"/>
              </w:rPr>
              <w:t>Periodo</w:t>
            </w:r>
          </w:p>
        </w:tc>
        <w:tc>
          <w:tcPr>
            <w:tcW w:type="dxa" w:w="1464"/>
            <w:shd w:fill="1F497D" w:val="clear"/>
          </w:tcPr>
          <w:p>
            <w:r>
              <w:rPr>
                <w:b/>
                <w:color w:val="FFFFFF"/>
                <w:sz w:val="18"/>
              </w:rPr>
              <w:t>Metodología</w:t>
            </w:r>
          </w:p>
        </w:tc>
        <w:tc>
          <w:tcPr>
            <w:tcW w:type="dxa" w:w="1464"/>
            <w:shd w:fill="1F497D" w:val="clear"/>
          </w:tcPr>
          <w:p>
            <w:r>
              <w:rPr>
                <w:b/>
                <w:color w:val="FFFFFF"/>
                <w:sz w:val="18"/>
              </w:rPr>
              <w:t>Variable clave</w:t>
            </w:r>
          </w:p>
        </w:tc>
        <w:tc>
          <w:tcPr>
            <w:tcW w:type="dxa" w:w="1464"/>
            <w:shd w:fill="1F497D" w:val="clear"/>
          </w:tcPr>
          <w:p>
            <w:r>
              <w:rPr>
                <w:b/>
                <w:color w:val="FFFFFF"/>
                <w:sz w:val="18"/>
              </w:rPr>
              <w:t>Canal analizado</w:t>
            </w:r>
          </w:p>
        </w:tc>
      </w:tr>
      <w:tr>
        <w:tc>
          <w:tcPr>
            <w:tcW w:type="dxa" w:w="1464"/>
            <w:shd w:fill="F2F2F2" w:val="clear"/>
          </w:tcPr>
          <w:p>
            <w:r>
              <w:rPr>
                <w:sz w:val="18"/>
              </w:rPr>
              <w:t>Rossini &amp; Vega (2008)</w:t>
            </w:r>
          </w:p>
        </w:tc>
        <w:tc>
          <w:tcPr>
            <w:tcW w:type="dxa" w:w="1464"/>
            <w:shd w:fill="F2F2F2" w:val="clear"/>
          </w:tcPr>
          <w:p>
            <w:r>
              <w:rPr>
                <w:sz w:val="18"/>
              </w:rPr>
              <w:t>Perú</w:t>
            </w:r>
          </w:p>
        </w:tc>
        <w:tc>
          <w:tcPr>
            <w:tcW w:type="dxa" w:w="1464"/>
            <w:shd w:fill="F2F2F2" w:val="clear"/>
          </w:tcPr>
          <w:p>
            <w:r>
              <w:rPr>
                <w:sz w:val="18"/>
              </w:rPr>
              <w:t>1996–2006</w:t>
            </w:r>
          </w:p>
        </w:tc>
        <w:tc>
          <w:tcPr>
            <w:tcW w:type="dxa" w:w="1464"/>
            <w:shd w:fill="F2F2F2" w:val="clear"/>
          </w:tcPr>
          <w:p>
            <w:r>
              <w:rPr>
                <w:sz w:val="18"/>
              </w:rPr>
              <w:t>VAR Cholesky</w:t>
            </w:r>
          </w:p>
        </w:tc>
        <w:tc>
          <w:tcPr>
            <w:tcW w:type="dxa" w:w="1464"/>
            <w:shd w:fill="F2F2F2" w:val="clear"/>
          </w:tcPr>
          <w:p>
            <w:r>
              <w:rPr>
                <w:sz w:val="18"/>
              </w:rPr>
              <w:t>Tasa ref., tc, inflación</w:t>
            </w:r>
          </w:p>
        </w:tc>
        <w:tc>
          <w:tcPr>
            <w:tcW w:type="dxa" w:w="1464"/>
            <w:shd w:fill="F2F2F2" w:val="clear"/>
          </w:tcPr>
          <w:p>
            <w:r>
              <w:rPr>
                <w:sz w:val="18"/>
              </w:rPr>
              <w:t>Tasa de interés y cambiario</w:t>
            </w:r>
          </w:p>
        </w:tc>
      </w:tr>
      <w:tr>
        <w:tc>
          <w:tcPr>
            <w:tcW w:type="dxa" w:w="1464"/>
            <w:shd w:fill="FFFFFF" w:val="clear"/>
          </w:tcPr>
          <w:p>
            <w:r>
              <w:rPr>
                <w:sz w:val="18"/>
              </w:rPr>
              <w:t>Pérez Rojo &amp; Rodríguez (2024)</w:t>
            </w:r>
          </w:p>
        </w:tc>
        <w:tc>
          <w:tcPr>
            <w:tcW w:type="dxa" w:w="1464"/>
            <w:shd w:fill="FFFFFF" w:val="clear"/>
          </w:tcPr>
          <w:p>
            <w:r>
              <w:rPr>
                <w:sz w:val="18"/>
              </w:rPr>
              <w:t>Perú</w:t>
            </w:r>
          </w:p>
        </w:tc>
        <w:tc>
          <w:tcPr>
            <w:tcW w:type="dxa" w:w="1464"/>
            <w:shd w:fill="FFFFFF" w:val="clear"/>
          </w:tcPr>
          <w:p>
            <w:r>
              <w:rPr>
                <w:sz w:val="18"/>
              </w:rPr>
              <w:t>1996–2018</w:t>
            </w:r>
          </w:p>
        </w:tc>
        <w:tc>
          <w:tcPr>
            <w:tcW w:type="dxa" w:w="1464"/>
            <w:shd w:fill="FFFFFF" w:val="clear"/>
          </w:tcPr>
          <w:p>
            <w:r>
              <w:rPr>
                <w:sz w:val="18"/>
              </w:rPr>
              <w:t>TVP-VAR-SV</w:t>
            </w:r>
          </w:p>
        </w:tc>
        <w:tc>
          <w:tcPr>
            <w:tcW w:type="dxa" w:w="1464"/>
            <w:shd w:fill="FFFFFF" w:val="clear"/>
          </w:tcPr>
          <w:p>
            <w:r>
              <w:rPr>
                <w:sz w:val="18"/>
              </w:rPr>
              <w:t>Tasa política, PBI, inflación</w:t>
            </w:r>
          </w:p>
        </w:tc>
        <w:tc>
          <w:tcPr>
            <w:tcW w:type="dxa" w:w="1464"/>
            <w:shd w:fill="FFFFFF" w:val="clear"/>
          </w:tcPr>
          <w:p>
            <w:r>
              <w:rPr>
                <w:sz w:val="18"/>
              </w:rPr>
              <w:t>Tasa de interés</w:t>
            </w:r>
          </w:p>
        </w:tc>
      </w:tr>
      <w:tr>
        <w:tc>
          <w:tcPr>
            <w:tcW w:type="dxa" w:w="1464"/>
            <w:shd w:fill="F2F2F2" w:val="clear"/>
          </w:tcPr>
          <w:p>
            <w:r>
              <w:rPr>
                <w:sz w:val="18"/>
              </w:rPr>
              <w:t>Quintero Otero (2015)</w:t>
            </w:r>
          </w:p>
        </w:tc>
        <w:tc>
          <w:tcPr>
            <w:tcW w:type="dxa" w:w="1464"/>
            <w:shd w:fill="F2F2F2" w:val="clear"/>
          </w:tcPr>
          <w:p>
            <w:r>
              <w:rPr>
                <w:sz w:val="18"/>
              </w:rPr>
              <w:t>AL (5 países)</w:t>
            </w:r>
          </w:p>
        </w:tc>
        <w:tc>
          <w:tcPr>
            <w:tcW w:type="dxa" w:w="1464"/>
            <w:shd w:fill="F2F2F2" w:val="clear"/>
          </w:tcPr>
          <w:p>
            <w:r>
              <w:rPr>
                <w:sz w:val="18"/>
              </w:rPr>
              <w:t>~2000–2013</w:t>
            </w:r>
          </w:p>
        </w:tc>
        <w:tc>
          <w:tcPr>
            <w:tcW w:type="dxa" w:w="1464"/>
            <w:shd w:fill="F2F2F2" w:val="clear"/>
          </w:tcPr>
          <w:p>
            <w:r>
              <w:rPr>
                <w:sz w:val="18"/>
              </w:rPr>
              <w:t>SVAR</w:t>
            </w:r>
          </w:p>
        </w:tc>
        <w:tc>
          <w:tcPr>
            <w:tcW w:type="dxa" w:w="1464"/>
            <w:shd w:fill="F2F2F2" w:val="clear"/>
          </w:tcPr>
          <w:p>
            <w:r>
              <w:rPr>
                <w:sz w:val="18"/>
              </w:rPr>
              <w:t>Tasa política, crédito, tc</w:t>
            </w:r>
          </w:p>
        </w:tc>
        <w:tc>
          <w:tcPr>
            <w:tcW w:type="dxa" w:w="1464"/>
            <w:shd w:fill="F2F2F2" w:val="clear"/>
          </w:tcPr>
          <w:p>
            <w:r>
              <w:rPr>
                <w:sz w:val="18"/>
              </w:rPr>
              <w:t>Crédito, tasa, cambiario</w:t>
            </w:r>
          </w:p>
        </w:tc>
      </w:tr>
      <w:tr>
        <w:tc>
          <w:tcPr>
            <w:tcW w:type="dxa" w:w="1464"/>
            <w:shd w:fill="FFFFFF" w:val="clear"/>
          </w:tcPr>
          <w:p>
            <w:r>
              <w:rPr>
                <w:sz w:val="18"/>
              </w:rPr>
              <w:t>Catão &amp; Pagan (2010)</w:t>
            </w:r>
          </w:p>
        </w:tc>
        <w:tc>
          <w:tcPr>
            <w:tcW w:type="dxa" w:w="1464"/>
            <w:shd w:fill="FFFFFF" w:val="clear"/>
          </w:tcPr>
          <w:p>
            <w:r>
              <w:rPr>
                <w:sz w:val="18"/>
              </w:rPr>
              <w:t>Brasil y Chile</w:t>
            </w:r>
          </w:p>
        </w:tc>
        <w:tc>
          <w:tcPr>
            <w:tcW w:type="dxa" w:w="1464"/>
            <w:shd w:fill="FFFFFF" w:val="clear"/>
          </w:tcPr>
          <w:p>
            <w:r>
              <w:rPr>
                <w:sz w:val="18"/>
              </w:rPr>
              <w:t>~1994–2007</w:t>
            </w:r>
          </w:p>
        </w:tc>
        <w:tc>
          <w:tcPr>
            <w:tcW w:type="dxa" w:w="1464"/>
            <w:shd w:fill="FFFFFF" w:val="clear"/>
          </w:tcPr>
          <w:p>
            <w:r>
              <w:rPr>
                <w:sz w:val="18"/>
              </w:rPr>
              <w:t>SVAR expectaciones</w:t>
            </w:r>
          </w:p>
        </w:tc>
        <w:tc>
          <w:tcPr>
            <w:tcW w:type="dxa" w:w="1464"/>
            <w:shd w:fill="FFFFFF" w:val="clear"/>
          </w:tcPr>
          <w:p>
            <w:r>
              <w:rPr>
                <w:sz w:val="18"/>
              </w:rPr>
              <w:t>Crédito, tc, producción</w:t>
            </w:r>
          </w:p>
        </w:tc>
        <w:tc>
          <w:tcPr>
            <w:tcW w:type="dxa" w:w="1464"/>
            <w:shd w:fill="FFFFFF" w:val="clear"/>
          </w:tcPr>
          <w:p>
            <w:r>
              <w:rPr>
                <w:sz w:val="18"/>
              </w:rPr>
              <w:t>Crediticio y cambiario</w:t>
            </w:r>
          </w:p>
        </w:tc>
      </w:tr>
      <w:tr>
        <w:tc>
          <w:tcPr>
            <w:tcW w:type="dxa" w:w="1464"/>
            <w:shd w:fill="F2F2F2" w:val="clear"/>
          </w:tcPr>
          <w:p>
            <w:r>
              <w:rPr>
                <w:sz w:val="18"/>
              </w:rPr>
              <w:t>Quintero et al. (2024)</w:t>
            </w:r>
          </w:p>
        </w:tc>
        <w:tc>
          <w:tcPr>
            <w:tcW w:type="dxa" w:w="1464"/>
            <w:shd w:fill="F2F2F2" w:val="clear"/>
          </w:tcPr>
          <w:p>
            <w:r>
              <w:rPr>
                <w:sz w:val="18"/>
              </w:rPr>
              <w:t>AL (4 países)</w:t>
            </w:r>
          </w:p>
        </w:tc>
        <w:tc>
          <w:tcPr>
            <w:tcW w:type="dxa" w:w="1464"/>
            <w:shd w:fill="F2F2F2" w:val="clear"/>
          </w:tcPr>
          <w:p>
            <w:r>
              <w:rPr>
                <w:sz w:val="18"/>
              </w:rPr>
              <w:t>2013–2023</w:t>
            </w:r>
          </w:p>
        </w:tc>
        <w:tc>
          <w:tcPr>
            <w:tcW w:type="dxa" w:w="1464"/>
            <w:shd w:fill="F2F2F2" w:val="clear"/>
          </w:tcPr>
          <w:p>
            <w:r>
              <w:rPr>
                <w:sz w:val="18"/>
              </w:rPr>
              <w:t>NARDL</w:t>
            </w:r>
          </w:p>
        </w:tc>
        <w:tc>
          <w:tcPr>
            <w:tcW w:type="dxa" w:w="1464"/>
            <w:shd w:fill="F2F2F2" w:val="clear"/>
          </w:tcPr>
          <w:p>
            <w:r>
              <w:rPr>
                <w:sz w:val="18"/>
              </w:rPr>
              <w:t>Tasas activas</w:t>
            </w:r>
          </w:p>
        </w:tc>
        <w:tc>
          <w:tcPr>
            <w:tcW w:type="dxa" w:w="1464"/>
            <w:shd w:fill="F2F2F2" w:val="clear"/>
          </w:tcPr>
          <w:p>
            <w:r>
              <w:rPr>
                <w:sz w:val="18"/>
              </w:rPr>
              <w:t>Pass-through tasas activas</w:t>
            </w:r>
          </w:p>
        </w:tc>
      </w:tr>
      <w:tr>
        <w:tc>
          <w:tcPr>
            <w:tcW w:type="dxa" w:w="1464"/>
            <w:shd w:fill="FFFFFF" w:val="clear"/>
          </w:tcPr>
          <w:p>
            <w:r>
              <w:rPr>
                <w:sz w:val="18"/>
              </w:rPr>
              <w:t>Cushman &amp; Zha (1997)</w:t>
            </w:r>
          </w:p>
        </w:tc>
        <w:tc>
          <w:tcPr>
            <w:tcW w:type="dxa" w:w="1464"/>
            <w:shd w:fill="FFFFFF" w:val="clear"/>
          </w:tcPr>
          <w:p>
            <w:r>
              <w:rPr>
                <w:sz w:val="18"/>
              </w:rPr>
              <w:t>Canadá</w:t>
            </w:r>
          </w:p>
        </w:tc>
        <w:tc>
          <w:tcPr>
            <w:tcW w:type="dxa" w:w="1464"/>
            <w:shd w:fill="FFFFFF" w:val="clear"/>
          </w:tcPr>
          <w:p>
            <w:r>
              <w:rPr>
                <w:sz w:val="18"/>
              </w:rPr>
              <w:t>1974–1993</w:t>
            </w:r>
          </w:p>
        </w:tc>
        <w:tc>
          <w:tcPr>
            <w:tcW w:type="dxa" w:w="1464"/>
            <w:shd w:fill="FFFFFF" w:val="clear"/>
          </w:tcPr>
          <w:p>
            <w:r>
              <w:rPr>
                <w:sz w:val="18"/>
              </w:rPr>
              <w:t>SVAR no-recursivo</w:t>
            </w:r>
          </w:p>
        </w:tc>
        <w:tc>
          <w:tcPr>
            <w:tcW w:type="dxa" w:w="1464"/>
            <w:shd w:fill="FFFFFF" w:val="clear"/>
          </w:tcPr>
          <w:p>
            <w:r>
              <w:rPr>
                <w:sz w:val="18"/>
              </w:rPr>
              <w:t>Tasa política, tc</w:t>
            </w:r>
          </w:p>
        </w:tc>
        <w:tc>
          <w:tcPr>
            <w:tcW w:type="dxa" w:w="1464"/>
            <w:shd w:fill="FFFFFF" w:val="clear"/>
          </w:tcPr>
          <w:p>
            <w:r>
              <w:rPr>
                <w:sz w:val="18"/>
              </w:rPr>
              <w:t>Cambiario (e. abierta)</w:t>
            </w:r>
          </w:p>
        </w:tc>
      </w:tr>
      <w:tr>
        <w:tc>
          <w:tcPr>
            <w:tcW w:type="dxa" w:w="1464"/>
            <w:shd w:fill="F2F2F2" w:val="clear"/>
          </w:tcPr>
          <w:p>
            <w:r>
              <w:rPr>
                <w:sz w:val="18"/>
              </w:rPr>
              <w:t>Kim &amp; Roubini (2000)</w:t>
            </w:r>
          </w:p>
        </w:tc>
        <w:tc>
          <w:tcPr>
            <w:tcW w:type="dxa" w:w="1464"/>
            <w:shd w:fill="F2F2F2" w:val="clear"/>
          </w:tcPr>
          <w:p>
            <w:r>
              <w:rPr>
                <w:sz w:val="18"/>
              </w:rPr>
              <w:t>G7</w:t>
            </w:r>
          </w:p>
        </w:tc>
        <w:tc>
          <w:tcPr>
            <w:tcW w:type="dxa" w:w="1464"/>
            <w:shd w:fill="F2F2F2" w:val="clear"/>
          </w:tcPr>
          <w:p>
            <w:r>
              <w:rPr>
                <w:sz w:val="18"/>
              </w:rPr>
              <w:t>~1975–1992</w:t>
            </w:r>
          </w:p>
        </w:tc>
        <w:tc>
          <w:tcPr>
            <w:tcW w:type="dxa" w:w="1464"/>
            <w:shd w:fill="F2F2F2" w:val="clear"/>
          </w:tcPr>
          <w:p>
            <w:r>
              <w:rPr>
                <w:sz w:val="18"/>
              </w:rPr>
              <w:t>SVAR no-recursivo</w:t>
            </w:r>
          </w:p>
        </w:tc>
        <w:tc>
          <w:tcPr>
            <w:tcW w:type="dxa" w:w="1464"/>
            <w:shd w:fill="F2F2F2" w:val="clear"/>
          </w:tcPr>
          <w:p>
            <w:r>
              <w:rPr>
                <w:sz w:val="18"/>
              </w:rPr>
              <w:t>Tasa política, tc, precios</w:t>
            </w:r>
          </w:p>
        </w:tc>
        <w:tc>
          <w:tcPr>
            <w:tcW w:type="dxa" w:w="1464"/>
            <w:shd w:fill="F2F2F2" w:val="clear"/>
          </w:tcPr>
          <w:p>
            <w:r>
              <w:rPr>
                <w:sz w:val="18"/>
              </w:rPr>
              <w:t>Cambiario (puzzles)</w:t>
            </w:r>
          </w:p>
        </w:tc>
      </w:tr>
      <w:tr>
        <w:tc>
          <w:tcPr>
            <w:tcW w:type="dxa" w:w="1464"/>
            <w:shd w:fill="FFFFFF" w:val="clear"/>
          </w:tcPr>
          <w:p>
            <w:r>
              <w:rPr>
                <w:sz w:val="18"/>
              </w:rPr>
              <w:t>Mishra et al. (2012)</w:t>
            </w:r>
          </w:p>
        </w:tc>
        <w:tc>
          <w:tcPr>
            <w:tcW w:type="dxa" w:w="1464"/>
            <w:shd w:fill="FFFFFF" w:val="clear"/>
          </w:tcPr>
          <w:p>
            <w:r>
              <w:rPr>
                <w:sz w:val="18"/>
              </w:rPr>
              <w:t>Países en desarrollo</w:t>
            </w:r>
          </w:p>
        </w:tc>
        <w:tc>
          <w:tcPr>
            <w:tcW w:type="dxa" w:w="1464"/>
            <w:shd w:fill="FFFFFF" w:val="clear"/>
          </w:tcPr>
          <w:p>
            <w:r>
              <w:rPr>
                <w:sz w:val="18"/>
              </w:rPr>
              <w:t>Hasta 2012</w:t>
            </w:r>
          </w:p>
        </w:tc>
        <w:tc>
          <w:tcPr>
            <w:tcW w:type="dxa" w:w="1464"/>
            <w:shd w:fill="FFFFFF" w:val="clear"/>
          </w:tcPr>
          <w:p>
            <w:r>
              <w:rPr>
                <w:sz w:val="18"/>
              </w:rPr>
              <w:t>Meta-análisis VAR</w:t>
            </w:r>
          </w:p>
        </w:tc>
        <w:tc>
          <w:tcPr>
            <w:tcW w:type="dxa" w:w="1464"/>
            <w:shd w:fill="FFFFFF" w:val="clear"/>
          </w:tcPr>
          <w:p>
            <w:r>
              <w:rPr>
                <w:sz w:val="18"/>
              </w:rPr>
              <w:t>Crédito, tasas, tc</w:t>
            </w:r>
          </w:p>
        </w:tc>
        <w:tc>
          <w:tcPr>
            <w:tcW w:type="dxa" w:w="1464"/>
            <w:shd w:fill="FFFFFF" w:val="clear"/>
          </w:tcPr>
          <w:p>
            <w:r>
              <w:rPr>
                <w:sz w:val="18"/>
              </w:rPr>
              <w:t>Crediticio (débil)</w:t>
            </w:r>
          </w:p>
        </w:tc>
      </w:tr>
      <w:tr>
        <w:tc>
          <w:tcPr>
            <w:tcW w:type="dxa" w:w="1464"/>
            <w:shd w:fill="F2F2F2" w:val="clear"/>
          </w:tcPr>
          <w:p>
            <w:r>
              <w:rPr>
                <w:sz w:val="18"/>
              </w:rPr>
              <w:t>Dabla-Norris &amp; Floerkemeier (2006)</w:t>
            </w:r>
          </w:p>
        </w:tc>
        <w:tc>
          <w:tcPr>
            <w:tcW w:type="dxa" w:w="1464"/>
            <w:shd w:fill="F2F2F2" w:val="clear"/>
          </w:tcPr>
          <w:p>
            <w:r>
              <w:rPr>
                <w:sz w:val="18"/>
              </w:rPr>
              <w:t>Armenia</w:t>
            </w:r>
          </w:p>
        </w:tc>
        <w:tc>
          <w:tcPr>
            <w:tcW w:type="dxa" w:w="1464"/>
            <w:shd w:fill="F2F2F2" w:val="clear"/>
          </w:tcPr>
          <w:p>
            <w:r>
              <w:rPr>
                <w:sz w:val="18"/>
              </w:rPr>
              <w:t>~1996–2006</w:t>
            </w:r>
          </w:p>
        </w:tc>
        <w:tc>
          <w:tcPr>
            <w:tcW w:type="dxa" w:w="1464"/>
            <w:shd w:fill="F2F2F2" w:val="clear"/>
          </w:tcPr>
          <w:p>
            <w:r>
              <w:rPr>
                <w:sz w:val="18"/>
              </w:rPr>
              <w:t>VAR Cholesky</w:t>
            </w:r>
          </w:p>
        </w:tc>
        <w:tc>
          <w:tcPr>
            <w:tcW w:type="dxa" w:w="1464"/>
            <w:shd w:fill="F2F2F2" w:val="clear"/>
          </w:tcPr>
          <w:p>
            <w:r>
              <w:rPr>
                <w:sz w:val="18"/>
              </w:rPr>
              <w:t>Tasa política, crédito, tc</w:t>
            </w:r>
          </w:p>
        </w:tc>
        <w:tc>
          <w:tcPr>
            <w:tcW w:type="dxa" w:w="1464"/>
            <w:shd w:fill="F2F2F2" w:val="clear"/>
          </w:tcPr>
          <w:p>
            <w:r>
              <w:rPr>
                <w:sz w:val="18"/>
              </w:rPr>
              <w:t>Tasa de interés y cambiario</w:t>
            </w:r>
          </w:p>
        </w:tc>
      </w:tr>
    </w:tbl>
    <w:p/>
    <w:p>
      <w:pPr>
        <w:spacing w:before="320" w:after="80"/>
      </w:pPr>
      <w:r>
        <w:rPr>
          <w:b/>
          <w:color w:val="2E74B5"/>
          <w:sz w:val="26"/>
        </w:rPr>
        <w:t>Síntesis para la Revisión de Literatura</w:t>
      </w:r>
    </w:p>
    <w:p>
      <w:pPr>
        <w:spacing w:after="120"/>
      </w:pPr>
      <w:r>
        <w:rPr>
          <w:sz w:val="20"/>
        </w:rPr>
        <w:t>Los nueve papers seleccionados cubren de forma coherente los distintos aspectos del canal crediticio y la transmisión monetaria relevantes para el modelo VAR estimado. Los dos estudios centrados en Perú (Rossini &amp; Vega, 2008; Pérez Rojo &amp; Rodríguez, 2024) proveen el antecedente directo y la validación empírica para el periodo analizado. Los estudios regionales (Quintero Otero, 2015; Catão &amp; Pagan, 2010; Quintero et al., 2024) muestran que los resultados para Perú son consistentes con el patrón latinoamericano: canal crediticio activo, relevancia del tipo de cambio y pass-through significativo de la tasa de política hacia las tasas activas.</w:t>
      </w:r>
    </w:p>
    <w:p>
      <w:pPr>
        <w:spacing w:after="120"/>
      </w:pPr>
      <w:r>
        <w:rPr>
          <w:sz w:val="20"/>
        </w:rPr>
        <w:t>Los papers metodológicos (Cushman &amp; Zha, 1997; Kim &amp; Roubini, 2000) justifican la elección del ordenamiento de Cholesky para una economía pequeña abierta como Perú, y permiten discutir la posible presencia de puzzles cambiarios en el VAR. Los estudios sobre economías en desarrollo (Mishra et al., 2012; Dabla-Norris &amp; Floerkemeier, 2006) ofrecen un marco comparativo para evaluar la efectividad de la transmisión monetaria en Perú frente a otras economías emergentes.</w:t>
      </w:r>
    </w:p>
    <w:p>
      <w:r>
        <w:rPr>
          <w:i/>
          <w:color w:val="555555"/>
          <w:sz w:val="18"/>
        </w:rPr>
        <w:t>Todos los papers citados están indexados en Scopus, ScienceDirect (Elsevier) o publicados por el FMI o el BIS. Las referencias están en formato APA 7ª edición con DOI verificado.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