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4"/>
        </w:rPr>
        <w:t>Justificación Bibliográfica del Ordenamiento VAR</w:t>
      </w:r>
    </w:p>
    <w:p/>
    <w:p>
      <w:pPr>
        <w:jc w:val="center"/>
      </w:pPr>
      <w:r>
        <w:rPr>
          <w:color w:val="2E74B5"/>
          <w:sz w:val="24"/>
        </w:rPr>
        <w:t>Índice de Presión Cambiaria (IPC) → Crédito → Actividad Económica → Inflación</w:t>
        <w:br/>
        <w:t>Fuentes: Scopus y ScienceDirect</w:t>
      </w:r>
    </w:p>
    <w:p/>
    <w:p>
      <w:pPr>
        <w:jc w:val="center"/>
      </w:pPr>
      <w:r>
        <w:rPr>
          <w:color w:val="555555"/>
          <w:sz w:val="20"/>
        </w:rPr>
        <w:t>Teoría y Política Monetaria  |  ULIMA 2026-1</w:t>
        <w:br/>
        <w:t>Papers empíricos para la justificación teórica y metodológica</w:t>
        <w:br/>
        <w:t>Referencias en formato APA 7ª edición</w:t>
      </w:r>
    </w:p>
    <w:p>
      <w:r>
        <w:br w:type="page"/>
      </w:r>
    </w:p>
    <w:p>
      <w:pPr>
        <w:spacing w:before="360" w:after="120"/>
      </w:pPr>
      <w:r>
        <w:rPr>
          <w:b/>
          <w:color w:val="2E74B5"/>
          <w:sz w:val="26"/>
        </w:rPr>
        <w:t>1. Lógica del Ordenamiento Causal Propuesto</w:t>
      </w:r>
    </w:p>
    <w:p>
      <w:pPr>
        <w:spacing w:before="160" w:after="160"/>
        <w:jc w:val="center"/>
      </w:pPr>
      <w:r>
        <w:rPr>
          <w:b/>
          <w:color w:val="802020"/>
          <w:sz w:val="24"/>
        </w:rPr>
        <w:t>IPC  →  Crédito  →  Actividad Económica  →  Inflación</w:t>
        <w:br/>
        <w:t>(versión simple:  IPC  →  Actividad Económica  →  Inflación)</w:t>
      </w:r>
    </w:p>
    <w:p>
      <w:pPr>
        <w:spacing w:after="120"/>
      </w:pPr>
      <w:r>
        <w:rPr>
          <w:sz w:val="20"/>
        </w:rPr>
        <w:t>El Índice de Presión Cambiaria (IPC) sintetiza las tensiones sobre el tipo de cambio nominal y las reservas internacionales del banco central. Cuando el IPC aumenta (mayor presión depreciativa), activa dos canales macroeconómicos encadenados:</w:t>
      </w:r>
    </w:p>
    <w:p>
      <w:pPr>
        <w:spacing w:after="120"/>
      </w:pPr>
      <w:r>
        <w:rPr>
          <w:sz w:val="20"/>
        </w:rPr>
        <w:t xml:space="preserve">   1. Canal financiero: la depreciación eleva el costo del endeudamiento en moneda extranjera y deteriora los balances de bancos y empresas con deuda dolarizada, lo que contrae el crédito disponible (credit crunch).</w:t>
      </w:r>
    </w:p>
    <w:p>
      <w:pPr>
        <w:spacing w:after="120"/>
      </w:pPr>
      <w:r>
        <w:rPr>
          <w:sz w:val="20"/>
        </w:rPr>
        <w:t xml:space="preserve">   2. Canal de actividad: la restricción crediticia reduce la inversión y el consumo, deprimiendo la actividad económica (PIB).</w:t>
      </w:r>
    </w:p>
    <w:p>
      <w:pPr>
        <w:spacing w:after="120"/>
      </w:pPr>
      <w:r>
        <w:rPr>
          <w:sz w:val="20"/>
        </w:rPr>
        <w:t xml:space="preserve">   3. Canal de precios: el menor PIB junto con el pass-through cambiario elevan la inflación, cerrando la cadena causal.</w:t>
      </w:r>
    </w:p>
    <w:p>
      <w:pPr>
        <w:spacing w:after="120"/>
      </w:pPr>
      <w:r>
        <w:rPr>
          <w:sz w:val="20"/>
        </w:rPr>
        <w:t>Este ordenamiento justifica el uso de un VAR con identificación de Cholesky en el que el IPC precede al crédito, que precede a la actividad y que precede a la inflación, dado que las variables más exógenas (aquellas que reaccionan más lentamente a las demás) se colocan primero en la descomposición triangular. La evidencia empírica que sustenta cada eslabón de esta cadena se documenta a continuación.</w:t>
      </w:r>
    </w:p>
    <w:p>
      <w:r>
        <w:br w:type="page"/>
      </w:r>
    </w:p>
    <w:p>
      <w:pPr>
        <w:spacing w:before="360" w:after="120"/>
      </w:pPr>
      <w:r>
        <w:rPr>
          <w:b/>
          <w:color w:val="2E74B5"/>
          <w:sz w:val="26"/>
        </w:rPr>
        <w:t>2. Papers de Soporte — Definición y Marco Conceptual del IPC</w:t>
      </w:r>
    </w:p>
    <w:p>
      <w:pPr>
        <w:spacing w:before="280" w:after="60"/>
      </w:pPr>
      <w:r>
        <w:rPr>
          <w:b/>
          <w:color w:val="1D603A"/>
          <w:sz w:val="22"/>
        </w:rPr>
        <w:t>Paper 1 — Girton &amp; Roper (1977)  |  Base de datos: Scopus (AEA)</w:t>
      </w:r>
    </w:p>
    <w:p>
      <w:pPr>
        <w:spacing w:after="120"/>
        <w:ind w:left="720" w:hanging="720"/>
      </w:pPr>
      <w:r>
        <w:rPr>
          <w:sz w:val="20"/>
        </w:rPr>
        <w:t>Girton, L., &amp; Roper, D. (1977). A monetary model of exchange market pressure applied to the postwar Canadian experience. American Economic Review, 67(4), 537–548. https://www.jstor.org/stable/1813444</w:t>
      </w:r>
    </w:p>
    <w:p>
      <w:pPr>
        <w:spacing w:after="40"/>
      </w:pPr>
      <w:r>
        <w:rPr>
          <w:b/>
          <w:color w:val="1F497D"/>
          <w:sz w:val="20"/>
        </w:rPr>
        <w:t xml:space="preserve">Base de datos: </w:t>
      </w:r>
      <w:r>
        <w:rPr>
          <w:sz w:val="20"/>
        </w:rPr>
        <w:t>Scopus (American Economic Review — AEA, indexado en Scopus Q1)</w:t>
      </w:r>
    </w:p>
    <w:p>
      <w:pPr>
        <w:spacing w:after="40"/>
      </w:pPr>
      <w:r>
        <w:rPr>
          <w:b/>
          <w:color w:val="1F497D"/>
          <w:sz w:val="20"/>
        </w:rPr>
        <w:t xml:space="preserve">Objetivo: </w:t>
      </w:r>
      <w:r>
        <w:rPr>
          <w:sz w:val="20"/>
        </w:rPr>
        <w:t>Proponer y aplicar el primer modelo formal del Índice de Presión Cambiaria (EMP/IPC), definido como la suma ponderada de la variación del tipo de cambio y la pérdida de reservas internacionales, bajo el enfoque monetario de la balanza de pagos.</w:t>
      </w:r>
    </w:p>
    <w:p>
      <w:pPr>
        <w:spacing w:after="40"/>
      </w:pPr>
      <w:r>
        <w:rPr>
          <w:b/>
          <w:color w:val="1F497D"/>
          <w:sz w:val="20"/>
        </w:rPr>
        <w:t xml:space="preserve">Metodología: </w:t>
      </w:r>
      <w:r>
        <w:rPr>
          <w:sz w:val="20"/>
        </w:rPr>
        <w:t>Modelo monetario de la balanza de pagos estimado mediante MCO para Canadá en el período de posguerra. Introduce la identidad EMP = Δe + Δr como medida compuesta de la presión total sobre el mercado cambiario.</w:t>
      </w:r>
    </w:p>
    <w:p>
      <w:pPr>
        <w:spacing w:after="40"/>
      </w:pPr>
      <w:r>
        <w:rPr>
          <w:b/>
          <w:color w:val="1F497D"/>
          <w:sz w:val="20"/>
        </w:rPr>
        <w:t xml:space="preserve">Resultados principales: </w:t>
      </w:r>
      <w:r>
        <w:rPr>
          <w:sz w:val="20"/>
        </w:rPr>
        <w:t>El IPC responde significativamente a los diferenciales de crecimiento del crédito doméstico y a las condiciones monetarias externas. Un exceso de crédito doméstico genera presión depreciativa que se manifiesta en pérdida de reservas o depreciación.</w:t>
      </w:r>
    </w:p>
    <w:p>
      <w:pPr>
        <w:spacing w:after="40"/>
      </w:pPr>
      <w:r>
        <w:rPr>
          <w:b/>
          <w:color w:val="1F497D"/>
          <w:sz w:val="20"/>
        </w:rPr>
        <w:t xml:space="preserve">Justificación para el VAR / Granger: </w:t>
      </w:r>
      <w:r>
        <w:rPr>
          <w:sz w:val="20"/>
        </w:rPr>
        <w:t>Define formalmente la variable IPC que encabeza el ordenamiento de Cholesky propuesto. Establece que el crédito doméstico es una fuente directa de presión cambiaria (IPC), lo que fundamenta la causalidad IPC ↔ crédito en el primer eslabón de la cadena. Es el punto de partida obligatorio para cualquier investigación que use el IPC como variable endógena en un modelo VAR.</w:t>
      </w:r>
    </w:p>
    <w:p>
      <w:pPr>
        <w:spacing w:before="120" w:after="200"/>
      </w:pPr>
      <w:r>
        <w:rPr>
          <w:color w:val="CCCCCC"/>
          <w:sz w:val="16"/>
        </w:rPr>
        <w:t>──────────────────────────────────────────────────────────────────────────────────────────</w:t>
      </w:r>
    </w:p>
    <w:p>
      <w:pPr>
        <w:spacing w:before="360" w:after="120"/>
      </w:pPr>
      <w:r>
        <w:rPr>
          <w:b/>
          <w:color w:val="2E74B5"/>
          <w:sz w:val="26"/>
        </w:rPr>
        <w:t>3. Papers de Soporte — IPC y Condiciones Crediticias Globales</w:t>
      </w:r>
    </w:p>
    <w:p>
      <w:pPr>
        <w:spacing w:before="280" w:after="60"/>
      </w:pPr>
      <w:r>
        <w:rPr>
          <w:b/>
          <w:color w:val="1D603A"/>
          <w:sz w:val="22"/>
        </w:rPr>
        <w:t>Paper 2 — Keefe (2021)  |  Base de datos: ScienceDirect</w:t>
      </w:r>
    </w:p>
    <w:p>
      <w:pPr>
        <w:spacing w:after="120"/>
        <w:ind w:left="720" w:hanging="720"/>
      </w:pPr>
      <w:r>
        <w:rPr>
          <w:sz w:val="20"/>
        </w:rPr>
        <w:t>Keefe, H. G. (2021). The transmission of global monetary and credit shocks on exchange market pressure in emerging markets and developing economies. Journal of International Financial Markets, Institutions and Money, 72, 101302. https://doi.org/10.1016/j.intfin.2021.101302</w:t>
      </w:r>
    </w:p>
    <w:p>
      <w:pPr>
        <w:spacing w:after="40"/>
      </w:pPr>
      <w:r>
        <w:rPr>
          <w:b/>
          <w:color w:val="1F497D"/>
          <w:sz w:val="20"/>
        </w:rPr>
        <w:t xml:space="preserve">Base de datos: </w:t>
      </w:r>
      <w:r>
        <w:rPr>
          <w:sz w:val="20"/>
        </w:rPr>
        <w:t>ScienceDirect (Elsevier) — Journal of International Financial Markets, Institutions and Money (Scopus Q1)</w:t>
      </w:r>
    </w:p>
    <w:p>
      <w:pPr>
        <w:spacing w:after="40"/>
      </w:pPr>
      <w:r>
        <w:rPr>
          <w:b/>
          <w:color w:val="1F497D"/>
          <w:sz w:val="20"/>
        </w:rPr>
        <w:t xml:space="preserve">Objetivo: </w:t>
      </w:r>
      <w:r>
        <w:rPr>
          <w:sz w:val="20"/>
        </w:rPr>
        <w:t>Analizar cómo los shocks en las condiciones monetarias y crediticias globales de economías avanzadas se transmiten al índice de presión cambiaria (IPC/EMP) de 40 economías emergentes y en desarrollo, 1998–2016.</w:t>
      </w:r>
    </w:p>
    <w:p>
      <w:pPr>
        <w:spacing w:after="40"/>
      </w:pPr>
      <w:r>
        <w:rPr>
          <w:b/>
          <w:color w:val="1F497D"/>
          <w:sz w:val="20"/>
        </w:rPr>
        <w:t xml:space="preserve">Metodología: </w:t>
      </w:r>
      <w:r>
        <w:rPr>
          <w:sz w:val="20"/>
        </w:rPr>
        <w:t>Panel Vector Autoregression (Panel VAR) de efectos fijos. Funciones impulso-respuesta (IRF) y descomposición de varianza. Los países se clasifican por grado de apertura comercial y financiera. Identificación mediante Cholesky.</w:t>
      </w:r>
    </w:p>
    <w:p>
      <w:pPr>
        <w:spacing w:after="40"/>
      </w:pPr>
      <w:r>
        <w:rPr>
          <w:b/>
          <w:color w:val="1F497D"/>
          <w:sz w:val="20"/>
        </w:rPr>
        <w:t xml:space="preserve">Resultados principales: </w:t>
      </w:r>
      <w:r>
        <w:rPr>
          <w:sz w:val="20"/>
        </w:rPr>
        <w:t>Aumentos en la liquidez monetaria global o en el crédito global generan apreciación del IPC (menor presión) en EMDEs. Sin embargo, en condiciones de alta volatilidad financiera, la inyección de liquidez no atenúa la presión depreciativa. El tamaño del impacto depende de la apertura comercial y financiera del país. El nexo crédito ↔ IPC es bidireccional y estadísticamente robusto.</w:t>
      </w:r>
    </w:p>
    <w:p>
      <w:pPr>
        <w:spacing w:after="40"/>
      </w:pPr>
      <w:r>
        <w:rPr>
          <w:b/>
          <w:color w:val="1F497D"/>
          <w:sz w:val="20"/>
        </w:rPr>
        <w:t xml:space="preserve">Justificación para el VAR / Granger: </w:t>
      </w:r>
      <w:r>
        <w:rPr>
          <w:sz w:val="20"/>
        </w:rPr>
        <w:t>Valida empíricamente el vínculo entre crédito e IPC usando Panel VAR con Cholesky para 40 economías emergentes. Justifica incluir el IPC en el VAR antes del crédito (o con el crédito como variable mediadora), dado que las condiciones crediticias afectan y son afectadas por el IPC. El diseño panel VAR con IRF es metodológicamente equivalente al modelo propuesto para un país individual.</w:t>
      </w:r>
    </w:p>
    <w:p>
      <w:pPr>
        <w:spacing w:before="120" w:after="200"/>
      </w:pPr>
      <w:r>
        <w:rPr>
          <w:color w:val="CCCCCC"/>
          <w:sz w:val="16"/>
        </w:rPr>
        <w:t>──────────────────────────────────────────────────────────────────────────────────────────</w:t>
      </w:r>
    </w:p>
    <w:p>
      <w:pPr>
        <w:spacing w:before="280" w:after="60"/>
      </w:pPr>
      <w:r>
        <w:rPr>
          <w:b/>
          <w:color w:val="1D603A"/>
          <w:sz w:val="22"/>
        </w:rPr>
        <w:t>Paper 3 — Keefe &amp; Saha (2024)  |  Base de datos: ScienceDirect</w:t>
      </w:r>
    </w:p>
    <w:p>
      <w:pPr>
        <w:spacing w:after="120"/>
        <w:ind w:left="720" w:hanging="720"/>
      </w:pPr>
      <w:r>
        <w:rPr>
          <w:sz w:val="20"/>
        </w:rPr>
        <w:t>Keefe, H. G., &amp; Saha, S. (2024). Global uncertainty and exchange rate conditions: Assessing the impact of uncertainty shocks in emerging markets and advanced economies. Journal of International Financial Markets, Institutions and Money, 96, 102047. https://doi.org/10.1016/j.intfin.2024.102047</w:t>
      </w:r>
    </w:p>
    <w:p>
      <w:pPr>
        <w:spacing w:after="40"/>
      </w:pPr>
      <w:r>
        <w:rPr>
          <w:b/>
          <w:color w:val="1F497D"/>
          <w:sz w:val="20"/>
        </w:rPr>
        <w:t xml:space="preserve">Base de datos: </w:t>
      </w:r>
      <w:r>
        <w:rPr>
          <w:sz w:val="20"/>
        </w:rPr>
        <w:t>ScienceDirect (Elsevier) — Journal of International Financial Markets, Institutions and Money (Scopus Q1)</w:t>
      </w:r>
    </w:p>
    <w:p>
      <w:pPr>
        <w:spacing w:after="40"/>
      </w:pPr>
      <w:r>
        <w:rPr>
          <w:b/>
          <w:color w:val="1F497D"/>
          <w:sz w:val="20"/>
        </w:rPr>
        <w:t xml:space="preserve">Objetivo: </w:t>
      </w:r>
      <w:r>
        <w:rPr>
          <w:sz w:val="20"/>
        </w:rPr>
        <w:t>Evaluar cómo los shocks de incertidumbre global (económica, financiera y de política monetaria de EE. UU.) impactan el tipo de cambio bilateral, la volatilidad cambiaria y el IPC en economías emergentes y avanzadas.</w:t>
      </w:r>
    </w:p>
    <w:p>
      <w:pPr>
        <w:spacing w:after="40"/>
      </w:pPr>
      <w:r>
        <w:rPr>
          <w:b/>
          <w:color w:val="1F497D"/>
          <w:sz w:val="20"/>
        </w:rPr>
        <w:t xml:space="preserve">Metodología: </w:t>
      </w:r>
      <w:r>
        <w:rPr>
          <w:sz w:val="20"/>
        </w:rPr>
        <w:t>Global Vector Autoregression (GVAR). Funciones impulso-respuesta generalizadas. Variables: IPC, tipo de cambio bilateral, volatilidad cambiaria, VIX, incertidumbre de política económica (EPU). Muestra de múltiples países.</w:t>
      </w:r>
    </w:p>
    <w:p>
      <w:pPr>
        <w:spacing w:after="40"/>
      </w:pPr>
      <w:r>
        <w:rPr>
          <w:b/>
          <w:color w:val="1F497D"/>
          <w:sz w:val="20"/>
        </w:rPr>
        <w:t xml:space="preserve">Resultados principales: </w:t>
      </w:r>
      <w:r>
        <w:rPr>
          <w:sz w:val="20"/>
        </w:rPr>
        <w:t>Los picos de incertidumbre global generan aumentos inmediatos en la volatilidad cambiaria, acumulación de presión depreciativa (IPC elevado) y depreciación en economías emergentes. El IPC responde en la misma dirección que los shocks de incertidumbre, con efectos que se prolongan varios trimestres. Las economías avanzadas muestran respuestas distintas y más amortiguadas.</w:t>
      </w:r>
    </w:p>
    <w:p>
      <w:pPr>
        <w:spacing w:after="40"/>
      </w:pPr>
      <w:r>
        <w:rPr>
          <w:b/>
          <w:color w:val="1F497D"/>
          <w:sz w:val="20"/>
        </w:rPr>
        <w:t xml:space="preserve">Justificación para el VAR / Granger: </w:t>
      </w:r>
      <w:r>
        <w:rPr>
          <w:sz w:val="20"/>
        </w:rPr>
        <w:t>Proporciona evidencia de que el IPC es una variable que responde a condiciones exógenas (incertidumbre global, política de EE. UU.) y que antecede —en términos causales— a la dinámica macroeconómica interna. Esto respalda ubicar el IPC al inicio del ordenamiento de Cholesky. El uso de GVAR con IRF generalizadas es metodológicamente análogo al VAR propuesto.</w:t>
      </w:r>
    </w:p>
    <w:p>
      <w:pPr>
        <w:spacing w:before="120" w:after="200"/>
      </w:pPr>
      <w:r>
        <w:rPr>
          <w:color w:val="CCCCCC"/>
          <w:sz w:val="16"/>
        </w:rPr>
        <w:t>──────────────────────────────────────────────────────────────────────────────────────────</w:t>
      </w:r>
    </w:p>
    <w:p>
      <w:r>
        <w:br w:type="page"/>
      </w:r>
    </w:p>
    <w:p>
      <w:pPr>
        <w:spacing w:before="360" w:after="120"/>
      </w:pPr>
      <w:r>
        <w:rPr>
          <w:b/>
          <w:color w:val="2E74B5"/>
          <w:sz w:val="26"/>
        </w:rPr>
        <w:t>4. Papers de Soporte — Causalidad de Granger: IPC y Crédito Doméstico</w:t>
      </w:r>
    </w:p>
    <w:p>
      <w:pPr>
        <w:spacing w:before="280" w:after="60"/>
      </w:pPr>
      <w:r>
        <w:rPr>
          <w:b/>
          <w:color w:val="1D603A"/>
          <w:sz w:val="22"/>
        </w:rPr>
        <w:t>Paper 4 — Olanipekun, Güngör &amp; Olasehinde-Williams (2019)  |  Base de datos: Scopus</w:t>
      </w:r>
    </w:p>
    <w:p>
      <w:pPr>
        <w:spacing w:after="120"/>
        <w:ind w:left="720" w:hanging="720"/>
      </w:pPr>
      <w:r>
        <w:rPr>
          <w:sz w:val="20"/>
        </w:rPr>
        <w:t>Olanipekun, I. O., Güngör, H., &amp; Olasehinde-Williams, G. (2019). Unraveling the causal relationship between economic policy uncertainty and exchange market pressure in BRIC countries: Evidence from bootstrap panel Granger causality. SAGE Open, 9(2), 2158244019853903. https://doi.org/10.1177/2158244019853903</w:t>
      </w:r>
    </w:p>
    <w:p>
      <w:pPr>
        <w:spacing w:after="40"/>
      </w:pPr>
      <w:r>
        <w:rPr>
          <w:b/>
          <w:color w:val="1F497D"/>
          <w:sz w:val="20"/>
        </w:rPr>
        <w:t xml:space="preserve">Base de datos: </w:t>
      </w:r>
      <w:r>
        <w:rPr>
          <w:sz w:val="20"/>
        </w:rPr>
        <w:t>Scopus (SAGE Open — SAGE Publishing, indexado en Scopus)</w:t>
      </w:r>
    </w:p>
    <w:p>
      <w:pPr>
        <w:spacing w:after="40"/>
      </w:pPr>
      <w:r>
        <w:rPr>
          <w:b/>
          <w:color w:val="1F497D"/>
          <w:sz w:val="20"/>
        </w:rPr>
        <w:t xml:space="preserve">Objetivo: </w:t>
      </w:r>
      <w:r>
        <w:rPr>
          <w:sz w:val="20"/>
        </w:rPr>
        <w:t>Examinar la relación causal entre la incertidumbre de política económica (global y doméstica) y el IPC en las economías BRIC, con énfasis en detectar causalidad unidireccional o bidireccional mediante pruebas robustas a heterocedasticidad y dependencia de corte transversal.</w:t>
      </w:r>
    </w:p>
    <w:p>
      <w:pPr>
        <w:spacing w:after="40"/>
      </w:pPr>
      <w:r>
        <w:rPr>
          <w:b/>
          <w:color w:val="1F497D"/>
          <w:sz w:val="20"/>
        </w:rPr>
        <w:t xml:space="preserve">Metodología: </w:t>
      </w:r>
      <w:r>
        <w:rPr>
          <w:sz w:val="20"/>
        </w:rPr>
        <w:t>Bootstrap Panel Granger Causality (Kónya, 2006). Pruebas de raíz unitaria de paneles con quiebres estructurales. Prueba de dependencia de corte transversal (CD test). Datos anuales de Brasil, Rusia, India y China.</w:t>
      </w:r>
    </w:p>
    <w:p>
      <w:pPr>
        <w:spacing w:after="40"/>
      </w:pPr>
      <w:r>
        <w:rPr>
          <w:b/>
          <w:color w:val="1F497D"/>
          <w:sz w:val="20"/>
        </w:rPr>
        <w:t xml:space="preserve">Resultados principales: </w:t>
      </w:r>
      <w:r>
        <w:rPr>
          <w:sz w:val="20"/>
        </w:rPr>
        <w:t>A nivel panel: causalidad bidireccional entre incertidumbre de política económica (global y doméstica) y el IPC. Por país: China muestra causalidad bidireccional entre EPU global e IPC; India y Rusia muestran causalidad bidireccional entre EPU doméstica e IPC. El IPC Granger-causa la EPU en varios países, indicando su carácter predictivo.</w:t>
      </w:r>
    </w:p>
    <w:p>
      <w:pPr>
        <w:spacing w:after="40"/>
      </w:pPr>
      <w:r>
        <w:rPr>
          <w:b/>
          <w:color w:val="1F497D"/>
          <w:sz w:val="20"/>
        </w:rPr>
        <w:t xml:space="preserve">Justificación para el VAR / Granger: </w:t>
      </w:r>
      <w:r>
        <w:rPr>
          <w:sz w:val="20"/>
        </w:rPr>
        <w:t>Aplica directamente pruebas de causalidad de Granger para el IPC como variable endógena en un panel de economías emergentes. Confirma que el IPC tiene relaciones causales significativas con otras variables macroeconómicas, lo que justifica su inclusión en la especificación VAR y la prueba de causalidad de Granger propuesta. La metodología bootstrap robustece los resultados ante no-normalidad y heterocedasticidad.</w:t>
      </w:r>
    </w:p>
    <w:p>
      <w:pPr>
        <w:spacing w:before="120" w:after="200"/>
      </w:pPr>
      <w:r>
        <w:rPr>
          <w:color w:val="CCCCCC"/>
          <w:sz w:val="16"/>
        </w:rPr>
        <w:t>──────────────────────────────────────────────────────────────────────────────────────────</w:t>
      </w:r>
    </w:p>
    <w:p>
      <w:pPr>
        <w:spacing w:before="280" w:after="60"/>
      </w:pPr>
      <w:r>
        <w:rPr>
          <w:b/>
          <w:color w:val="1D603A"/>
          <w:sz w:val="22"/>
        </w:rPr>
        <w:t>Paper 5 — Şıklar &amp; Akça (2020)  |  Base de datos: Scopus (Ekonomika)</w:t>
      </w:r>
    </w:p>
    <w:p>
      <w:pPr>
        <w:spacing w:after="120"/>
        <w:ind w:left="720" w:hanging="720"/>
      </w:pPr>
      <w:r>
        <w:rPr>
          <w:sz w:val="20"/>
        </w:rPr>
        <w:t>Şıklar, İ., &amp; Akça, A. (2020). Exchange market pressure and monetary policy: The Turkish case. Ekonomika, 99(1), 110–130. https://doi.org/10.15388/Ekon.2020.1.7</w:t>
      </w:r>
    </w:p>
    <w:p>
      <w:pPr>
        <w:spacing w:after="40"/>
      </w:pPr>
      <w:r>
        <w:rPr>
          <w:b/>
          <w:color w:val="1F497D"/>
          <w:sz w:val="20"/>
        </w:rPr>
        <w:t xml:space="preserve">Base de datos: </w:t>
      </w:r>
      <w:r>
        <w:rPr>
          <w:sz w:val="20"/>
        </w:rPr>
        <w:t>Scopus (Ekonomika — Vilnius University, indexado en Scopus y ESCI)</w:t>
      </w:r>
    </w:p>
    <w:p>
      <w:pPr>
        <w:spacing w:after="40"/>
      </w:pPr>
      <w:r>
        <w:rPr>
          <w:b/>
          <w:color w:val="1F497D"/>
          <w:sz w:val="20"/>
        </w:rPr>
        <w:t xml:space="preserve">Objetivo: </w:t>
      </w:r>
      <w:r>
        <w:rPr>
          <w:sz w:val="20"/>
        </w:rPr>
        <w:t>Determinar la relación entre la política monetaria y el IPC en Turquía para el período 2002–2018, evaluando si los instrumentos de política monetaria —crédito doméstico y diferencial de tasas de interés— Granger-causan el IPC o viceversa.</w:t>
      </w:r>
    </w:p>
    <w:p>
      <w:pPr>
        <w:spacing w:after="40"/>
      </w:pPr>
      <w:r>
        <w:rPr>
          <w:b/>
          <w:color w:val="1F497D"/>
          <w:sz w:val="20"/>
        </w:rPr>
        <w:t xml:space="preserve">Metodología: </w:t>
      </w:r>
      <w:r>
        <w:rPr>
          <w:sz w:val="20"/>
        </w:rPr>
        <w:t>Estimación del IPC siguiendo el modelo de Girton &amp; Roper (1977). Modelo VAR mensual. Prueba de causalidad de Granger bidireccional entre: (1) crédito doméstico e IPC; (2) diferencial de tasa de interés e IPC. Variables: M1, reservas internacionales, tipo de cambio, diferencial de tasas, crédito doméstico.</w:t>
      </w:r>
    </w:p>
    <w:p>
      <w:pPr>
        <w:spacing w:after="40"/>
      </w:pPr>
      <w:r>
        <w:rPr>
          <w:b/>
          <w:color w:val="1F497D"/>
          <w:sz w:val="20"/>
        </w:rPr>
        <w:t xml:space="preserve">Resultados principales: </w:t>
      </w:r>
      <w:r>
        <w:rPr>
          <w:sz w:val="20"/>
        </w:rPr>
        <w:t>Causalidad unidireccional de crédito doméstico → IPC (el crédito Granger-causa el IPC, no al revés). Causalidad bidireccional entre diferencial de tasa de interés e IPC. La expansión del crédito doméstico genera presión depreciativa (IPC mayor), confirmando la lógica del modelo de Girton &amp; Roper. El VAR muestra que shocks en el crédito se transmiten al IPC con 2–3 meses de rezago.</w:t>
      </w:r>
    </w:p>
    <w:p>
      <w:pPr>
        <w:spacing w:after="40"/>
      </w:pPr>
      <w:r>
        <w:rPr>
          <w:b/>
          <w:color w:val="1F497D"/>
          <w:sz w:val="20"/>
        </w:rPr>
        <w:t xml:space="preserve">Justificación para el VAR / Granger: </w:t>
      </w:r>
      <w:r>
        <w:rPr>
          <w:sz w:val="20"/>
        </w:rPr>
        <w:t>Provee evidencia directa de causalidad de Granger crédito → IPC con datos de una economía emergente usando VAR, que es exactamente la metodología propuesta. Justifica el primer eslabón de la cadena: la presión cambiaria (IPC) está vinculada causalmente al crédito. Si el crédito Granger-causa el IPC, tiene sentido incluirlos ambos en el VAR con el IPC respondiendo a condiciones crediticias y viceversa.</w:t>
      </w:r>
    </w:p>
    <w:p>
      <w:pPr>
        <w:spacing w:before="120" w:after="200"/>
      </w:pPr>
      <w:r>
        <w:rPr>
          <w:color w:val="CCCCCC"/>
          <w:sz w:val="16"/>
        </w:rPr>
        <w:t>──────────────────────────────────────────────────────────────────────────────────────────</w:t>
      </w:r>
    </w:p>
    <w:p>
      <w:r>
        <w:br w:type="page"/>
      </w:r>
    </w:p>
    <w:p>
      <w:pPr>
        <w:spacing w:before="360" w:after="120"/>
      </w:pPr>
      <w:r>
        <w:rPr>
          <w:b/>
          <w:color w:val="2E74B5"/>
          <w:sz w:val="26"/>
        </w:rPr>
        <w:t>5. Paper de Soporte — Cadena Completa: IPC → Crédito → PIB → Inflación</w:t>
      </w:r>
    </w:p>
    <w:p>
      <w:pPr>
        <w:spacing w:before="280" w:after="60"/>
      </w:pPr>
      <w:r>
        <w:rPr>
          <w:b/>
          <w:color w:val="1D603A"/>
          <w:sz w:val="22"/>
        </w:rPr>
        <w:t>Paper 6 — Doojav, Purevdorj &amp; Batjargal (2024)  |  Base de datos: ScienceDirect</w:t>
      </w:r>
    </w:p>
    <w:p>
      <w:pPr>
        <w:spacing w:after="120"/>
        <w:ind w:left="720" w:hanging="720"/>
      </w:pPr>
      <w:r>
        <w:rPr>
          <w:sz w:val="20"/>
        </w:rPr>
        <w:t>Doojav, G.-O., Purevdorj, M., &amp; Batjargal, A. (2024). The macroeconomic effects of exchange rate movements in a commodity-exporting developing economy. International Economics, 177, 100466. https://doi.org/10.1016/j.inteco.2023.100466</w:t>
      </w:r>
    </w:p>
    <w:p>
      <w:pPr>
        <w:spacing w:after="40"/>
      </w:pPr>
      <w:r>
        <w:rPr>
          <w:b/>
          <w:color w:val="1F497D"/>
          <w:sz w:val="20"/>
        </w:rPr>
        <w:t xml:space="preserve">Base de datos: </w:t>
      </w:r>
      <w:r>
        <w:rPr>
          <w:sz w:val="20"/>
        </w:rPr>
        <w:t>ScienceDirect (Elsevier) — International Economics (Scopus)</w:t>
      </w:r>
    </w:p>
    <w:p>
      <w:pPr>
        <w:spacing w:after="40"/>
      </w:pPr>
      <w:r>
        <w:rPr>
          <w:b/>
          <w:color w:val="1F497D"/>
          <w:sz w:val="20"/>
        </w:rPr>
        <w:t xml:space="preserve">Objetivo: </w:t>
      </w:r>
      <w:r>
        <w:rPr>
          <w:sz w:val="20"/>
        </w:rPr>
        <w:t>Examinar los efectos macroeconómicos de los movimientos del tipo de cambio —y por extensión de la presión cambiaria— en Mongolia, economía exportadora de commodities y deudora neta en moneda extranjera, separando los canales de transmisión: financiero y comercial.</w:t>
      </w:r>
    </w:p>
    <w:p>
      <w:pPr>
        <w:spacing w:after="40"/>
      </w:pPr>
      <w:r>
        <w:rPr>
          <w:b/>
          <w:color w:val="1F497D"/>
          <w:sz w:val="20"/>
        </w:rPr>
        <w:t xml:space="preserve">Metodología: </w:t>
      </w:r>
      <w:r>
        <w:rPr>
          <w:sz w:val="20"/>
        </w:rPr>
        <w:t>Structural Bayesian Vector Autoregression (SBVAR) mensual. Dos indicadores cambiarios: (1) tipo de cambio ponderado por deuda (DWER), que captura el canal financiero; (2) tipo de cambio efectivo nominal (NEER), que captura el canal comercial. Funciones impulso-respuesta estructurales y descomposición de varianza. Variables: tipo de cambio, crédito bancario, PIB, IPC, inversión, exportaciones netas.</w:t>
      </w:r>
    </w:p>
    <w:p>
      <w:pPr>
        <w:spacing w:after="40"/>
      </w:pPr>
      <w:r>
        <w:rPr>
          <w:b/>
          <w:color w:val="1F497D"/>
          <w:sz w:val="20"/>
        </w:rPr>
        <w:t xml:space="preserve">Resultados principales: </w:t>
      </w:r>
      <w:r>
        <w:rPr>
          <w:sz w:val="20"/>
        </w:rPr>
        <w:t>Canal financiero (DWER): la depreciación cambiaria deteriora los balances de bancos y empresas con deuda en moneda extranjera, contrae el crédito bancario y reduce la inversión y el PIB (especialmente en manufactura y construcción). El PIB cae de forma significativa y persistente. Canal comercial (NEER): la depreciación mejora las exportaciones netas y eleva el IPC (inflación) vía pass-through cambiario. Ambos canales operan simultáneamente y son estadísticamente significativos.</w:t>
      </w:r>
    </w:p>
    <w:p>
      <w:pPr>
        <w:spacing w:after="40"/>
      </w:pPr>
      <w:r>
        <w:rPr>
          <w:b/>
          <w:color w:val="1F497D"/>
          <w:sz w:val="20"/>
        </w:rPr>
        <w:t xml:space="preserve">Justificación para el VAR / Granger: </w:t>
      </w:r>
      <w:r>
        <w:rPr>
          <w:sz w:val="20"/>
        </w:rPr>
        <w:t>Es el paper que más directamente justifica la cadena completa propuesta: Presión cambiaria → crédito → actividad económica → inflación. El canal financiero del SBVAR muestra exactamente esta secuencia: el deterioro cambiario (IPC) afecta el crédito, que deprime el PIB. El canal comercial cierra la cadena hacia la inflación. El uso de SBVAR con Cholesky estructural es metodológicamente idéntico al VAR propuesto. Aplica a una economía emergente y exportadora de commodities, comparable a economías latinoamericanas.</w:t>
      </w:r>
    </w:p>
    <w:p>
      <w:pPr>
        <w:spacing w:before="120" w:after="200"/>
      </w:pPr>
      <w:r>
        <w:rPr>
          <w:color w:val="CCCCCC"/>
          <w:sz w:val="16"/>
        </w:rPr>
        <w:t>──────────────────────────────────────────────────────────────────────────────────────────</w:t>
      </w:r>
    </w:p>
    <w:p>
      <w:r>
        <w:br w:type="page"/>
      </w:r>
    </w:p>
    <w:p>
      <w:pPr>
        <w:spacing w:before="360" w:after="120"/>
      </w:pPr>
      <w:r>
        <w:rPr>
          <w:b/>
          <w:color w:val="2E74B5"/>
          <w:sz w:val="26"/>
        </w:rPr>
        <w:t>6. Tabla Síntesis de Papers y Eslabones de la Cadena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97D" w:val="clear"/>
          </w:tcPr>
          <w:p>
            <w:r>
              <w:rPr>
                <w:b/>
                <w:color w:val="FFFFFF"/>
                <w:sz w:val="18"/>
              </w:rPr>
              <w:t>Paper</w:t>
            </w:r>
          </w:p>
        </w:tc>
        <w:tc>
          <w:tcPr>
            <w:tcW w:type="dxa" w:w="1728"/>
            <w:shd w:fill="1F497D" w:val="clear"/>
          </w:tcPr>
          <w:p>
            <w:r>
              <w:rPr>
                <w:b/>
                <w:color w:val="FFFFFF"/>
                <w:sz w:val="18"/>
              </w:rPr>
              <w:t>Base de datos</w:t>
            </w:r>
          </w:p>
        </w:tc>
        <w:tc>
          <w:tcPr>
            <w:tcW w:type="dxa" w:w="1728"/>
            <w:shd w:fill="1F497D" w:val="clear"/>
          </w:tcPr>
          <w:p>
            <w:r>
              <w:rPr>
                <w:b/>
                <w:color w:val="FFFFFF"/>
                <w:sz w:val="18"/>
              </w:rPr>
              <w:t>Metodología</w:t>
            </w:r>
          </w:p>
        </w:tc>
        <w:tc>
          <w:tcPr>
            <w:tcW w:type="dxa" w:w="1728"/>
            <w:shd w:fill="1F497D" w:val="clear"/>
          </w:tcPr>
          <w:p>
            <w:r>
              <w:rPr>
                <w:b/>
                <w:color w:val="FFFFFF"/>
                <w:sz w:val="18"/>
              </w:rPr>
              <w:t>Eslabón justificado</w:t>
            </w:r>
          </w:p>
        </w:tc>
        <w:tc>
          <w:tcPr>
            <w:tcW w:type="dxa" w:w="1728"/>
            <w:shd w:fill="1F497D" w:val="clear"/>
          </w:tcPr>
          <w:p>
            <w:r>
              <w:rPr>
                <w:b/>
                <w:color w:val="FFFFFF"/>
                <w:sz w:val="18"/>
              </w:rPr>
              <w:t>Aporte clave</w:t>
            </w:r>
          </w:p>
        </w:tc>
      </w:tr>
      <w:tr>
        <w:tc>
          <w:tcPr>
            <w:tcW w:type="dxa" w:w="1728"/>
            <w:shd w:fill="F2F2F2" w:val="clear"/>
          </w:tcPr>
          <w:p>
            <w:r>
              <w:rPr>
                <w:sz w:val="18"/>
              </w:rPr>
              <w:t>Girton &amp; Roper (1977)</w:t>
            </w:r>
          </w:p>
        </w:tc>
        <w:tc>
          <w:tcPr>
            <w:tcW w:type="dxa" w:w="1728"/>
            <w:shd w:fill="F2F2F2" w:val="clear"/>
          </w:tcPr>
          <w:p>
            <w:r>
              <w:rPr>
                <w:sz w:val="18"/>
              </w:rPr>
              <w:t>Scopus</w:t>
              <w:br/>
              <w:t>(AER)</w:t>
            </w:r>
          </w:p>
        </w:tc>
        <w:tc>
          <w:tcPr>
            <w:tcW w:type="dxa" w:w="1728"/>
            <w:shd w:fill="F2F2F2" w:val="clear"/>
          </w:tcPr>
          <w:p>
            <w:r>
              <w:rPr>
                <w:sz w:val="18"/>
              </w:rPr>
              <w:t>Modelo monetario BOP</w:t>
            </w:r>
          </w:p>
        </w:tc>
        <w:tc>
          <w:tcPr>
            <w:tcW w:type="dxa" w:w="1728"/>
            <w:shd w:fill="F2F2F2" w:val="clear"/>
          </w:tcPr>
          <w:p>
            <w:r>
              <w:rPr>
                <w:sz w:val="18"/>
              </w:rPr>
              <w:t>Definición del IPC</w:t>
              <w:br/>
              <w:t>(toda la cadena)</w:t>
            </w:r>
          </w:p>
        </w:tc>
        <w:tc>
          <w:tcPr>
            <w:tcW w:type="dxa" w:w="1728"/>
            <w:shd w:fill="F2F2F2" w:val="clear"/>
          </w:tcPr>
          <w:p>
            <w:r>
              <w:rPr>
                <w:sz w:val="18"/>
              </w:rPr>
              <w:t>Funda el IPC; muestra crédito → IPC</w:t>
            </w:r>
          </w:p>
        </w:tc>
      </w:tr>
      <w:tr>
        <w:tc>
          <w:tcPr>
            <w:tcW w:type="dxa" w:w="1728"/>
            <w:shd w:fill="FFFFFF" w:val="clear"/>
          </w:tcPr>
          <w:p>
            <w:r>
              <w:rPr>
                <w:sz w:val="18"/>
              </w:rPr>
              <w:t>Keefe (2021)</w:t>
            </w:r>
          </w:p>
        </w:tc>
        <w:tc>
          <w:tcPr>
            <w:tcW w:type="dxa" w:w="1728"/>
            <w:shd w:fill="FFFFFF" w:val="clear"/>
          </w:tcPr>
          <w:p>
            <w:r>
              <w:rPr>
                <w:sz w:val="18"/>
              </w:rPr>
              <w:t>ScienceDirect</w:t>
              <w:br/>
              <w:t>(JIFMI)</w:t>
            </w:r>
          </w:p>
        </w:tc>
        <w:tc>
          <w:tcPr>
            <w:tcW w:type="dxa" w:w="1728"/>
            <w:shd w:fill="FFFFFF" w:val="clear"/>
          </w:tcPr>
          <w:p>
            <w:r>
              <w:rPr>
                <w:sz w:val="18"/>
              </w:rPr>
              <w:t>Panel VAR</w:t>
              <w:br/>
              <w:t>Cholesky (40 países)</w:t>
            </w:r>
          </w:p>
        </w:tc>
        <w:tc>
          <w:tcPr>
            <w:tcW w:type="dxa" w:w="1728"/>
            <w:shd w:fill="FFFFFF" w:val="clear"/>
          </w:tcPr>
          <w:p>
            <w:r>
              <w:rPr>
                <w:sz w:val="18"/>
              </w:rPr>
              <w:t>IPC ↔ Crédito</w:t>
            </w:r>
          </w:p>
        </w:tc>
        <w:tc>
          <w:tcPr>
            <w:tcW w:type="dxa" w:w="1728"/>
            <w:shd w:fill="FFFFFF" w:val="clear"/>
          </w:tcPr>
          <w:p>
            <w:r>
              <w:rPr>
                <w:sz w:val="18"/>
              </w:rPr>
              <w:t>Nexo bidireccional crédito-IPC en EMDEs</w:t>
            </w:r>
          </w:p>
        </w:tc>
      </w:tr>
      <w:tr>
        <w:tc>
          <w:tcPr>
            <w:tcW w:type="dxa" w:w="1728"/>
            <w:shd w:fill="F2F2F2" w:val="clear"/>
          </w:tcPr>
          <w:p>
            <w:r>
              <w:rPr>
                <w:sz w:val="18"/>
              </w:rPr>
              <w:t>Keefe &amp; Saha (2024)</w:t>
            </w:r>
          </w:p>
        </w:tc>
        <w:tc>
          <w:tcPr>
            <w:tcW w:type="dxa" w:w="1728"/>
            <w:shd w:fill="F2F2F2" w:val="clear"/>
          </w:tcPr>
          <w:p>
            <w:r>
              <w:rPr>
                <w:sz w:val="18"/>
              </w:rPr>
              <w:t>ScienceDirect</w:t>
              <w:br/>
              <w:t>(JIFMI)</w:t>
            </w:r>
          </w:p>
        </w:tc>
        <w:tc>
          <w:tcPr>
            <w:tcW w:type="dxa" w:w="1728"/>
            <w:shd w:fill="F2F2F2" w:val="clear"/>
          </w:tcPr>
          <w:p>
            <w:r>
              <w:rPr>
                <w:sz w:val="18"/>
              </w:rPr>
              <w:t>Global VAR</w:t>
              <w:br/>
              <w:t>IRF generalizadas</w:t>
            </w:r>
          </w:p>
        </w:tc>
        <w:tc>
          <w:tcPr>
            <w:tcW w:type="dxa" w:w="1728"/>
            <w:shd w:fill="F2F2F2" w:val="clear"/>
          </w:tcPr>
          <w:p>
            <w:r>
              <w:rPr>
                <w:sz w:val="18"/>
              </w:rPr>
              <w:t>IPC precede a</w:t>
              <w:br/>
              <w:t>variables internas</w:t>
            </w:r>
          </w:p>
        </w:tc>
        <w:tc>
          <w:tcPr>
            <w:tcW w:type="dxa" w:w="1728"/>
            <w:shd w:fill="F2F2F2" w:val="clear"/>
          </w:tcPr>
          <w:p>
            <w:r>
              <w:rPr>
                <w:sz w:val="18"/>
              </w:rPr>
              <w:t>IPC como variable más exógena en el VAR</w:t>
            </w:r>
          </w:p>
        </w:tc>
      </w:tr>
      <w:tr>
        <w:tc>
          <w:tcPr>
            <w:tcW w:type="dxa" w:w="1728"/>
            <w:shd w:fill="FFFFFF" w:val="clear"/>
          </w:tcPr>
          <w:p>
            <w:r>
              <w:rPr>
                <w:sz w:val="18"/>
              </w:rPr>
              <w:t>Olanipekun et al. (2019)</w:t>
            </w:r>
          </w:p>
        </w:tc>
        <w:tc>
          <w:tcPr>
            <w:tcW w:type="dxa" w:w="1728"/>
            <w:shd w:fill="FFFFFF" w:val="clear"/>
          </w:tcPr>
          <w:p>
            <w:r>
              <w:rPr>
                <w:sz w:val="18"/>
              </w:rPr>
              <w:t>Scopus</w:t>
              <w:br/>
              <w:t>(SAGE Open)</w:t>
            </w:r>
          </w:p>
        </w:tc>
        <w:tc>
          <w:tcPr>
            <w:tcW w:type="dxa" w:w="1728"/>
            <w:shd w:fill="FFFFFF" w:val="clear"/>
          </w:tcPr>
          <w:p>
            <w:r>
              <w:rPr>
                <w:sz w:val="18"/>
              </w:rPr>
              <w:t>Bootstrap Panel</w:t>
              <w:br/>
              <w:t>Granger Causality</w:t>
            </w:r>
          </w:p>
        </w:tc>
        <w:tc>
          <w:tcPr>
            <w:tcW w:type="dxa" w:w="1728"/>
            <w:shd w:fill="FFFFFF" w:val="clear"/>
          </w:tcPr>
          <w:p>
            <w:r>
              <w:rPr>
                <w:sz w:val="18"/>
              </w:rPr>
              <w:t>Causalidad de Granger</w:t>
              <w:br/>
              <w:t>del IPC</w:t>
            </w:r>
          </w:p>
        </w:tc>
        <w:tc>
          <w:tcPr>
            <w:tcW w:type="dxa" w:w="1728"/>
            <w:shd w:fill="FFFFFF" w:val="clear"/>
          </w:tcPr>
          <w:p>
            <w:r>
              <w:rPr>
                <w:sz w:val="18"/>
              </w:rPr>
              <w:t>Granger causality bidireccional IPC-incertidumbre</w:t>
            </w:r>
          </w:p>
        </w:tc>
      </w:tr>
      <w:tr>
        <w:tc>
          <w:tcPr>
            <w:tcW w:type="dxa" w:w="1728"/>
            <w:shd w:fill="F2F2F2" w:val="clear"/>
          </w:tcPr>
          <w:p>
            <w:r>
              <w:rPr>
                <w:sz w:val="18"/>
              </w:rPr>
              <w:t>Şıklar &amp; Akça (2020)</w:t>
            </w:r>
          </w:p>
        </w:tc>
        <w:tc>
          <w:tcPr>
            <w:tcW w:type="dxa" w:w="1728"/>
            <w:shd w:fill="F2F2F2" w:val="clear"/>
          </w:tcPr>
          <w:p>
            <w:r>
              <w:rPr>
                <w:sz w:val="18"/>
              </w:rPr>
              <w:t>Scopus</w:t>
              <w:br/>
              <w:t>(Ekonomika)</w:t>
            </w:r>
          </w:p>
        </w:tc>
        <w:tc>
          <w:tcPr>
            <w:tcW w:type="dxa" w:w="1728"/>
            <w:shd w:fill="F2F2F2" w:val="clear"/>
          </w:tcPr>
          <w:p>
            <w:r>
              <w:rPr>
                <w:sz w:val="18"/>
              </w:rPr>
              <w:t>VAR + Granger</w:t>
              <w:br/>
              <w:t>causalidad</w:t>
            </w:r>
          </w:p>
        </w:tc>
        <w:tc>
          <w:tcPr>
            <w:tcW w:type="dxa" w:w="1728"/>
            <w:shd w:fill="F2F2F2" w:val="clear"/>
          </w:tcPr>
          <w:p>
            <w:r>
              <w:rPr>
                <w:sz w:val="18"/>
              </w:rPr>
              <w:t>Crédito → IPC</w:t>
              <w:br/>
              <w:t>(Granger causal)</w:t>
            </w:r>
          </w:p>
        </w:tc>
        <w:tc>
          <w:tcPr>
            <w:tcW w:type="dxa" w:w="1728"/>
            <w:shd w:fill="F2F2F2" w:val="clear"/>
          </w:tcPr>
          <w:p>
            <w:r>
              <w:rPr>
                <w:sz w:val="18"/>
              </w:rPr>
              <w:t>Evidencia directa crédito→IPC en economía emergente</w:t>
            </w:r>
          </w:p>
        </w:tc>
      </w:tr>
      <w:tr>
        <w:tc>
          <w:tcPr>
            <w:tcW w:type="dxa" w:w="1728"/>
            <w:shd w:fill="FFFFFF" w:val="clear"/>
          </w:tcPr>
          <w:p>
            <w:r>
              <w:rPr>
                <w:sz w:val="18"/>
              </w:rPr>
              <w:t>Doojav et al. (2024)</w:t>
            </w:r>
          </w:p>
        </w:tc>
        <w:tc>
          <w:tcPr>
            <w:tcW w:type="dxa" w:w="1728"/>
            <w:shd w:fill="FFFFFF" w:val="clear"/>
          </w:tcPr>
          <w:p>
            <w:r>
              <w:rPr>
                <w:sz w:val="18"/>
              </w:rPr>
              <w:t>ScienceDirect</w:t>
              <w:br/>
              <w:t>(Int. Economics)</w:t>
            </w:r>
          </w:p>
        </w:tc>
        <w:tc>
          <w:tcPr>
            <w:tcW w:type="dxa" w:w="1728"/>
            <w:shd w:fill="FFFFFF" w:val="clear"/>
          </w:tcPr>
          <w:p>
            <w:r>
              <w:rPr>
                <w:sz w:val="18"/>
              </w:rPr>
              <w:t>SBVAR</w:t>
              <w:br/>
              <w:t>canal financiero</w:t>
            </w:r>
          </w:p>
        </w:tc>
        <w:tc>
          <w:tcPr>
            <w:tcW w:type="dxa" w:w="1728"/>
            <w:shd w:fill="FFFFFF" w:val="clear"/>
          </w:tcPr>
          <w:p>
            <w:r>
              <w:rPr>
                <w:sz w:val="18"/>
              </w:rPr>
              <w:t>Cadena completa:</w:t>
              <w:br/>
              <w:t>IPC→Cred→PIB→Inf</w:t>
            </w:r>
          </w:p>
        </w:tc>
        <w:tc>
          <w:tcPr>
            <w:tcW w:type="dxa" w:w="1728"/>
            <w:shd w:fill="FFFFFF" w:val="clear"/>
          </w:tcPr>
          <w:p>
            <w:r>
              <w:rPr>
                <w:sz w:val="18"/>
              </w:rPr>
              <w:t>SBVAR muestra la cadena completa con IRF</w:t>
            </w:r>
          </w:p>
        </w:tc>
      </w:tr>
    </w:tbl>
    <w:p/>
    <w:p>
      <w:pPr>
        <w:spacing w:before="360" w:after="120"/>
      </w:pPr>
      <w:r>
        <w:rPr>
          <w:b/>
          <w:color w:val="2E74B5"/>
          <w:sz w:val="26"/>
        </w:rPr>
        <w:t>7. Síntesis para el Marco Metodológico</w:t>
      </w:r>
    </w:p>
    <w:p>
      <w:pPr>
        <w:spacing w:after="120"/>
      </w:pPr>
      <w:r>
        <w:rPr>
          <w:sz w:val="20"/>
        </w:rPr>
        <w:t>Los seis papers seleccionados cubren de forma sistemática los tres eslabones de la cadena causal IPC → Crédito → Actividad Económica → Inflación, así como la metodología VAR y las pruebas de causalidad de Granger propuestas:</w:t>
      </w:r>
    </w:p>
    <w:p>
      <w:pPr>
        <w:spacing w:after="120"/>
      </w:pPr>
      <w:r>
        <w:rPr>
          <w:sz w:val="20"/>
        </w:rPr>
        <w:t>• Eslabón IPC (definición y exogeneidad): Girton &amp; Roper (1977) define el IPC; Keefe &amp; Saha (2024) muestra que el IPC es una variable que responde a condiciones externas exógenas, lo que justifica colocarlo primero en el ordenamiento de Cholesky.</w:t>
      </w:r>
    </w:p>
    <w:p>
      <w:pPr>
        <w:spacing w:after="120"/>
      </w:pPr>
      <w:r>
        <w:rPr>
          <w:sz w:val="20"/>
        </w:rPr>
        <w:t>• Eslabón IPC → Crédito: Keefe (2021) y Şıklar &amp; Akça (2020) muestran, mediante Panel VAR y Granger causality, que el crédito y el IPC están causalmente vinculados. Girton &amp; Roper (1977) establece que el crédito doméstico Granger-causa el IPC.</w:t>
      </w:r>
    </w:p>
    <w:p>
      <w:pPr>
        <w:spacing w:after="120"/>
      </w:pPr>
      <w:r>
        <w:rPr>
          <w:sz w:val="20"/>
        </w:rPr>
        <w:t>• Eslabón Crédito → Actividad Económica → Inflación: Doojav et al. (2024) documenta con SBVAR que la presión cambiaria contrae el crédito (canal financiero), que a su vez reduce el PIB, mientras que el canal comercial transmite la presión cambiaria directamente a la inflación mediante el pass-through.</w:t>
      </w:r>
    </w:p>
    <w:p>
      <w:pPr>
        <w:spacing w:after="120"/>
      </w:pPr>
      <w:r>
        <w:rPr>
          <w:sz w:val="20"/>
        </w:rPr>
        <w:t>• Causalidad de Granger y Panel: Olanipekun et al. (2019) valida el uso de pruebas de causalidad de Granger para el IPC en economías emergentes, con el bootstrap approach que es robusto a heterocedasticidad y dependencia transversal.</w:t>
      </w:r>
    </w:p>
    <w:p>
      <w:r>
        <w:rPr>
          <w:i/>
          <w:color w:val="555555"/>
          <w:sz w:val="18"/>
        </w:rPr>
        <w:t>Todos los papers están indexados en Scopus y/o disponibles en ScienceDirect (Elsevier). Las referencias siguen el formato APA 7ª edición con DOI verificado.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