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4364" w14:textId="77777777" w:rsidR="00464D89" w:rsidRPr="00D95892" w:rsidRDefault="00000000">
      <w:pPr>
        <w:jc w:val="center"/>
        <w:rPr>
          <w:lang w:val="es-PE"/>
        </w:rPr>
      </w:pPr>
      <w:r w:rsidRPr="00D95892">
        <w:rPr>
          <w:b/>
          <w:lang w:val="es-PE"/>
        </w:rPr>
        <w:t>Universidad de Lima</w:t>
      </w:r>
      <w:r w:rsidRPr="00D95892">
        <w:rPr>
          <w:b/>
          <w:lang w:val="es-PE"/>
        </w:rPr>
        <w:br/>
        <w:t>Facultad de Economía — Teoría de Política Monetaria</w:t>
      </w:r>
    </w:p>
    <w:p w14:paraId="7CB42EF6" w14:textId="77777777" w:rsidR="00464D89" w:rsidRPr="00D95892" w:rsidRDefault="00464D89">
      <w:pPr>
        <w:rPr>
          <w:lang w:val="es-PE"/>
        </w:rPr>
      </w:pPr>
    </w:p>
    <w:p w14:paraId="277A9931" w14:textId="77777777" w:rsidR="00464D89" w:rsidRPr="00D95892" w:rsidRDefault="00000000">
      <w:pPr>
        <w:jc w:val="center"/>
        <w:rPr>
          <w:lang w:val="es-PE"/>
        </w:rPr>
      </w:pPr>
      <w:r w:rsidRPr="00D95892">
        <w:rPr>
          <w:b/>
          <w:color w:val="1F3864"/>
          <w:sz w:val="28"/>
          <w:lang w:val="es-PE"/>
        </w:rPr>
        <w:t>TEMA DE INVESTIGACIÓN SELECCIONADO</w:t>
      </w:r>
    </w:p>
    <w:p w14:paraId="2553B02A" w14:textId="77777777" w:rsidR="00464D89" w:rsidRPr="00D95892" w:rsidRDefault="00464D89">
      <w:pPr>
        <w:rPr>
          <w:lang w:val="es-PE"/>
        </w:rPr>
      </w:pPr>
    </w:p>
    <w:p w14:paraId="1699FA0D" w14:textId="77777777" w:rsidR="00464D89" w:rsidRPr="00D95892" w:rsidRDefault="00000000">
      <w:pPr>
        <w:pStyle w:val="Ttulo1"/>
        <w:rPr>
          <w:lang w:val="es-PE"/>
        </w:rPr>
      </w:pPr>
      <w:r w:rsidRPr="00D95892">
        <w:rPr>
          <w:rFonts w:ascii="Times New Roman" w:hAnsi="Times New Roman"/>
          <w:color w:val="1F3864"/>
          <w:lang w:val="es-PE"/>
        </w:rPr>
        <w:t>1. Tema seleccionado</w:t>
      </w:r>
    </w:p>
    <w:p w14:paraId="2C1A8071" w14:textId="77777777" w:rsidR="00464D89" w:rsidRPr="00D95892" w:rsidRDefault="00000000">
      <w:pPr>
        <w:jc w:val="both"/>
        <w:rPr>
          <w:lang w:val="es-PE"/>
        </w:rPr>
      </w:pPr>
      <w:r w:rsidRPr="00D95892">
        <w:rPr>
          <w:b/>
          <w:lang w:val="es-PE"/>
        </w:rPr>
        <w:t>Tema 2: Traspaso cambiario</w:t>
      </w:r>
      <w:r w:rsidR="00D95892">
        <w:rPr>
          <w:b/>
          <w:lang w:val="es-PE"/>
        </w:rPr>
        <w:t xml:space="preserve"> en el Peru </w:t>
      </w:r>
    </w:p>
    <w:p w14:paraId="0FBE3FFA" w14:textId="77777777" w:rsidR="00464D89" w:rsidRPr="00D95892" w:rsidRDefault="00464D89">
      <w:pPr>
        <w:rPr>
          <w:lang w:val="es-PE"/>
        </w:rPr>
      </w:pPr>
    </w:p>
    <w:p w14:paraId="10A913E5" w14:textId="77777777" w:rsidR="00464D89" w:rsidRDefault="00D95892">
      <w:pPr>
        <w:jc w:val="both"/>
        <w:rPr>
          <w:i/>
          <w:lang w:val="es-PE"/>
        </w:rPr>
      </w:pPr>
      <w:r>
        <w:rPr>
          <w:i/>
          <w:lang w:val="es-PE"/>
        </w:rPr>
        <w:t>¿Cuál es el efecto del TC en la trasmisión de la política monetaria?</w:t>
      </w:r>
    </w:p>
    <w:p w14:paraId="416CE2E7" w14:textId="3F463C85" w:rsidR="00876731" w:rsidRPr="00D95892" w:rsidRDefault="00876731">
      <w:pPr>
        <w:jc w:val="both"/>
        <w:rPr>
          <w:lang w:val="es-PE"/>
        </w:rPr>
      </w:pPr>
    </w:p>
    <w:p w14:paraId="09497FED" w14:textId="77777777" w:rsidR="001226F4" w:rsidRPr="004D79F8" w:rsidRDefault="00000000">
      <w:pPr>
        <w:jc w:val="both"/>
        <w:rPr>
          <w:lang w:val="es-PE"/>
        </w:rPr>
      </w:pPr>
      <w:r w:rsidRPr="004D79F8">
        <w:rPr>
          <w:lang w:val="es-PE"/>
        </w:rPr>
        <w:t>¿Cómo varía la magnitud del traspaso cambiario entre los sectores de bienes durables, no durables y servicios en Perú durante el período 2005–2023?</w:t>
      </w:r>
    </w:p>
    <w:p w14:paraId="63BD6FED" w14:textId="77777777" w:rsidR="001226F4" w:rsidRPr="004D79F8" w:rsidRDefault="00000000">
      <w:pPr>
        <w:jc w:val="both"/>
        <w:rPr>
          <w:lang w:val="es-PE"/>
        </w:rPr>
      </w:pPr>
      <w:r w:rsidRPr="004D79F8">
        <w:rPr>
          <w:lang w:val="es-PE"/>
        </w:rPr>
        <w:t xml:space="preserve">¿Qué factores sectoriales —como la intensidad importadora, las rigideces nominales y la concentración de mercado— explican las diferencias en el </w:t>
      </w:r>
      <w:proofErr w:type="spellStart"/>
      <w:r w:rsidRPr="004D79F8">
        <w:rPr>
          <w:lang w:val="es-PE"/>
        </w:rPr>
        <w:t>pass-through</w:t>
      </w:r>
      <w:proofErr w:type="spellEnd"/>
      <w:r w:rsidRPr="004D79F8">
        <w:rPr>
          <w:lang w:val="es-PE"/>
        </w:rPr>
        <w:t xml:space="preserve"> cambiario a los precios domésticos peruanos?</w:t>
      </w:r>
    </w:p>
    <w:p w14:paraId="757BC637" w14:textId="77777777" w:rsidR="001226F4" w:rsidRPr="004D79F8" w:rsidRDefault="00000000">
      <w:pPr>
        <w:jc w:val="both"/>
        <w:rPr>
          <w:lang w:val="es-PE"/>
        </w:rPr>
      </w:pPr>
      <w:r w:rsidRPr="004D79F8">
        <w:rPr>
          <w:lang w:val="es-PE"/>
        </w:rPr>
        <w:t xml:space="preserve">¿De qué manera el episodio de alta inflación de 2021–2023 modificó el </w:t>
      </w:r>
      <w:proofErr w:type="spellStart"/>
      <w:r w:rsidRPr="004D79F8">
        <w:rPr>
          <w:lang w:val="es-PE"/>
        </w:rPr>
        <w:t>pass-through</w:t>
      </w:r>
      <w:proofErr w:type="spellEnd"/>
      <w:r w:rsidRPr="004D79F8">
        <w:rPr>
          <w:lang w:val="es-PE"/>
        </w:rPr>
        <w:t xml:space="preserve"> cambiario a nivel sectorial en Perú respecto a períodos de inflación baja y estable?</w:t>
      </w:r>
    </w:p>
    <w:p w14:paraId="28701422" w14:textId="77777777" w:rsidR="00464D89" w:rsidRPr="00D95892" w:rsidRDefault="00464D89">
      <w:pPr>
        <w:rPr>
          <w:lang w:val="es-PE"/>
        </w:rPr>
      </w:pPr>
    </w:p>
    <w:p w14:paraId="6EC12268" w14:textId="77777777" w:rsidR="00464D89" w:rsidRPr="00D95892" w:rsidRDefault="00000000">
      <w:pPr>
        <w:pStyle w:val="Ttulo2"/>
        <w:rPr>
          <w:lang w:val="es-PE"/>
        </w:rPr>
      </w:pPr>
      <w:r w:rsidRPr="00D95892">
        <w:rPr>
          <w:rFonts w:ascii="Times New Roman" w:hAnsi="Times New Roman"/>
          <w:color w:val="1F3864"/>
          <w:lang w:val="es-PE"/>
        </w:rPr>
        <w:t>2. Enfoque de investigación</w:t>
      </w:r>
    </w:p>
    <w:p w14:paraId="0251E99E" w14:textId="77777777" w:rsidR="00464D89" w:rsidRPr="00D95892" w:rsidRDefault="00000000">
      <w:pPr>
        <w:jc w:val="both"/>
        <w:rPr>
          <w:lang w:val="es-PE"/>
        </w:rPr>
      </w:pPr>
      <w:r w:rsidRPr="00D95892">
        <w:rPr>
          <w:lang w:val="es-PE"/>
        </w:rPr>
        <w:t xml:space="preserve">El estudio original ("Efecto del tipo de cambio en precios domésticos: Caso Peruano", SVAR 2005–2021) analiza el </w:t>
      </w:r>
      <w:proofErr w:type="spellStart"/>
      <w:r w:rsidRPr="00D95892">
        <w:rPr>
          <w:lang w:val="es-PE"/>
        </w:rPr>
        <w:t>pass-through</w:t>
      </w:r>
      <w:proofErr w:type="spellEnd"/>
      <w:r w:rsidRPr="00D95892">
        <w:rPr>
          <w:lang w:val="es-PE"/>
        </w:rPr>
        <w:t xml:space="preserve"> cambiario usando índices de precios agregados. Este tema lo extiende desagregando los índices por sector o tipo de bien (alimentos, manufactura, servicios, vivienda) mediante datos mensuales del IPC por grupos del INEI y del IPM por ramas industriales del BCRP. La metodología a aplicar es un panel dinámico con el Método Generalizado de Momentos (GMM), que permite controlar la endogeneidad entre el tipo de cambio y los precios mediante rezagos instrumentales internos.</w:t>
      </w:r>
    </w:p>
    <w:p w14:paraId="1B7C135D" w14:textId="77777777" w:rsidR="00464D89" w:rsidRPr="00D95892" w:rsidRDefault="00464D89">
      <w:pPr>
        <w:rPr>
          <w:lang w:val="es-PE"/>
        </w:rPr>
      </w:pPr>
    </w:p>
    <w:p w14:paraId="01FF9CC6" w14:textId="77777777" w:rsidR="00464D89" w:rsidRPr="00D95892" w:rsidRDefault="00000000">
      <w:pPr>
        <w:pStyle w:val="Ttulo2"/>
        <w:rPr>
          <w:lang w:val="es-PE"/>
        </w:rPr>
      </w:pPr>
      <w:r w:rsidRPr="00D95892">
        <w:rPr>
          <w:rFonts w:ascii="Times New Roman" w:hAnsi="Times New Roman"/>
          <w:color w:val="1F3864"/>
          <w:lang w:val="es-PE"/>
        </w:rPr>
        <w:t>3. Relación con la teoría de política monetaria</w:t>
      </w:r>
    </w:p>
    <w:p w14:paraId="462E1512" w14:textId="77777777" w:rsidR="00464D89" w:rsidRPr="00D95892" w:rsidRDefault="00000000">
      <w:pPr>
        <w:jc w:val="both"/>
        <w:rPr>
          <w:lang w:val="es-PE"/>
        </w:rPr>
      </w:pPr>
      <w:r w:rsidRPr="00D95892">
        <w:rPr>
          <w:lang w:val="es-PE"/>
        </w:rPr>
        <w:t xml:space="preserve">Identificar qué sectores transmiten con mayor intensidad el shock cambiario es información directamente útil para la regla de política monetaria del BCRP: si el IPC subyacente </w:t>
      </w:r>
      <w:r w:rsidRPr="00D95892">
        <w:rPr>
          <w:lang w:val="es-PE"/>
        </w:rPr>
        <w:lastRenderedPageBreak/>
        <w:t xml:space="preserve">agregado oculta una heterogeneidad sectorial significativa, las decisiones de tasa de referencia basadas solo en el índice global podrían ser subóptimas. El tema conecta con la teoría de fijación de precios en moneda local (LCP) versus moneda del productor (PCP), con el marco de la Price </w:t>
      </w:r>
      <w:proofErr w:type="spellStart"/>
      <w:r w:rsidRPr="00D95892">
        <w:rPr>
          <w:lang w:val="es-PE"/>
        </w:rPr>
        <w:t>Distribution</w:t>
      </w:r>
      <w:proofErr w:type="spellEnd"/>
      <w:r w:rsidRPr="00D95892">
        <w:rPr>
          <w:lang w:val="es-PE"/>
        </w:rPr>
        <w:t xml:space="preserve"> Chain de McCarthy (2007) y con el esquema de metas explícitas de inflación del BCRP.</w:t>
      </w:r>
    </w:p>
    <w:p w14:paraId="70EB35C5" w14:textId="77777777" w:rsidR="00464D89" w:rsidRPr="00D95892" w:rsidRDefault="00464D89">
      <w:pPr>
        <w:rPr>
          <w:lang w:val="es-PE"/>
        </w:rPr>
      </w:pPr>
    </w:p>
    <w:p w14:paraId="0A7ABC6F" w14:textId="77777777" w:rsidR="00464D89" w:rsidRDefault="00000000">
      <w:pPr>
        <w:pStyle w:val="Ttulo2"/>
      </w:pPr>
      <w:r>
        <w:rPr>
          <w:rFonts w:ascii="Times New Roman" w:hAnsi="Times New Roman"/>
          <w:color w:val="1F3864"/>
        </w:rPr>
        <w:t>4. Viabilidad metodológica</w:t>
      </w:r>
    </w:p>
    <w:p w14:paraId="219B972A" w14:textId="77777777" w:rsidR="00464D89" w:rsidRPr="00D95892" w:rsidRDefault="00000000">
      <w:pPr>
        <w:pStyle w:val="Listaconvietas"/>
        <w:jc w:val="both"/>
        <w:rPr>
          <w:lang w:val="es-PE"/>
        </w:rPr>
      </w:pPr>
      <w:r w:rsidRPr="00D95892">
        <w:rPr>
          <w:lang w:val="es-PE"/>
        </w:rPr>
        <w:t>Datos disponibles en el INEI (IPC por 12 grupos, frecuencia mensual) y BCRP (IPM por rama industrial), ambos de acceso libre.</w:t>
      </w:r>
    </w:p>
    <w:p w14:paraId="6902D982" w14:textId="77777777" w:rsidR="00464D89" w:rsidRPr="00D95892" w:rsidRDefault="00000000">
      <w:pPr>
        <w:pStyle w:val="Listaconvietas"/>
        <w:jc w:val="both"/>
        <w:rPr>
          <w:lang w:val="es-PE"/>
        </w:rPr>
      </w:pPr>
      <w:r w:rsidRPr="00D95892">
        <w:rPr>
          <w:lang w:val="es-PE"/>
        </w:rPr>
        <w:t>Metodología GMM implementable con el comando xtabond2 en Stata, ampliamente documentado.</w:t>
      </w:r>
    </w:p>
    <w:p w14:paraId="2D5F335C" w14:textId="77777777" w:rsidR="00464D89" w:rsidRPr="00D95892" w:rsidRDefault="00000000">
      <w:pPr>
        <w:pStyle w:val="Listaconvietas"/>
        <w:jc w:val="both"/>
        <w:rPr>
          <w:lang w:val="es-PE"/>
        </w:rPr>
      </w:pPr>
      <w:r w:rsidRPr="00D95892">
        <w:rPr>
          <w:lang w:val="es-PE"/>
        </w:rPr>
        <w:t>Antecedente metodológico directo para Perú: Castellares &amp; Toma (2020) aplican el mismo tipo de análisis con datos INEI/BCRP.</w:t>
      </w:r>
    </w:p>
    <w:p w14:paraId="38420FD0" w14:textId="77777777" w:rsidR="00464D89" w:rsidRPr="00D95892" w:rsidRDefault="00000000">
      <w:pPr>
        <w:pStyle w:val="Listaconvietas"/>
        <w:jc w:val="both"/>
        <w:rPr>
          <w:lang w:val="es-PE"/>
        </w:rPr>
      </w:pPr>
      <w:r w:rsidRPr="00D95892">
        <w:rPr>
          <w:lang w:val="es-PE"/>
        </w:rPr>
        <w:t>Factible de completar en un semestre universitario sin requerir métodos bayesianos ni software especializado.</w:t>
      </w:r>
    </w:p>
    <w:p w14:paraId="59656BAA" w14:textId="77777777" w:rsidR="00464D89" w:rsidRPr="00D95892" w:rsidRDefault="00464D89">
      <w:pPr>
        <w:rPr>
          <w:lang w:val="es-PE"/>
        </w:rPr>
      </w:pPr>
    </w:p>
    <w:p w14:paraId="22E02F14" w14:textId="77777777" w:rsidR="00464D89" w:rsidRPr="00D95892" w:rsidRDefault="00000000">
      <w:pPr>
        <w:pStyle w:val="Ttulo1"/>
        <w:rPr>
          <w:lang w:val="es-PE"/>
        </w:rPr>
      </w:pPr>
      <w:r w:rsidRPr="00D95892">
        <w:rPr>
          <w:rFonts w:ascii="Times New Roman" w:hAnsi="Times New Roman"/>
          <w:color w:val="1F3864"/>
          <w:lang w:val="es-PE"/>
        </w:rPr>
        <w:t>5. Referencias bibliográficas (formato APA 7)</w:t>
      </w:r>
    </w:p>
    <w:p w14:paraId="0D7ACF56" w14:textId="77777777" w:rsidR="00464D89" w:rsidRPr="00D95892" w:rsidRDefault="00000000">
      <w:pPr>
        <w:jc w:val="both"/>
        <w:rPr>
          <w:lang w:val="es-PE"/>
        </w:rPr>
      </w:pPr>
      <w:r w:rsidRPr="00D95892">
        <w:rPr>
          <w:lang w:val="es-PE"/>
        </w:rPr>
        <w:t>Los siguientes cinco trabajos constituyen la base bibliográfica inicial recomendada para desarrollar este tema de investigación:</w:t>
      </w:r>
    </w:p>
    <w:p w14:paraId="3B70CB24" w14:textId="77777777" w:rsidR="00464D89" w:rsidRPr="00D95892" w:rsidRDefault="00464D89">
      <w:pPr>
        <w:rPr>
          <w:lang w:val="es-PE"/>
        </w:rPr>
      </w:pPr>
    </w:p>
    <w:p w14:paraId="712E070E" w14:textId="77777777" w:rsidR="00464D89" w:rsidRDefault="00000000">
      <w:pPr>
        <w:spacing w:after="40"/>
        <w:jc w:val="both"/>
      </w:pPr>
      <w:r>
        <w:rPr>
          <w:b/>
        </w:rPr>
        <w:t xml:space="preserve">1. </w:t>
      </w:r>
      <w:r>
        <w:t xml:space="preserve">Castellares, R., &amp; Toma, H. (2020). Effects of a mandatory local currency pricing law on the exchange rate pass-through. </w:t>
      </w:r>
      <w:r>
        <w:rPr>
          <w:i/>
        </w:rPr>
        <w:t>Journal of International Money and Finance</w:t>
      </w:r>
      <w:r>
        <w:t>, 106, Article 102186. https://doi.org/10.1016/j.jimonfin.2020.102186</w:t>
      </w:r>
    </w:p>
    <w:p w14:paraId="0DD1A245" w14:textId="77777777" w:rsidR="00464D89" w:rsidRDefault="00000000">
      <w:pPr>
        <w:ind w:left="432"/>
        <w:jc w:val="both"/>
      </w:pPr>
      <w:r w:rsidRPr="00D95892">
        <w:rPr>
          <w:i/>
          <w:color w:val="505050"/>
          <w:sz w:val="21"/>
          <w:lang w:val="es-PE"/>
        </w:rPr>
        <w:t xml:space="preserve">Por qué es relevante: Antecedente directo para Perú: usa datos desagregados del IPC (INEI, 1995–2018) para analizar el </w:t>
      </w:r>
      <w:proofErr w:type="spellStart"/>
      <w:r w:rsidRPr="00D95892">
        <w:rPr>
          <w:i/>
          <w:color w:val="505050"/>
          <w:sz w:val="21"/>
          <w:lang w:val="es-PE"/>
        </w:rPr>
        <w:t>pass-through</w:t>
      </w:r>
      <w:proofErr w:type="spellEnd"/>
      <w:r w:rsidRPr="00D95892">
        <w:rPr>
          <w:i/>
          <w:color w:val="505050"/>
          <w:sz w:val="21"/>
          <w:lang w:val="es-PE"/>
        </w:rPr>
        <w:t xml:space="preserve"> diferenciado entre bienes durables, no durables y servicios. </w:t>
      </w:r>
      <w:proofErr w:type="spellStart"/>
      <w:r>
        <w:rPr>
          <w:i/>
          <w:color w:val="505050"/>
          <w:sz w:val="21"/>
        </w:rPr>
        <w:t>Metodología</w:t>
      </w:r>
      <w:proofErr w:type="spellEnd"/>
      <w:r>
        <w:rPr>
          <w:i/>
          <w:color w:val="505050"/>
          <w:sz w:val="21"/>
        </w:rPr>
        <w:t xml:space="preserve"> y </w:t>
      </w:r>
      <w:proofErr w:type="spellStart"/>
      <w:r>
        <w:rPr>
          <w:i/>
          <w:color w:val="505050"/>
          <w:sz w:val="21"/>
        </w:rPr>
        <w:t>fuente</w:t>
      </w:r>
      <w:proofErr w:type="spellEnd"/>
      <w:r>
        <w:rPr>
          <w:i/>
          <w:color w:val="505050"/>
          <w:sz w:val="21"/>
        </w:rPr>
        <w:t xml:space="preserve"> de datos directamente replicables.</w:t>
      </w:r>
    </w:p>
    <w:p w14:paraId="3E4AE00C" w14:textId="77777777" w:rsidR="00464D89" w:rsidRDefault="00464D89"/>
    <w:p w14:paraId="598201ED" w14:textId="77777777" w:rsidR="00464D89" w:rsidRDefault="00000000">
      <w:pPr>
        <w:spacing w:after="40"/>
        <w:jc w:val="both"/>
      </w:pPr>
      <w:r>
        <w:rPr>
          <w:b/>
        </w:rPr>
        <w:t xml:space="preserve">2. </w:t>
      </w:r>
      <w:r>
        <w:t xml:space="preserve">Solórzano, D. (2023). Heterogeneous exchange rate pass-through in Mexico: What drives it? </w:t>
      </w:r>
      <w:r>
        <w:rPr>
          <w:i/>
        </w:rPr>
        <w:t>Latin American Journal of Central Banking</w:t>
      </w:r>
      <w:r>
        <w:t>, 4(4), Article 100092. https://doi.org/10.1016/j.latcb.2023.100092</w:t>
      </w:r>
    </w:p>
    <w:p w14:paraId="6B90CB92" w14:textId="77777777" w:rsidR="00464D89" w:rsidRPr="00D95892" w:rsidRDefault="00000000">
      <w:pPr>
        <w:ind w:left="432"/>
        <w:jc w:val="both"/>
        <w:rPr>
          <w:lang w:val="es-PE"/>
        </w:rPr>
      </w:pPr>
      <w:r w:rsidRPr="00D95892">
        <w:rPr>
          <w:i/>
          <w:color w:val="505050"/>
          <w:sz w:val="21"/>
          <w:lang w:val="es-PE"/>
        </w:rPr>
        <w:t>Por qué es relevante: Documenta la heterogeneidad regional e industrial del ERPT en México usando regresiones de rezagos distribuidos y mínimos cuadrados ponderados. Identifica factores como intensidad importadora y densidad de mercado. Marco metodológico comparable al propuesto para Perú.</w:t>
      </w:r>
    </w:p>
    <w:p w14:paraId="2CDE7E27" w14:textId="77777777" w:rsidR="00464D89" w:rsidRPr="00D95892" w:rsidRDefault="00464D89">
      <w:pPr>
        <w:rPr>
          <w:lang w:val="es-PE"/>
        </w:rPr>
      </w:pPr>
    </w:p>
    <w:p w14:paraId="6E9A5709" w14:textId="77777777" w:rsidR="00464D89" w:rsidRPr="00D95892" w:rsidRDefault="00000000">
      <w:pPr>
        <w:spacing w:after="40"/>
        <w:jc w:val="both"/>
        <w:rPr>
          <w:lang w:val="es-PE"/>
        </w:rPr>
      </w:pPr>
      <w:r>
        <w:rPr>
          <w:b/>
        </w:rPr>
        <w:t xml:space="preserve">3. </w:t>
      </w:r>
      <w:r>
        <w:t xml:space="preserve">Campa, J. M., &amp; Goldberg, L. S. (2005). Exchange rate pass-through into import prices. </w:t>
      </w:r>
      <w:r w:rsidRPr="00D95892">
        <w:rPr>
          <w:i/>
          <w:lang w:val="es-PE"/>
        </w:rPr>
        <w:t xml:space="preserve">The </w:t>
      </w:r>
      <w:proofErr w:type="spellStart"/>
      <w:r w:rsidRPr="00D95892">
        <w:rPr>
          <w:i/>
          <w:lang w:val="es-PE"/>
        </w:rPr>
        <w:t>Review</w:t>
      </w:r>
      <w:proofErr w:type="spellEnd"/>
      <w:r w:rsidRPr="00D95892">
        <w:rPr>
          <w:i/>
          <w:lang w:val="es-PE"/>
        </w:rPr>
        <w:t xml:space="preserve"> </w:t>
      </w:r>
      <w:proofErr w:type="spellStart"/>
      <w:r w:rsidRPr="00D95892">
        <w:rPr>
          <w:i/>
          <w:lang w:val="es-PE"/>
        </w:rPr>
        <w:t>of</w:t>
      </w:r>
      <w:proofErr w:type="spellEnd"/>
      <w:r w:rsidRPr="00D95892">
        <w:rPr>
          <w:i/>
          <w:lang w:val="es-PE"/>
        </w:rPr>
        <w:t xml:space="preserve"> </w:t>
      </w:r>
      <w:proofErr w:type="spellStart"/>
      <w:r w:rsidRPr="00D95892">
        <w:rPr>
          <w:i/>
          <w:lang w:val="es-PE"/>
        </w:rPr>
        <w:t>Economics</w:t>
      </w:r>
      <w:proofErr w:type="spellEnd"/>
      <w:r w:rsidRPr="00D95892">
        <w:rPr>
          <w:i/>
          <w:lang w:val="es-PE"/>
        </w:rPr>
        <w:t xml:space="preserve"> and </w:t>
      </w:r>
      <w:proofErr w:type="spellStart"/>
      <w:r w:rsidRPr="00D95892">
        <w:rPr>
          <w:i/>
          <w:lang w:val="es-PE"/>
        </w:rPr>
        <w:t>Statistics</w:t>
      </w:r>
      <w:proofErr w:type="spellEnd"/>
      <w:r w:rsidRPr="00D95892">
        <w:rPr>
          <w:lang w:val="es-PE"/>
        </w:rPr>
        <w:t>, 87(4), 679–690. https://doi.org/10.1162/003465305775098189</w:t>
      </w:r>
    </w:p>
    <w:p w14:paraId="3209EF4E" w14:textId="77777777" w:rsidR="00464D89" w:rsidRPr="00D95892" w:rsidRDefault="00000000">
      <w:pPr>
        <w:ind w:left="432"/>
        <w:jc w:val="both"/>
        <w:rPr>
          <w:lang w:val="es-PE"/>
        </w:rPr>
      </w:pPr>
      <w:r w:rsidRPr="00D95892">
        <w:rPr>
          <w:i/>
          <w:color w:val="505050"/>
          <w:sz w:val="21"/>
          <w:lang w:val="es-PE"/>
        </w:rPr>
        <w:t xml:space="preserve">Por qué es relevante: Estudio seminal del ERPT a precios de importación para 23 países OCDE (1975–2003). Establece que el </w:t>
      </w:r>
      <w:proofErr w:type="spellStart"/>
      <w:r w:rsidRPr="00D95892">
        <w:rPr>
          <w:i/>
          <w:color w:val="505050"/>
          <w:sz w:val="21"/>
          <w:lang w:val="es-PE"/>
        </w:rPr>
        <w:t>pass-through</w:t>
      </w:r>
      <w:proofErr w:type="spellEnd"/>
      <w:r w:rsidRPr="00D95892">
        <w:rPr>
          <w:i/>
          <w:color w:val="505050"/>
          <w:sz w:val="21"/>
          <w:lang w:val="es-PE"/>
        </w:rPr>
        <w:t xml:space="preserve"> es incompleto en el corto plazo e intensifica en el largo plazo, con variación significativa entre sectores. Base teórica y empírica fundamental para cualquier análisis sectorial del </w:t>
      </w:r>
      <w:proofErr w:type="spellStart"/>
      <w:r w:rsidRPr="00D95892">
        <w:rPr>
          <w:i/>
          <w:color w:val="505050"/>
          <w:sz w:val="21"/>
          <w:lang w:val="es-PE"/>
        </w:rPr>
        <w:t>pass-through</w:t>
      </w:r>
      <w:proofErr w:type="spellEnd"/>
      <w:r w:rsidRPr="00D95892">
        <w:rPr>
          <w:i/>
          <w:color w:val="505050"/>
          <w:sz w:val="21"/>
          <w:lang w:val="es-PE"/>
        </w:rPr>
        <w:t>.</w:t>
      </w:r>
    </w:p>
    <w:p w14:paraId="422E40B4" w14:textId="77777777" w:rsidR="00464D89" w:rsidRPr="00D95892" w:rsidRDefault="00464D89">
      <w:pPr>
        <w:rPr>
          <w:lang w:val="es-PE"/>
        </w:rPr>
      </w:pPr>
    </w:p>
    <w:p w14:paraId="03750A2B" w14:textId="77777777" w:rsidR="00464D89" w:rsidRDefault="00000000">
      <w:pPr>
        <w:spacing w:after="40"/>
        <w:jc w:val="both"/>
      </w:pPr>
      <w:r>
        <w:rPr>
          <w:b/>
        </w:rPr>
        <w:t xml:space="preserve">4. </w:t>
      </w:r>
      <w:r>
        <w:t xml:space="preserve">Choudhri, E. U., &amp; Hakura, D. S. (2015). The exchange rate pass-through to import and export prices: The role of nominal rigidities and currency choice. </w:t>
      </w:r>
      <w:r>
        <w:rPr>
          <w:i/>
        </w:rPr>
        <w:t>Journal of International Money and Finance</w:t>
      </w:r>
      <w:r>
        <w:t>, 51, 1–25. https://doi.org/10.1016/j.jimonfin.2014.09.006</w:t>
      </w:r>
    </w:p>
    <w:p w14:paraId="3C13BFC1" w14:textId="77777777" w:rsidR="00464D89" w:rsidRPr="00D95892" w:rsidRDefault="00000000">
      <w:pPr>
        <w:ind w:left="432"/>
        <w:jc w:val="both"/>
        <w:rPr>
          <w:lang w:val="es-PE"/>
        </w:rPr>
      </w:pPr>
      <w:r w:rsidRPr="00D95892">
        <w:rPr>
          <w:i/>
          <w:color w:val="505050"/>
          <w:sz w:val="21"/>
          <w:lang w:val="es-PE"/>
        </w:rPr>
        <w:t>Por qué es relevante: Explica la incompletitud del ERPT mediante un modelo híbrido PCP-LCP para 34 países (1979–2010). Fundamenta por qué el traspaso difiere entre sectores: las empresas que fijan precios en moneda local amortiguan el shock cambiario. Marco teórico esencial para la heterogeneidad sectorial.</w:t>
      </w:r>
    </w:p>
    <w:p w14:paraId="5CB0286D" w14:textId="77777777" w:rsidR="00464D89" w:rsidRPr="00D95892" w:rsidRDefault="00464D89">
      <w:pPr>
        <w:rPr>
          <w:lang w:val="es-PE"/>
        </w:rPr>
      </w:pPr>
    </w:p>
    <w:p w14:paraId="6D0BCB37" w14:textId="77777777" w:rsidR="00464D89" w:rsidRPr="00D95892" w:rsidRDefault="00000000">
      <w:pPr>
        <w:spacing w:after="40"/>
        <w:jc w:val="both"/>
        <w:rPr>
          <w:lang w:val="es-PE"/>
        </w:rPr>
      </w:pPr>
      <w:r w:rsidRPr="00D95892">
        <w:rPr>
          <w:b/>
          <w:lang w:val="es-PE"/>
        </w:rPr>
        <w:t xml:space="preserve">5. </w:t>
      </w:r>
      <w:proofErr w:type="spellStart"/>
      <w:r w:rsidRPr="00D95892">
        <w:rPr>
          <w:lang w:val="es-PE"/>
        </w:rPr>
        <w:t>Bussière</w:t>
      </w:r>
      <w:proofErr w:type="spellEnd"/>
      <w:r w:rsidRPr="00D95892">
        <w:rPr>
          <w:lang w:val="es-PE"/>
        </w:rPr>
        <w:t xml:space="preserve">, M., Delle Chiaie, S., &amp; Peltonen, T. A. (2013). </w:t>
      </w:r>
      <w:r>
        <w:t xml:space="preserve">Exchange rate pass-through in the global economy (SSRN Working Paper No. 2226259). </w:t>
      </w:r>
      <w:r w:rsidRPr="00D95892">
        <w:rPr>
          <w:lang w:val="es-PE"/>
        </w:rPr>
        <w:t>SSRN. https://doi.org/10.2139/ssrn.2226259</w:t>
      </w:r>
    </w:p>
    <w:p w14:paraId="787FF337" w14:textId="77777777" w:rsidR="00464D89" w:rsidRPr="00D95892" w:rsidRDefault="00000000">
      <w:pPr>
        <w:ind w:left="432"/>
        <w:jc w:val="both"/>
        <w:rPr>
          <w:lang w:val="es-PE"/>
        </w:rPr>
      </w:pPr>
      <w:r w:rsidRPr="00D95892">
        <w:rPr>
          <w:i/>
          <w:color w:val="505050"/>
          <w:sz w:val="21"/>
          <w:lang w:val="es-PE"/>
        </w:rPr>
        <w:t xml:space="preserve">Por qué es relevante: Analiza el ERPT para 40 países (1990–2011) usando panel GMM, la misma metodología propuesta. Muestra que la elasticidad del </w:t>
      </w:r>
      <w:proofErr w:type="spellStart"/>
      <w:r w:rsidRPr="00D95892">
        <w:rPr>
          <w:i/>
          <w:color w:val="505050"/>
          <w:sz w:val="21"/>
          <w:lang w:val="es-PE"/>
        </w:rPr>
        <w:t>pass-through</w:t>
      </w:r>
      <w:proofErr w:type="spellEnd"/>
      <w:r w:rsidRPr="00D95892">
        <w:rPr>
          <w:i/>
          <w:color w:val="505050"/>
          <w:sz w:val="21"/>
          <w:lang w:val="es-PE"/>
        </w:rPr>
        <w:t xml:space="preserve"> varía significativamente según el tipo de bien y la estructura económica del país. Referencia metodológica central para el uso de GMM en este contexto.</w:t>
      </w:r>
    </w:p>
    <w:p w14:paraId="5FA27718" w14:textId="34FF821A" w:rsidR="00464D89" w:rsidRPr="004D79F8" w:rsidRDefault="004D79F8">
      <w:pPr>
        <w:rPr>
          <w:lang w:val="es-PE"/>
        </w:rPr>
      </w:pPr>
      <w:r>
        <w:rPr>
          <w:lang w:val="es-PE"/>
        </w:rPr>
        <w:t>6.</w:t>
      </w:r>
      <w:r w:rsidRPr="004D79F8">
        <w:rPr>
          <w:lang w:val="es-PE"/>
        </w:rPr>
        <w:t xml:space="preserve"> </w:t>
      </w:r>
      <w:r w:rsidRPr="004D79F8">
        <w:rPr>
          <w:lang w:val="es-PE"/>
        </w:rPr>
        <w:t xml:space="preserve">Maertens </w:t>
      </w:r>
      <w:proofErr w:type="spellStart"/>
      <w:r w:rsidRPr="004D79F8">
        <w:rPr>
          <w:lang w:val="es-PE"/>
        </w:rPr>
        <w:t>Odria</w:t>
      </w:r>
      <w:proofErr w:type="spellEnd"/>
      <w:r w:rsidRPr="004D79F8">
        <w:rPr>
          <w:lang w:val="es-PE"/>
        </w:rPr>
        <w:t xml:space="preserve">, L. R., Castillo, P., &amp; </w:t>
      </w:r>
      <w:proofErr w:type="spellStart"/>
      <w:r w:rsidRPr="004D79F8">
        <w:rPr>
          <w:lang w:val="es-PE"/>
        </w:rPr>
        <w:t>Rodriguez</w:t>
      </w:r>
      <w:proofErr w:type="spellEnd"/>
      <w:r w:rsidRPr="004D79F8">
        <w:rPr>
          <w:lang w:val="es-PE"/>
        </w:rPr>
        <w:t xml:space="preserve">, G. (2012). </w:t>
      </w:r>
      <w:r w:rsidRPr="004D79F8">
        <w:t xml:space="preserve">Does the exchange rate pass-through into prices change when inflation targeting is adopted? The Peruvian case study between 1994 and 2007. Journal of Macroeconomics, 34(4), 1154–1166. </w:t>
      </w:r>
      <w:hyperlink r:id="rId6" w:history="1">
        <w:r w:rsidRPr="004D79F8">
          <w:rPr>
            <w:rStyle w:val="Hipervnculo"/>
            <w:lang w:val="es-PE"/>
          </w:rPr>
          <w:t>https://doi.org/10.1016/j.jmacro.2012.07.001</w:t>
        </w:r>
      </w:hyperlink>
    </w:p>
    <w:p w14:paraId="519A9C3C" w14:textId="7F123C99" w:rsidR="004D79F8" w:rsidRDefault="004D79F8">
      <w:r w:rsidRPr="004D79F8">
        <w:rPr>
          <w:lang w:val="es-PE"/>
        </w:rPr>
        <w:t xml:space="preserve">7. </w:t>
      </w:r>
      <w:r w:rsidRPr="004D79F8">
        <w:rPr>
          <w:lang w:val="es-PE"/>
        </w:rPr>
        <w:t xml:space="preserve">Guillermo Peón, S. B., &amp; Rodríguez Brindis, M. A. (2014). </w:t>
      </w:r>
      <w:proofErr w:type="spellStart"/>
      <w:r w:rsidRPr="004D79F8">
        <w:rPr>
          <w:lang w:val="es-PE"/>
        </w:rPr>
        <w:t>Analyzing</w:t>
      </w:r>
      <w:proofErr w:type="spellEnd"/>
      <w:r w:rsidRPr="004D79F8">
        <w:rPr>
          <w:lang w:val="es-PE"/>
        </w:rPr>
        <w:t xml:space="preserve"> </w:t>
      </w:r>
      <w:proofErr w:type="spellStart"/>
      <w:r w:rsidRPr="004D79F8">
        <w:rPr>
          <w:lang w:val="es-PE"/>
        </w:rPr>
        <w:t>the</w:t>
      </w:r>
      <w:proofErr w:type="spellEnd"/>
      <w:r w:rsidRPr="004D79F8">
        <w:rPr>
          <w:lang w:val="es-PE"/>
        </w:rPr>
        <w:t xml:space="preserve"> Exchange Rate Pass-</w:t>
      </w:r>
      <w:proofErr w:type="spellStart"/>
      <w:r w:rsidRPr="004D79F8">
        <w:rPr>
          <w:lang w:val="es-PE"/>
        </w:rPr>
        <w:t>through</w:t>
      </w:r>
      <w:proofErr w:type="spellEnd"/>
      <w:r w:rsidRPr="004D79F8">
        <w:rPr>
          <w:lang w:val="es-PE"/>
        </w:rPr>
        <w:t xml:space="preserve"> in Mexico: </w:t>
      </w:r>
      <w:proofErr w:type="spellStart"/>
      <w:r w:rsidRPr="004D79F8">
        <w:rPr>
          <w:lang w:val="es-PE"/>
        </w:rPr>
        <w:t>Evidence</w:t>
      </w:r>
      <w:proofErr w:type="spellEnd"/>
      <w:r w:rsidRPr="004D79F8">
        <w:rPr>
          <w:lang w:val="es-PE"/>
        </w:rPr>
        <w:t xml:space="preserve"> Post </w:t>
      </w:r>
      <w:proofErr w:type="spellStart"/>
      <w:r w:rsidRPr="004D79F8">
        <w:rPr>
          <w:lang w:val="es-PE"/>
        </w:rPr>
        <w:t>Inflation</w:t>
      </w:r>
      <w:proofErr w:type="spellEnd"/>
      <w:r w:rsidRPr="004D79F8">
        <w:rPr>
          <w:lang w:val="es-PE"/>
        </w:rPr>
        <w:t xml:space="preserve"> Targeting </w:t>
      </w:r>
      <w:proofErr w:type="spellStart"/>
      <w:r w:rsidRPr="004D79F8">
        <w:rPr>
          <w:lang w:val="es-PE"/>
        </w:rPr>
        <w:t>Implementation</w:t>
      </w:r>
      <w:proofErr w:type="spellEnd"/>
      <w:r w:rsidRPr="004D79F8">
        <w:rPr>
          <w:lang w:val="es-PE"/>
        </w:rPr>
        <w:t xml:space="preserve"> [Analizando el traspaso del tipo de cambio en México: evidencia tras la implementación de la política de inflación objetivo]. </w:t>
      </w:r>
      <w:proofErr w:type="spellStart"/>
      <w:r w:rsidRPr="004D79F8">
        <w:t>Ensayos</w:t>
      </w:r>
      <w:proofErr w:type="spellEnd"/>
      <w:r w:rsidRPr="004D79F8">
        <w:t xml:space="preserve"> </w:t>
      </w:r>
      <w:proofErr w:type="spellStart"/>
      <w:r w:rsidRPr="004D79F8">
        <w:t>sobre</w:t>
      </w:r>
      <w:proofErr w:type="spellEnd"/>
      <w:r w:rsidRPr="004D79F8">
        <w:t xml:space="preserve"> Política </w:t>
      </w:r>
      <w:proofErr w:type="spellStart"/>
      <w:r w:rsidRPr="004D79F8">
        <w:t>Económica</w:t>
      </w:r>
      <w:proofErr w:type="spellEnd"/>
      <w:r w:rsidRPr="004D79F8">
        <w:t xml:space="preserve">, 32(74), 18–35. </w:t>
      </w:r>
      <w:hyperlink r:id="rId7" w:history="1">
        <w:r w:rsidRPr="00B94155">
          <w:rPr>
            <w:rStyle w:val="Hipervnculo"/>
          </w:rPr>
          <w:t>https://doi.org/10.1016/S1135-2523(14)70003-0</w:t>
        </w:r>
      </w:hyperlink>
      <w:r>
        <w:t xml:space="preserve"> </w:t>
      </w:r>
    </w:p>
    <w:p w14:paraId="33BD68B1" w14:textId="0B5D705F" w:rsidR="004D79F8" w:rsidRDefault="004D79F8">
      <w:r>
        <w:t xml:space="preserve">8. </w:t>
      </w:r>
      <w:r w:rsidRPr="004D79F8">
        <w:t xml:space="preserve">Yoshida, Y., &amp; Zhai, W. (2025). Can exchange rate pass-throughs be perverse? A robust multiple-prior Bayesian SVAR approach. Journal of International Money and Finance, 154, </w:t>
      </w:r>
      <w:proofErr w:type="spellStart"/>
      <w:r w:rsidRPr="004D79F8">
        <w:t>Artículo</w:t>
      </w:r>
      <w:proofErr w:type="spellEnd"/>
      <w:r w:rsidRPr="004D79F8">
        <w:t xml:space="preserve"> 103312. </w:t>
      </w:r>
      <w:hyperlink r:id="rId8" w:history="1">
        <w:r w:rsidRPr="00B94155">
          <w:rPr>
            <w:rStyle w:val="Hipervnculo"/>
          </w:rPr>
          <w:t>https://doi.org/10.1016/j.jimonfin.2025.103312</w:t>
        </w:r>
      </w:hyperlink>
      <w:r>
        <w:t xml:space="preserve"> </w:t>
      </w:r>
    </w:p>
    <w:p w14:paraId="012C2FF2" w14:textId="689F2C3D" w:rsidR="004D79F8" w:rsidRDefault="004D79F8">
      <w:r>
        <w:lastRenderedPageBreak/>
        <w:t xml:space="preserve">9. </w:t>
      </w:r>
      <w:r w:rsidRPr="004D79F8">
        <w:t xml:space="preserve">Wang, Y., Wang, L., Pan, C., &amp; Hong, S. (2022). Economic policy uncertainty and price pass-through effect of exchange rate in China. Pacific-Basin Finance Journal, 75, </w:t>
      </w:r>
      <w:proofErr w:type="spellStart"/>
      <w:r w:rsidRPr="004D79F8">
        <w:t>Artículo</w:t>
      </w:r>
      <w:proofErr w:type="spellEnd"/>
      <w:r w:rsidRPr="004D79F8">
        <w:t xml:space="preserve"> 101844. </w:t>
      </w:r>
      <w:hyperlink r:id="rId9" w:history="1">
        <w:r w:rsidRPr="00B94155">
          <w:rPr>
            <w:rStyle w:val="Hipervnculo"/>
          </w:rPr>
          <w:t>https://doi.org/10.1016/j.pacfin.2022.101844</w:t>
        </w:r>
      </w:hyperlink>
    </w:p>
    <w:p w14:paraId="1294123E" w14:textId="71BBF89A" w:rsidR="004D79F8" w:rsidRPr="004D79F8" w:rsidRDefault="004D79F8">
      <w:r>
        <w:t xml:space="preserve">10. </w:t>
      </w:r>
      <w:r w:rsidRPr="004D79F8">
        <w:t xml:space="preserve">Amoah, L., &amp; </w:t>
      </w:r>
      <w:proofErr w:type="spellStart"/>
      <w:r w:rsidRPr="004D79F8">
        <w:t>Aziakpono</w:t>
      </w:r>
      <w:proofErr w:type="spellEnd"/>
      <w:r w:rsidRPr="004D79F8">
        <w:t>, M. J. (2018). Exchange rate pass-through to consumer prices in Ghana: is there asymmetry? International Journal of Emerging Markets, 13(1), 162–184. https://doi.org/10.1108/IJOEM-07-2016-0179</w:t>
      </w:r>
    </w:p>
    <w:sectPr w:rsidR="004D79F8" w:rsidRPr="004D79F8"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26975108">
    <w:abstractNumId w:val="8"/>
  </w:num>
  <w:num w:numId="2" w16cid:durableId="2012364892">
    <w:abstractNumId w:val="6"/>
  </w:num>
  <w:num w:numId="3" w16cid:durableId="1667707136">
    <w:abstractNumId w:val="5"/>
  </w:num>
  <w:num w:numId="4" w16cid:durableId="304506480">
    <w:abstractNumId w:val="4"/>
  </w:num>
  <w:num w:numId="5" w16cid:durableId="1384983656">
    <w:abstractNumId w:val="7"/>
  </w:num>
  <w:num w:numId="6" w16cid:durableId="904607498">
    <w:abstractNumId w:val="3"/>
  </w:num>
  <w:num w:numId="7" w16cid:durableId="1873955419">
    <w:abstractNumId w:val="2"/>
  </w:num>
  <w:num w:numId="8" w16cid:durableId="1324309820">
    <w:abstractNumId w:val="1"/>
  </w:num>
  <w:num w:numId="9" w16cid:durableId="29360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6F4"/>
    <w:rsid w:val="0015074B"/>
    <w:rsid w:val="0029639D"/>
    <w:rsid w:val="00326F90"/>
    <w:rsid w:val="00464D89"/>
    <w:rsid w:val="004D79F8"/>
    <w:rsid w:val="00876731"/>
    <w:rsid w:val="00AA1D8D"/>
    <w:rsid w:val="00B47730"/>
    <w:rsid w:val="00C36359"/>
    <w:rsid w:val="00CB0664"/>
    <w:rsid w:val="00D95892"/>
    <w:rsid w:val="00EC6A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CD9A4"/>
  <w14:defaultImageDpi w14:val="300"/>
  <w15:docId w15:val="{3B85ED18-D247-4F98-870C-91590BD1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D79F8"/>
    <w:rPr>
      <w:color w:val="0000FF" w:themeColor="hyperlink"/>
      <w:u w:val="single"/>
    </w:rPr>
  </w:style>
  <w:style w:type="character" w:styleId="Mencinsinresolver">
    <w:name w:val="Unresolved Mention"/>
    <w:basedOn w:val="Fuentedeprrafopredeter"/>
    <w:uiPriority w:val="99"/>
    <w:semiHidden/>
    <w:unhideWhenUsed/>
    <w:rsid w:val="004D7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imonfin.2025.103312" TargetMode="External"/><Relationship Id="rId3" Type="http://schemas.openxmlformats.org/officeDocument/2006/relationships/styles" Target="styles.xml"/><Relationship Id="rId7" Type="http://schemas.openxmlformats.org/officeDocument/2006/relationships/hyperlink" Target="https://doi.org/10.1016/S1135-2523(14)70003-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jmacro.2012.07.00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pacfin.2022.1018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1050</Words>
  <Characters>5781</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LUIS VALER OSIS</cp:lastModifiedBy>
  <cp:revision>4</cp:revision>
  <dcterms:created xsi:type="dcterms:W3CDTF">2013-12-23T23:15:00Z</dcterms:created>
  <dcterms:modified xsi:type="dcterms:W3CDTF">2026-05-16T18:41:00Z</dcterms:modified>
  <cp:category/>
</cp:coreProperties>
</file>