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4"/>
        </w:rPr>
        <w:t>Referencias Bibliograficas para la Investigacion</w:t>
      </w:r>
    </w:p>
    <w:p/>
    <w:p>
      <w:pPr>
        <w:jc w:val="center"/>
      </w:pPr>
      <w:r>
        <w:rPr>
          <w:i/>
          <w:color w:val="2E74B5"/>
          <w:sz w:val="22"/>
        </w:rPr>
        <w:t>Efectos dinamicos del Indice de Presion Cambiaria sobre el canal</w:t>
        <w:br/>
        <w:t>crediticio y la actividad economica en Peru: evidencia de un modelo VAR, 2004-2025</w:t>
      </w:r>
    </w:p>
    <w:p/>
    <w:p>
      <w:pPr>
        <w:jc w:val="center"/>
      </w:pPr>
      <w:r>
        <w:rPr>
          <w:color w:val="555555"/>
          <w:sz w:val="20"/>
        </w:rPr>
        <w:t>Teoria y Politica Monetaria  |  ULIMA 2026-1</w:t>
        <w:br/>
        <w:t>Fuentes: ScienceDirect (Elsevier) y Scopus</w:t>
        <w:br/>
        <w:t>Referencias en formato APA 7a edicion  |  13 papers</w:t>
      </w:r>
    </w:p>
    <w:p>
      <w:r>
        <w:br w:type="page"/>
      </w:r>
    </w:p>
    <w:p>
      <w:pPr>
        <w:spacing w:before="360" w:after="120"/>
      </w:pPr>
      <w:r>
        <w:rPr>
          <w:b/>
          <w:color w:val="2E74B5"/>
          <w:sz w:val="26"/>
        </w:rPr>
        <w:t>Introduccion</w:t>
      </w:r>
    </w:p>
    <w:p>
      <w:pPr>
        <w:spacing w:after="100"/>
      </w:pPr>
      <w:r>
        <w:rPr>
          <w:sz w:val="20"/>
        </w:rPr>
        <w:t>Este documento compila 13 referencias academicas que sustentan el diseno y la justificacion del modelo VAR propuesto. El modelo estudia como el Indice de Presion Cambiaria (IPC = variacion del tipo de cambio + variacion de reservas internacionales, siguiendo Girton &amp; Roper, 1977) transmite sus efectos sobre el credito, la actividad economica y la inflacion en Peru durante el periodo 2004-2025.</w:t>
      </w:r>
    </w:p>
    <w:p>
      <w:pPr>
        <w:spacing w:after="100"/>
      </w:pPr>
      <w:r>
        <w:rPr>
          <w:sz w:val="20"/>
        </w:rPr>
        <w:t>Las referencias estan organizadas en seis secciones: (1) definicion y marco conceptual del IPC, (2) IPC y condiciones crediticias globales, (3) cadena de transmision IPC → actividad → inflacion, (4) evidencia especifica para Peru, (5) causalidad de Granger y metodologia VAR, y (6) choques externos y economias emergentes. Cada referencia incluye los cinco campos solicitados.</w:t>
      </w:r>
    </w:p>
    <w:p>
      <w:r>
        <w:br w:type="page"/>
      </w:r>
    </w:p>
    <w:p>
      <w:pPr>
        <w:spacing w:before="360" w:after="120"/>
      </w:pPr>
      <w:r>
        <w:rPr>
          <w:b/>
          <w:color w:val="2E74B5"/>
          <w:sz w:val="26"/>
        </w:rPr>
        <w:t>Seccion 1: Definicion y Marco Conceptual del Indice de Presion Cambiaria</w:t>
      </w:r>
    </w:p>
    <w:p>
      <w:pPr>
        <w:spacing w:before="280" w:after="60"/>
      </w:pPr>
      <w:r>
        <w:rPr>
          <w:b/>
          <w:color w:val="1D603A"/>
          <w:sz w:val="22"/>
        </w:rPr>
        <w:t>[1]  Girton &amp; Roper (1977)  |  Scopus — American Economic Review</w:t>
      </w:r>
    </w:p>
    <w:p>
      <w:pPr>
        <w:spacing w:after="120"/>
        <w:ind w:left="720" w:hanging="720"/>
      </w:pPr>
      <w:r>
        <w:rPr>
          <w:sz w:val="20"/>
        </w:rPr>
        <w:t>Girton, L., &amp; Roper, D. (1977). A monetary model of exchange market pressure applied to the postwar Canadian experience. American Economic Review, 67(4), 537-548. https://www.jstor.org/stable/1813444</w:t>
      </w:r>
    </w:p>
    <w:p>
      <w:pPr>
        <w:spacing w:after="40"/>
        <w:ind w:left="216"/>
      </w:pPr>
      <w:r>
        <w:rPr>
          <w:b/>
          <w:color w:val="1F497D"/>
          <w:sz w:val="20"/>
        </w:rPr>
        <w:t xml:space="preserve">1. Que investigan: </w:t>
      </w:r>
      <w:r>
        <w:rPr>
          <w:sz w:val="20"/>
        </w:rPr>
        <w:t>Proponen y aplican el primer modelo formal del Indice de Presion Cambiaria (EMP/IPC), definido como EMP = delta(tipo de cambio) + delta(reservas), bajo el enfoque monetario de la balanza de pagos. Evaluan si la presion cambiaria sobre Canada responde a diferenciales de credito domestico y condiciones monetarias externas.</w:t>
      </w:r>
    </w:p>
    <w:p>
      <w:pPr>
        <w:spacing w:after="40"/>
        <w:ind w:left="216"/>
      </w:pPr>
      <w:r>
        <w:rPr>
          <w:b/>
          <w:color w:val="1F497D"/>
          <w:sz w:val="20"/>
        </w:rPr>
        <w:t xml:space="preserve">2. Marco transversal y periodo: </w:t>
      </w:r>
      <w:r>
        <w:rPr>
          <w:sz w:val="20"/>
        </w:rPr>
        <w:t>Canada, posguerra (aproximadamente decadas de 1950-1970). Datos anuales de la experiencia canadiense de posguerra.</w:t>
      </w:r>
    </w:p>
    <w:p>
      <w:pPr>
        <w:spacing w:after="40"/>
        <w:ind w:left="216"/>
      </w:pPr>
      <w:r>
        <w:rPr>
          <w:b/>
          <w:color w:val="1F497D"/>
          <w:sz w:val="20"/>
        </w:rPr>
        <w:t xml:space="preserve">3. Metodologia: </w:t>
      </w:r>
      <w:r>
        <w:rPr>
          <w:sz w:val="20"/>
        </w:rPr>
        <w:t>Modelo monetario de la balanza de pagos estimado mediante MCO. Introduce la identidad EMP = Delta(e) + Delta(r) como medida compuesta de la presion total sobre el mercado cambiario.</w:t>
      </w:r>
    </w:p>
    <w:p>
      <w:pPr>
        <w:spacing w:after="40"/>
        <w:ind w:left="216"/>
      </w:pPr>
      <w:r>
        <w:rPr>
          <w:b/>
          <w:color w:val="1F497D"/>
          <w:sz w:val="20"/>
        </w:rPr>
        <w:t xml:space="preserve">4. Principales hallazgos: </w:t>
      </w:r>
      <w:r>
        <w:rPr>
          <w:sz w:val="20"/>
        </w:rPr>
        <w:t>El IPC responde significativamente a los diferenciales de crecimiento del credito domestico y a las condiciones monetarias externas. Un exceso de credito domestico genera presion depreciativa manifestada en perdida de reservas o depreciacion del tipo de cambio. La suma de ambas respuestas es el IPC.</w:t>
      </w:r>
    </w:p>
    <w:p>
      <w:pPr>
        <w:spacing w:after="40"/>
        <w:ind w:left="216"/>
      </w:pPr>
      <w:r>
        <w:rPr>
          <w:b/>
          <w:color w:val="1F497D"/>
          <w:sz w:val="20"/>
        </w:rPr>
        <w:t xml:space="preserve">5. Cita APA 7: </w:t>
      </w:r>
      <w:r>
        <w:rPr>
          <w:sz w:val="20"/>
        </w:rPr>
        <w:t>Girton, L., &amp; Roper, D. (1977). A monetary model of exchange market pressure applied to the postwar Canadian experience. American Economic Review, 67(4), 537-548.</w:t>
      </w:r>
    </w:p>
    <w:p>
      <w:pPr>
        <w:spacing w:before="120" w:after="240"/>
      </w:pPr>
      <w:r>
        <w:rPr>
          <w:color w:val="CCCCCC"/>
          <w:sz w:val="16"/>
        </w:rPr>
        <w:t>───────────────────────────────────────────────────────────────────────────────────────────────</w:t>
      </w:r>
    </w:p>
    <w:p>
      <w:pPr>
        <w:spacing w:before="280" w:after="60"/>
      </w:pPr>
      <w:r>
        <w:rPr>
          <w:b/>
          <w:color w:val="1D603A"/>
          <w:sz w:val="22"/>
        </w:rPr>
        <w:t>[2]  Aizenman &amp; Binici (2016)  |  ScienceDirect — Journal of International Money and Finance</w:t>
      </w:r>
    </w:p>
    <w:p>
      <w:pPr>
        <w:spacing w:after="120"/>
        <w:ind w:left="720" w:hanging="720"/>
      </w:pPr>
      <w:r>
        <w:rPr>
          <w:sz w:val="20"/>
        </w:rPr>
        <w:t>Aizenman, J., &amp; Binici, M. (2016). Exchange market pressure in OECD and emerging economies: Domestic vs. external factors and capital flows in the old and new normal. Journal of International Money and Finance, 66, 65-87. https://doi.org/10.1016/j.jimonfin.2015.12.008</w:t>
      </w:r>
    </w:p>
    <w:p>
      <w:pPr>
        <w:spacing w:after="40"/>
        <w:ind w:left="216"/>
      </w:pPr>
      <w:r>
        <w:rPr>
          <w:b/>
          <w:color w:val="1F497D"/>
          <w:sz w:val="20"/>
        </w:rPr>
        <w:t xml:space="preserve">1. Que investigan: </w:t>
      </w:r>
      <w:r>
        <w:rPr>
          <w:sz w:val="20"/>
        </w:rPr>
        <w:t>Descomponen los determinantes del IPC en 50 economias de la OCDE y mercados emergentes, distinguiendo entre factores domesticos (tasas de interes, credito) y externos (liquidez global, politica monetaria de EE.UU., precios de commodities, flujos de capital brutos). Evaluan si la naturaleza del IPC cambia entre el 'viejo normal' (pre-2008) y el 'nuevo normal' (post-2008).</w:t>
      </w:r>
    </w:p>
    <w:p>
      <w:pPr>
        <w:spacing w:after="40"/>
        <w:ind w:left="216"/>
      </w:pPr>
      <w:r>
        <w:rPr>
          <w:b/>
          <w:color w:val="1F497D"/>
          <w:sz w:val="20"/>
        </w:rPr>
        <w:t xml:space="preserve">2. Marco transversal y periodo: </w:t>
      </w:r>
      <w:r>
        <w:rPr>
          <w:sz w:val="20"/>
        </w:rPr>
        <w:t>Panel de 50 paises (OCDE + emergentes, incluidos Peru y paises de AL). Datos trimestrales, 2000T1-2014T3.</w:t>
      </w:r>
    </w:p>
    <w:p>
      <w:pPr>
        <w:spacing w:after="40"/>
        <w:ind w:left="216"/>
      </w:pPr>
      <w:r>
        <w:rPr>
          <w:b/>
          <w:color w:val="1F497D"/>
          <w:sz w:val="20"/>
        </w:rPr>
        <w:t xml:space="preserve">3. Metodologia: </w:t>
      </w:r>
      <w:r>
        <w:rPr>
          <w:sz w:val="20"/>
        </w:rPr>
        <w:t>Panel dinamico con GMM sistema (Arellano-Bond). Variables clave: EMPI, apetito de riesgo global, liquidez global, tasa de la Fed, precios de commodities, flujos de capital brutos (portafolio, IED), controles de capital.</w:t>
      </w:r>
    </w:p>
    <w:p>
      <w:pPr>
        <w:spacing w:after="40"/>
        <w:ind w:left="216"/>
      </w:pPr>
      <w:r>
        <w:rPr>
          <w:b/>
          <w:color w:val="1F497D"/>
          <w:sz w:val="20"/>
        </w:rPr>
        <w:t xml:space="preserve">4. Principales hallazgos: </w:t>
      </w:r>
      <w:r>
        <w:rPr>
          <w:sz w:val="20"/>
        </w:rPr>
        <w:t>Los factores externos tienen mayor impacto sobre el IPC en economias emergentes que en OCDE, validando la vulnerabilidad de Peru como exportador de commodities. Los flujos de portafolio de corto plazo son el canal dominante de generacion del IPC en emergentes. Post-2008, los factores monetarios externos amplificaron sustancialmente la transmision del IPC.</w:t>
      </w:r>
    </w:p>
    <w:p>
      <w:pPr>
        <w:spacing w:after="40"/>
        <w:ind w:left="216"/>
      </w:pPr>
      <w:r>
        <w:rPr>
          <w:b/>
          <w:color w:val="1F497D"/>
          <w:sz w:val="20"/>
        </w:rPr>
        <w:t xml:space="preserve">5. Cita APA 7: </w:t>
      </w:r>
      <w:r>
        <w:rPr>
          <w:sz w:val="20"/>
        </w:rPr>
        <w:t>Aizenman, J., &amp; Binici, M. (2016). Exchange market pressure in OECD and emerging economies: Domestic vs. external factors and capital flows in the old and new normal. Journal of International Money and Finance, 66, 65-87. https://doi.org/10.1016/j.jimonfin.2015.12.008</w:t>
      </w:r>
    </w:p>
    <w:p>
      <w:pPr>
        <w:spacing w:before="120" w:after="240"/>
      </w:pPr>
      <w:r>
        <w:rPr>
          <w:color w:val="CCCCCC"/>
          <w:sz w:val="16"/>
        </w:rPr>
        <w:t>───────────────────────────────────────────────────────────────────────────────────────────────</w:t>
      </w:r>
    </w:p>
    <w:p>
      <w:r>
        <w:br w:type="page"/>
      </w:r>
    </w:p>
    <w:p>
      <w:pPr>
        <w:spacing w:before="360" w:after="120"/>
      </w:pPr>
      <w:r>
        <w:rPr>
          <w:b/>
          <w:color w:val="2E74B5"/>
          <w:sz w:val="26"/>
        </w:rPr>
        <w:t>Seccion 2: IPC y Condiciones Crediticias en Economias Emergentes</w:t>
      </w:r>
    </w:p>
    <w:p>
      <w:pPr>
        <w:spacing w:before="280" w:after="60"/>
      </w:pPr>
      <w:r>
        <w:rPr>
          <w:b/>
          <w:color w:val="1D603A"/>
          <w:sz w:val="22"/>
        </w:rPr>
        <w:t>[3]  Keefe (2021)  |  ScienceDirect — Journal of International Financial Markets, Institutions and Money</w:t>
      </w:r>
    </w:p>
    <w:p>
      <w:pPr>
        <w:spacing w:after="120"/>
        <w:ind w:left="720" w:hanging="720"/>
      </w:pPr>
      <w:r>
        <w:rPr>
          <w:sz w:val="20"/>
        </w:rPr>
        <w:t>Keefe, H. G. (2021). The transmission of global monetary and credit shocks on exchange market pressure in emerging markets and developing economies. Journal of International Financial Markets, Institutions and Money, 72, 101302. https://doi.org/10.1016/j.intfin.2021.101302</w:t>
      </w:r>
    </w:p>
    <w:p>
      <w:pPr>
        <w:spacing w:after="40"/>
        <w:ind w:left="216"/>
      </w:pPr>
      <w:r>
        <w:rPr>
          <w:b/>
          <w:color w:val="1F497D"/>
          <w:sz w:val="20"/>
        </w:rPr>
        <w:t xml:space="preserve">1. Que investigan: </w:t>
      </w:r>
      <w:r>
        <w:rPr>
          <w:sz w:val="20"/>
        </w:rPr>
        <w:t>Analizan como los shocks en condiciones monetarias y crediticias globales de economias avanzadas se transmiten al IPC de 40 economias emergentes y en desarrollo (EMDEs). Evaluan si la apertura comercial y financiera del pais modera el tamano del impacto.</w:t>
      </w:r>
    </w:p>
    <w:p>
      <w:pPr>
        <w:spacing w:after="40"/>
        <w:ind w:left="216"/>
      </w:pPr>
      <w:r>
        <w:rPr>
          <w:b/>
          <w:color w:val="1F497D"/>
          <w:sz w:val="20"/>
        </w:rPr>
        <w:t xml:space="preserve">2. Marco transversal y periodo: </w:t>
      </w:r>
      <w:r>
        <w:rPr>
          <w:sz w:val="20"/>
        </w:rPr>
        <w:t>Panel de 40 EMDEs clasificadas por grado de apertura comercial y financiera. Datos mensuales, 1998-2016.</w:t>
      </w:r>
    </w:p>
    <w:p>
      <w:pPr>
        <w:spacing w:after="40"/>
        <w:ind w:left="216"/>
      </w:pPr>
      <w:r>
        <w:rPr>
          <w:b/>
          <w:color w:val="1F497D"/>
          <w:sz w:val="20"/>
        </w:rPr>
        <w:t xml:space="preserve">3. Metodologia: </w:t>
      </w:r>
      <w:r>
        <w:rPr>
          <w:sz w:val="20"/>
        </w:rPr>
        <w:t>Panel VAR de efectos fijos con identificacion de Cholesky. Funciones impulso-respuesta (IRF) y descomposicion de varianza (FEVD). Los paises se clasifican por apertura para evaluar heterogeneidad.</w:t>
      </w:r>
    </w:p>
    <w:p>
      <w:pPr>
        <w:spacing w:after="40"/>
        <w:ind w:left="216"/>
      </w:pPr>
      <w:r>
        <w:rPr>
          <w:b/>
          <w:color w:val="1F497D"/>
          <w:sz w:val="20"/>
        </w:rPr>
        <w:t xml:space="preserve">4. Principales hallazgos: </w:t>
      </w:r>
      <w:r>
        <w:rPr>
          <w:sz w:val="20"/>
        </w:rPr>
        <w:t>Aumentos en la liquidez monetaria global generan apreciacion del IPC (menor presion) en EMDEs. En condiciones de alta volatilidad financiera, la inyeccion de liquidez no atenua la presion depreciativa. El nexo credito &lt;-&gt; IPC es bidireccional y estadisticamente robusto. El tamano del impacto depende de la apertura del pais.</w:t>
      </w:r>
    </w:p>
    <w:p>
      <w:pPr>
        <w:spacing w:after="40"/>
        <w:ind w:left="216"/>
      </w:pPr>
      <w:r>
        <w:rPr>
          <w:b/>
          <w:color w:val="1F497D"/>
          <w:sz w:val="20"/>
        </w:rPr>
        <w:t xml:space="preserve">5. Cita APA 7: </w:t>
      </w:r>
      <w:r>
        <w:rPr>
          <w:sz w:val="20"/>
        </w:rPr>
        <w:t>Keefe, H. G. (2021). The transmission of global monetary and credit shocks on exchange market pressure in emerging markets and developing economies. Journal of International Financial Markets, Institutions and Money, 72, 101302. https://doi.org/10.1016/j.intfin.2021.101302</w:t>
      </w:r>
    </w:p>
    <w:p>
      <w:pPr>
        <w:spacing w:before="120" w:after="240"/>
      </w:pPr>
      <w:r>
        <w:rPr>
          <w:color w:val="CCCCCC"/>
          <w:sz w:val="16"/>
        </w:rPr>
        <w:t>───────────────────────────────────────────────────────────────────────────────────────────────</w:t>
      </w:r>
    </w:p>
    <w:p>
      <w:pPr>
        <w:spacing w:before="280" w:after="60"/>
      </w:pPr>
      <w:r>
        <w:rPr>
          <w:b/>
          <w:color w:val="1D603A"/>
          <w:sz w:val="22"/>
        </w:rPr>
        <w:t>[4]  Gevorkyan (2019)  |  Scopus — Applied Economics (Taylor &amp; Francis)</w:t>
      </w:r>
    </w:p>
    <w:p>
      <w:pPr>
        <w:spacing w:after="120"/>
        <w:ind w:left="720" w:hanging="720"/>
      </w:pPr>
      <w:r>
        <w:rPr>
          <w:sz w:val="20"/>
        </w:rPr>
        <w:t>Gevorkyan, A. V. (2019). Exchange market pressure and primary commodity-exporting emerging markets. Applied Economics, 51(22), 2390-2412. https://doi.org/10.1080/00036846.2018.1545077</w:t>
      </w:r>
    </w:p>
    <w:p>
      <w:pPr>
        <w:spacing w:after="40"/>
        <w:ind w:left="216"/>
      </w:pPr>
      <w:r>
        <w:rPr>
          <w:b/>
          <w:color w:val="1F497D"/>
          <w:sz w:val="20"/>
        </w:rPr>
        <w:t xml:space="preserve">1. Que investigan: </w:t>
      </w:r>
      <w:r>
        <w:rPr>
          <w:sz w:val="20"/>
        </w:rPr>
        <w:t>Examinan la sensibilidad de corto plazo entre el IPC y factores macroeconomicos domesticos (tasas de interes, credito domestico, reservas internacionales) y externos (precios de commodities) en economias emergentes exportadoras de materias primas, diferenciando por tipo de commodity y regimen cambiario.</w:t>
      </w:r>
    </w:p>
    <w:p>
      <w:pPr>
        <w:spacing w:after="40"/>
        <w:ind w:left="216"/>
      </w:pPr>
      <w:r>
        <w:rPr>
          <w:b/>
          <w:color w:val="1F497D"/>
          <w:sz w:val="20"/>
        </w:rPr>
        <w:t xml:space="preserve">2. Marco transversal y periodo: </w:t>
      </w:r>
      <w:r>
        <w:rPr>
          <w:sz w:val="20"/>
        </w:rPr>
        <w:t>Panel de economias emergentes exportadoras de commodities (combustibles, minerales, cereales, azucar, cafe), comparable con el perfil exportador de Peru. Sub-periodos: boom y post-boom del ciclo de commodities.</w:t>
      </w:r>
    </w:p>
    <w:p>
      <w:pPr>
        <w:spacing w:after="40"/>
        <w:ind w:left="216"/>
      </w:pPr>
      <w:r>
        <w:rPr>
          <w:b/>
          <w:color w:val="1F497D"/>
          <w:sz w:val="20"/>
        </w:rPr>
        <w:t xml:space="preserve">3. Metodologia: </w:t>
      </w:r>
      <w:r>
        <w:rPr>
          <w:sz w:val="20"/>
        </w:rPr>
        <w:t>Panel VAR y modelos de panel con datos de flujos de capital y precios de commodities. Diferenciacion por regimen cambiario (flotacion administrada vs. ancla cambiaria).</w:t>
      </w:r>
    </w:p>
    <w:p>
      <w:pPr>
        <w:spacing w:after="40"/>
        <w:ind w:left="216"/>
      </w:pPr>
      <w:r>
        <w:rPr>
          <w:b/>
          <w:color w:val="1F497D"/>
          <w:sz w:val="20"/>
        </w:rPr>
        <w:t xml:space="preserve">4. Principales hallazgos: </w:t>
      </w:r>
      <w:r>
        <w:rPr>
          <w:sz w:val="20"/>
        </w:rPr>
        <w:t>En regimenes de flotacion (como Peru), la volatilidad del precio de commodities se canaliza simultaneamente al mercado cambiario, las tasas de interes y los ciclos de credito. Los ciclos de credito domestico son endogenamente impulsados por el IPC bajo regimenes flexibles, estableciendo el vinculo IPC -&gt; credito.</w:t>
      </w:r>
    </w:p>
    <w:p>
      <w:pPr>
        <w:spacing w:after="40"/>
        <w:ind w:left="216"/>
      </w:pPr>
      <w:r>
        <w:rPr>
          <w:b/>
          <w:color w:val="1F497D"/>
          <w:sz w:val="20"/>
        </w:rPr>
        <w:t xml:space="preserve">5. Cita APA 7: </w:t>
      </w:r>
      <w:r>
        <w:rPr>
          <w:sz w:val="20"/>
        </w:rPr>
        <w:t>Gevorkyan, A. V. (2019). Exchange market pressure and primary commodity-exporting emerging markets. Applied Economics, 51(22), 2390-2412. https://doi.org/10.1080/00036846.2018.1545077</w:t>
      </w:r>
    </w:p>
    <w:p>
      <w:pPr>
        <w:spacing w:before="120" w:after="240"/>
      </w:pPr>
      <w:r>
        <w:rPr>
          <w:color w:val="CCCCCC"/>
          <w:sz w:val="16"/>
        </w:rPr>
        <w:t>───────────────────────────────────────────────────────────────────────────────────────────────</w:t>
      </w:r>
    </w:p>
    <w:p>
      <w:r>
        <w:br w:type="page"/>
      </w:r>
    </w:p>
    <w:p>
      <w:pPr>
        <w:spacing w:before="360" w:after="120"/>
      </w:pPr>
      <w:r>
        <w:rPr>
          <w:b/>
          <w:color w:val="2E74B5"/>
          <w:sz w:val="26"/>
        </w:rPr>
        <w:t>Seccion 3: Cadena de Transmision IPC -&gt; Actividad -&gt; Inflacion</w:t>
      </w:r>
    </w:p>
    <w:p>
      <w:pPr>
        <w:spacing w:before="280" w:after="60"/>
      </w:pPr>
      <w:r>
        <w:rPr>
          <w:b/>
          <w:color w:val="1D603A"/>
          <w:sz w:val="22"/>
        </w:rPr>
        <w:t>[5]  Doojav, Purevdorj &amp; Batjargal (2024)  |  ScienceDirect — International Economics</w:t>
      </w:r>
    </w:p>
    <w:p>
      <w:pPr>
        <w:spacing w:after="120"/>
        <w:ind w:left="720" w:hanging="720"/>
      </w:pPr>
      <w:r>
        <w:rPr>
          <w:sz w:val="20"/>
        </w:rPr>
        <w:t>Doojav, G.-O., Purevdorj, M., &amp; Batjargal, A. (2024). The macroeconomic effects of exchange rate movements in a commodity-exporting developing economy. International Economics, 177, 100466. https://doi.org/10.1016/j.inteco.2023.100466</w:t>
      </w:r>
    </w:p>
    <w:p>
      <w:pPr>
        <w:spacing w:after="40"/>
        <w:ind w:left="216"/>
      </w:pPr>
      <w:r>
        <w:rPr>
          <w:b/>
          <w:color w:val="1F497D"/>
          <w:sz w:val="20"/>
        </w:rPr>
        <w:t xml:space="preserve">1. Que investigan: </w:t>
      </w:r>
      <w:r>
        <w:rPr>
          <w:sz w:val="20"/>
        </w:rPr>
        <w:t>Examinan los efectos macroeconomicos de los movimientos del tipo de cambio en Mongolia, economia exportadora de commodities con deuda neta en moneda extranjera. Separan el canal financiero (deterioro de balances en moneda extranjera) del canal comercial (competitividad exportadora) para trazar la cadena completa de transmision.</w:t>
      </w:r>
    </w:p>
    <w:p>
      <w:pPr>
        <w:spacing w:after="40"/>
        <w:ind w:left="216"/>
      </w:pPr>
      <w:r>
        <w:rPr>
          <w:b/>
          <w:color w:val="1F497D"/>
          <w:sz w:val="20"/>
        </w:rPr>
        <w:t xml:space="preserve">2. Marco transversal y periodo: </w:t>
      </w:r>
      <w:r>
        <w:rPr>
          <w:sz w:val="20"/>
        </w:rPr>
        <w:t>Mongolia (economia emergente exportadora de minerales, analogia con Peru). Datos mensuales.</w:t>
      </w:r>
    </w:p>
    <w:p>
      <w:pPr>
        <w:spacing w:after="40"/>
        <w:ind w:left="216"/>
      </w:pPr>
      <w:r>
        <w:rPr>
          <w:b/>
          <w:color w:val="1F497D"/>
          <w:sz w:val="20"/>
        </w:rPr>
        <w:t xml:space="preserve">3. Metodologia: </w:t>
      </w:r>
      <w:r>
        <w:rPr>
          <w:sz w:val="20"/>
        </w:rPr>
        <w:t>Structural Bayesian VAR (SBVAR) mensual. Dos indicadores cambiarios: tipo de cambio ponderado por deuda (DWER, canal financiero) y tipo de cambio efectivo nominal (NEER, canal comercial). IRF estructurales y descomposicion de varianza. Variables: tipo de cambio, credito bancario, PIB, inflacion, inversion, exportaciones.</w:t>
      </w:r>
    </w:p>
    <w:p>
      <w:pPr>
        <w:spacing w:after="40"/>
        <w:ind w:left="216"/>
      </w:pPr>
      <w:r>
        <w:rPr>
          <w:b/>
          <w:color w:val="1F497D"/>
          <w:sz w:val="20"/>
        </w:rPr>
        <w:t xml:space="preserve">4. Principales hallazgos: </w:t>
      </w:r>
      <w:r>
        <w:rPr>
          <w:sz w:val="20"/>
        </w:rPr>
        <w:t>Canal financiero: la depreciacion deteriora balances de bancos y empresas con deuda en moneda extranjera, contrae el credito bancario y reduce inversion y PIB. Canal comercial: la depreciacion eleva la inflacion via pass-through cambiario. Ambos canales operan simultaneamente y son estadisticamente significativos. La cadena completa IPC -&gt; credito -&gt; PIB -&gt; inflacion queda empíricamente documentada.</w:t>
      </w:r>
    </w:p>
    <w:p>
      <w:pPr>
        <w:spacing w:after="40"/>
        <w:ind w:left="216"/>
      </w:pPr>
      <w:r>
        <w:rPr>
          <w:b/>
          <w:color w:val="1F497D"/>
          <w:sz w:val="20"/>
        </w:rPr>
        <w:t xml:space="preserve">5. Cita APA 7: </w:t>
      </w:r>
      <w:r>
        <w:rPr>
          <w:sz w:val="20"/>
        </w:rPr>
        <w:t>Doojav, G.-O., Purevdorj, M., &amp; Batjargal, A. (2024). The macroeconomic effects of exchange rate movements in a commodity-exporting developing economy. International Economics, 177, 100466. https://doi.org/10.1016/j.inteco.2023.100466</w:t>
      </w:r>
    </w:p>
    <w:p>
      <w:pPr>
        <w:spacing w:before="120" w:after="240"/>
      </w:pPr>
      <w:r>
        <w:rPr>
          <w:color w:val="CCCCCC"/>
          <w:sz w:val="16"/>
        </w:rPr>
        <w:t>───────────────────────────────────────────────────────────────────────────────────────────────</w:t>
      </w:r>
    </w:p>
    <w:p>
      <w:pPr>
        <w:spacing w:before="280" w:after="60"/>
      </w:pPr>
      <w:r>
        <w:rPr>
          <w:b/>
          <w:color w:val="1D603A"/>
          <w:sz w:val="22"/>
        </w:rPr>
        <w:t>[6]  Keefe &amp; Saha (2024)  |  ScienceDirect — Journal of International Financial Markets, Institutions and Money</w:t>
      </w:r>
    </w:p>
    <w:p>
      <w:pPr>
        <w:spacing w:after="120"/>
        <w:ind w:left="720" w:hanging="720"/>
      </w:pPr>
      <w:r>
        <w:rPr>
          <w:sz w:val="20"/>
        </w:rPr>
        <w:t>Keefe, H. G., &amp; Saha, S. (2024). Global uncertainty and exchange rate conditions: Assessing the impact of uncertainty shocks in emerging markets and advanced economies. Journal of International Financial Markets, Institutions and Money, 96, 102047. https://doi.org/10.1016/j.intfin.2024.102047</w:t>
      </w:r>
    </w:p>
    <w:p>
      <w:pPr>
        <w:spacing w:after="40"/>
        <w:ind w:left="216"/>
      </w:pPr>
      <w:r>
        <w:rPr>
          <w:b/>
          <w:color w:val="1F497D"/>
          <w:sz w:val="20"/>
        </w:rPr>
        <w:t xml:space="preserve">1. Que investigan: </w:t>
      </w:r>
      <w:r>
        <w:rPr>
          <w:sz w:val="20"/>
        </w:rPr>
        <w:t>Evaluan como los shocks de incertidumbre global (economica, financiera y de politica monetaria de EE.UU.) impactan el tipo de cambio bilateral, la volatilidad cambiaria y el IPC en economias emergentes y avanzadas. Evaluan si los efectos son simetricos entre grupos de paises.</w:t>
      </w:r>
    </w:p>
    <w:p>
      <w:pPr>
        <w:spacing w:after="40"/>
        <w:ind w:left="216"/>
      </w:pPr>
      <w:r>
        <w:rPr>
          <w:b/>
          <w:color w:val="1F497D"/>
          <w:sz w:val="20"/>
        </w:rPr>
        <w:t xml:space="preserve">2. Marco transversal y periodo: </w:t>
      </w:r>
      <w:r>
        <w:rPr>
          <w:sz w:val="20"/>
        </w:rPr>
        <w:t>Panel de economias emergentes y avanzadas. Datos a frecuencia trimestral/mensual.</w:t>
      </w:r>
    </w:p>
    <w:p>
      <w:pPr>
        <w:spacing w:after="40"/>
        <w:ind w:left="216"/>
      </w:pPr>
      <w:r>
        <w:rPr>
          <w:b/>
          <w:color w:val="1F497D"/>
          <w:sz w:val="20"/>
        </w:rPr>
        <w:t xml:space="preserve">3. Metodologia: </w:t>
      </w:r>
      <w:r>
        <w:rPr>
          <w:sz w:val="20"/>
        </w:rPr>
        <w:t>Global VAR (GVAR) con funciones impulso-respuesta generalizadas. Variables: IPC, tipo de cambio bilateral, volatilidad cambiaria, VIX, incertidumbre de politica economica (EPU), tasa de la Fed.</w:t>
      </w:r>
    </w:p>
    <w:p>
      <w:pPr>
        <w:spacing w:after="40"/>
        <w:ind w:left="216"/>
      </w:pPr>
      <w:r>
        <w:rPr>
          <w:b/>
          <w:color w:val="1F497D"/>
          <w:sz w:val="20"/>
        </w:rPr>
        <w:t xml:space="preserve">4. Principales hallazgos: </w:t>
      </w:r>
      <w:r>
        <w:rPr>
          <w:sz w:val="20"/>
        </w:rPr>
        <w:t>Los picos de incertidumbre global generan aumentos inmediatos en la volatilidad cambiaria y en la presion depreciativa (IPC elevado) en economias emergentes. El IPC responde en la misma direccion que los shocks de incertidumbre, con efectos que se prolongan varios trimestres. Las economias avanzadas muestran respuestas distintas y mas amortiguadas. El IPC es la primera variable domestica en responder a shocks exogenos externos.</w:t>
      </w:r>
    </w:p>
    <w:p>
      <w:pPr>
        <w:spacing w:after="40"/>
        <w:ind w:left="216"/>
      </w:pPr>
      <w:r>
        <w:rPr>
          <w:b/>
          <w:color w:val="1F497D"/>
          <w:sz w:val="20"/>
        </w:rPr>
        <w:t xml:space="preserve">5. Cita APA 7: </w:t>
      </w:r>
      <w:r>
        <w:rPr>
          <w:sz w:val="20"/>
        </w:rPr>
        <w:t>Keefe, H. G., &amp; Saha, S. (2024). Global uncertainty and exchange rate conditions: Assessing the impact of uncertainty shocks in emerging markets and advanced economies. Journal of International Financial Markets, Institutions and Money, 96, 102047. https://doi.org/10.1016/j.intfin.2024.102047</w:t>
      </w:r>
    </w:p>
    <w:p>
      <w:pPr>
        <w:spacing w:before="120" w:after="240"/>
      </w:pPr>
      <w:r>
        <w:rPr>
          <w:color w:val="CCCCCC"/>
          <w:sz w:val="16"/>
        </w:rPr>
        <w:t>───────────────────────────────────────────────────────────────────────────────────────────────</w:t>
      </w:r>
    </w:p>
    <w:p>
      <w:r>
        <w:br w:type="page"/>
      </w:r>
    </w:p>
    <w:p>
      <w:pPr>
        <w:spacing w:before="360" w:after="120"/>
      </w:pPr>
      <w:r>
        <w:rPr>
          <w:b/>
          <w:color w:val="2E74B5"/>
          <w:sz w:val="26"/>
        </w:rPr>
        <w:t>Seccion 4: Evidencia Especifica para Peru</w:t>
      </w:r>
    </w:p>
    <w:p>
      <w:pPr>
        <w:spacing w:before="280" w:after="60"/>
      </w:pPr>
      <w:r>
        <w:rPr>
          <w:b/>
          <w:color w:val="1D603A"/>
          <w:sz w:val="22"/>
        </w:rPr>
        <w:t>[7]  Carrasco &amp; Florian Hoyle (2025)  |  ScienceDirect — Journal of Macroeconomics</w:t>
      </w:r>
    </w:p>
    <w:p>
      <w:pPr>
        <w:spacing w:after="120"/>
        <w:ind w:left="720" w:hanging="720"/>
      </w:pPr>
      <w:r>
        <w:rPr>
          <w:sz w:val="20"/>
        </w:rPr>
        <w:t>Carrasco, A., &amp; Florian Hoyle, D. (2025). External shocks and FX intervention policy in financially dollarized economies. Journal of Macroeconomics, 84, 103672. https://doi.org/10.1016/j.jmacro.2025.103672</w:t>
      </w:r>
    </w:p>
    <w:p>
      <w:pPr>
        <w:spacing w:after="40"/>
        <w:ind w:left="216"/>
      </w:pPr>
      <w:r>
        <w:rPr>
          <w:b/>
          <w:color w:val="1F497D"/>
          <w:sz w:val="20"/>
        </w:rPr>
        <w:t xml:space="preserve">1. Que investigan: </w:t>
      </w:r>
      <w:r>
        <w:rPr>
          <w:sz w:val="20"/>
        </w:rPr>
        <w:t>Construyen un modelo Nuevo Keynesiano con fricciones financieras calibrado para Peru con el objetivo de analizar como las intervenciones cambiarias esterilizadas del BCRP responden a shocks externos y afectan el credito, la inversion y el producto en una economia con dolarizacion financiera.</w:t>
      </w:r>
    </w:p>
    <w:p>
      <w:pPr>
        <w:spacing w:after="40"/>
        <w:ind w:left="216"/>
      </w:pPr>
      <w:r>
        <w:rPr>
          <w:b/>
          <w:color w:val="1F497D"/>
          <w:sz w:val="20"/>
        </w:rPr>
        <w:t xml:space="preserve">2. Marco transversal y periodo: </w:t>
      </w:r>
      <w:r>
        <w:rPr>
          <w:sz w:val="20"/>
        </w:rPr>
        <w:t>Peru (economia con dolarizacion parcial y flotacion administrada). Calibracion del sector bancario peruano. Datos del BCRP.</w:t>
      </w:r>
    </w:p>
    <w:p>
      <w:pPr>
        <w:spacing w:after="40"/>
        <w:ind w:left="216"/>
      </w:pPr>
      <w:r>
        <w:rPr>
          <w:b/>
          <w:color w:val="1F497D"/>
          <w:sz w:val="20"/>
        </w:rPr>
        <w:t xml:space="preserve">3. Metodologia: </w:t>
      </w:r>
      <w:r>
        <w:rPr>
          <w:sz w:val="20"/>
        </w:rPr>
        <w:t>Modelo DSGE Nuevo Keynesiano con fricciones financieras (costos de agencia). Parametros calibrados emparejando las IRF de un modelo SVAR (con restricciones de exogeneidad de bloque, analogas a Cushman &amp; Zha, 1997) con las respuestas del modelo estructural. Variables: tipo de cambio, credito, inversion, producto, inflacion.</w:t>
      </w:r>
    </w:p>
    <w:p>
      <w:pPr>
        <w:spacing w:after="40"/>
        <w:ind w:left="216"/>
      </w:pPr>
      <w:r>
        <w:rPr>
          <w:b/>
          <w:color w:val="1F497D"/>
          <w:sz w:val="20"/>
        </w:rPr>
        <w:t xml:space="preserve">4. Principales hallazgos: </w:t>
      </w:r>
      <w:r>
        <w:rPr>
          <w:sz w:val="20"/>
        </w:rPr>
        <w:t>Las intervenciones cambiarias reducen significativamente la volatilidad del credito, la inversion y el producto al contrarrestar la presion cambiaria. El mecanismo opera directamente sobre la oferta de credito: las intervenciones reducen el descalce de moneda de los bancos, lo que evita la contraccion crediticia. Bajo intervencion activa (politica real del BCRP), las ganancias de bienestar sobre la flotacion libre son sustanciales. La cadena IPC -&gt; credito -&gt; actividad es causal y cuantitatiamente relevante para Peru.</w:t>
      </w:r>
    </w:p>
    <w:p>
      <w:pPr>
        <w:spacing w:after="40"/>
        <w:ind w:left="216"/>
      </w:pPr>
      <w:r>
        <w:rPr>
          <w:b/>
          <w:color w:val="1F497D"/>
          <w:sz w:val="20"/>
        </w:rPr>
        <w:t xml:space="preserve">5. Cita APA 7: </w:t>
      </w:r>
      <w:r>
        <w:rPr>
          <w:sz w:val="20"/>
        </w:rPr>
        <w:t>Carrasco, A., &amp; Florian Hoyle, D. (2025). External shocks and FX intervention policy in financially dollarized economies. Journal of Macroeconomics, 84, 103672. https://doi.org/10.1016/j.jmacro.2025.103672</w:t>
      </w:r>
    </w:p>
    <w:p>
      <w:pPr>
        <w:spacing w:before="120" w:after="240"/>
      </w:pPr>
      <w:r>
        <w:rPr>
          <w:color w:val="CCCCCC"/>
          <w:sz w:val="16"/>
        </w:rPr>
        <w:t>───────────────────────────────────────────────────────────────────────────────────────────────</w:t>
      </w:r>
    </w:p>
    <w:p>
      <w:pPr>
        <w:spacing w:before="280" w:after="60"/>
      </w:pPr>
      <w:r>
        <w:rPr>
          <w:b/>
          <w:color w:val="1D603A"/>
          <w:sz w:val="22"/>
        </w:rPr>
        <w:t>[8]  Guevara &amp; Rodriguez (2020)  |  ScienceDirect — North American Journal of Economics and Finance</w:t>
      </w:r>
    </w:p>
    <w:p>
      <w:pPr>
        <w:spacing w:after="120"/>
        <w:ind w:left="720" w:hanging="720"/>
      </w:pPr>
      <w:r>
        <w:rPr>
          <w:sz w:val="20"/>
        </w:rPr>
        <w:t>Guevara, C., &amp; Rodriguez, G. (2020). The role of credit supply shocks in Pacific Alliance countries: A TVP-VAR-SV approach. The North American Journal of Economics and Finance, 52, 101140. https://doi.org/10.1016/j.najef.2019.101140</w:t>
      </w:r>
    </w:p>
    <w:p>
      <w:pPr>
        <w:spacing w:after="40"/>
        <w:ind w:left="216"/>
      </w:pPr>
      <w:r>
        <w:rPr>
          <w:b/>
          <w:color w:val="1F497D"/>
          <w:sz w:val="20"/>
        </w:rPr>
        <w:t xml:space="preserve">1. Que investigan: </w:t>
      </w:r>
      <w:r>
        <w:rPr>
          <w:sz w:val="20"/>
        </w:rPr>
        <w:t>Estiman como los shocks de oferta de credito afectan la actividad economica real en los cuatro paises de la Alianza del Pacifico (Chile, Colombia, Mexico y Peru), permitiendo que los parametros varien en el tiempo y entre fases del ciclo economico.</w:t>
      </w:r>
    </w:p>
    <w:p>
      <w:pPr>
        <w:spacing w:after="40"/>
        <w:ind w:left="216"/>
      </w:pPr>
      <w:r>
        <w:rPr>
          <w:b/>
          <w:color w:val="1F497D"/>
          <w:sz w:val="20"/>
        </w:rPr>
        <w:t xml:space="preserve">2. Marco transversal y periodo: </w:t>
      </w:r>
      <w:r>
        <w:rPr>
          <w:sz w:val="20"/>
        </w:rPr>
        <w:t>Chile, Colombia, Mexico y Peru (Alianza del Pacifico). Datos trimestrales.</w:t>
      </w:r>
    </w:p>
    <w:p>
      <w:pPr>
        <w:spacing w:after="40"/>
        <w:ind w:left="216"/>
      </w:pPr>
      <w:r>
        <w:rPr>
          <w:b/>
          <w:color w:val="1F497D"/>
          <w:sz w:val="20"/>
        </w:rPr>
        <w:t xml:space="preserve">3. Metodologia: </w:t>
      </w:r>
      <w:r>
        <w:rPr>
          <w:sz w:val="20"/>
        </w:rPr>
        <w:t>TVP-VAR-SV (VAR con parametros variables en el tiempo y volatilidad estocastica). Identificacion con restricciones de signo. Variables: actividad economica real, shocks de oferta de credito, shocks de oferta y demanda agregada.</w:t>
      </w:r>
    </w:p>
    <w:p>
      <w:pPr>
        <w:spacing w:after="40"/>
        <w:ind w:left="216"/>
      </w:pPr>
      <w:r>
        <w:rPr>
          <w:b/>
          <w:color w:val="1F497D"/>
          <w:sz w:val="20"/>
        </w:rPr>
        <w:t xml:space="preserve">4. Principales hallazgos: </w:t>
      </w:r>
      <w:r>
        <w:rPr>
          <w:sz w:val="20"/>
        </w:rPr>
        <w:t>Los shocks de oferta de credito tienen un impacto importante en la actividad economica en todos los paises: aproximadamente 1% de respuesta en Colombia, Mexico y Peru, y 0.5% en Chile. Los efectos son variables en el tiempo y heterogeneos: mas fuertes durante desaceleraciones economicas y periodos de estres financiero. La cadena Credito -&gt; Actividad economica es empiricamente activa y cuantitativamente significativa para Peru.</w:t>
      </w:r>
    </w:p>
    <w:p>
      <w:pPr>
        <w:spacing w:after="40"/>
        <w:ind w:left="216"/>
      </w:pPr>
      <w:r>
        <w:rPr>
          <w:b/>
          <w:color w:val="1F497D"/>
          <w:sz w:val="20"/>
        </w:rPr>
        <w:t xml:space="preserve">5. Cita APA 7: </w:t>
      </w:r>
      <w:r>
        <w:rPr>
          <w:sz w:val="20"/>
        </w:rPr>
        <w:t>Guevara, C., &amp; Rodriguez, G. (2020). The role of credit supply shocks in Pacific Alliance countries: A TVP-VAR-SV approach. The North American Journal of Economics and Finance, 52, 101140. https://doi.org/10.1016/j.najef.2019.101140</w:t>
      </w:r>
    </w:p>
    <w:p>
      <w:pPr>
        <w:spacing w:before="120" w:after="240"/>
      </w:pPr>
      <w:r>
        <w:rPr>
          <w:color w:val="CCCCCC"/>
          <w:sz w:val="16"/>
        </w:rPr>
        <w:t>───────────────────────────────────────────────────────────────────────────────────────────────</w:t>
      </w:r>
    </w:p>
    <w:p>
      <w:pPr>
        <w:spacing w:before="280" w:after="60"/>
      </w:pPr>
      <w:r>
        <w:rPr>
          <w:b/>
          <w:color w:val="1D603A"/>
          <w:sz w:val="22"/>
        </w:rPr>
        <w:t>[9]  Rodriguez, Vassallo &amp; Castillo B. (2023)  |  ScienceDirect — Economic Modelling</w:t>
      </w:r>
    </w:p>
    <w:p>
      <w:pPr>
        <w:spacing w:after="120"/>
        <w:ind w:left="720" w:hanging="720"/>
      </w:pPr>
      <w:r>
        <w:rPr>
          <w:sz w:val="20"/>
        </w:rPr>
        <w:t>Rodriguez, G., Vassallo, R., &amp; Castillo B., P. (2023). Effects of external shocks on macroeconomic fluctuations in Pacific Alliance countries. Economic Modelling, 124, 106302. https://doi.org/10.1016/j.econmod.2023.106302</w:t>
      </w:r>
    </w:p>
    <w:p>
      <w:pPr>
        <w:spacing w:after="40"/>
        <w:ind w:left="216"/>
      </w:pPr>
      <w:r>
        <w:rPr>
          <w:b/>
          <w:color w:val="1F497D"/>
          <w:sz w:val="20"/>
        </w:rPr>
        <w:t xml:space="preserve">1. Que investigan: </w:t>
      </w:r>
      <w:r>
        <w:rPr>
          <w:sz w:val="20"/>
        </w:rPr>
        <w:t>Cuantifican el impacto de shocks externos financieros, reales (precios de commodities, terminos de intercambio) y nominales (politica monetaria de EE.UU.) sobre el crecimiento del PBI, la inflacion y las tasas de interes en Chile, Colombia, Mexico y Peru, con dinamicas variables en el tiempo.</w:t>
      </w:r>
    </w:p>
    <w:p>
      <w:pPr>
        <w:spacing w:after="40"/>
        <w:ind w:left="216"/>
      </w:pPr>
      <w:r>
        <w:rPr>
          <w:b/>
          <w:color w:val="1F497D"/>
          <w:sz w:val="20"/>
        </w:rPr>
        <w:t xml:space="preserve">2. Marco transversal y periodo: </w:t>
      </w:r>
      <w:r>
        <w:rPr>
          <w:sz w:val="20"/>
        </w:rPr>
        <w:t>Chile, Colombia, Mexico y Peru. Datos trimestrales, 1994T1-2019T4.</w:t>
      </w:r>
    </w:p>
    <w:p>
      <w:pPr>
        <w:spacing w:after="40"/>
        <w:ind w:left="216"/>
      </w:pPr>
      <w:r>
        <w:rPr>
          <w:b/>
          <w:color w:val="1F497D"/>
          <w:sz w:val="20"/>
        </w:rPr>
        <w:t xml:space="preserve">3. Metodologia: </w:t>
      </w:r>
      <w:r>
        <w:rPr>
          <w:sz w:val="20"/>
        </w:rPr>
        <w:t>TVP-VAR-SV comparados por DIC y log-verosimilitud marginal. Variables: crecimiento del PIB, inflacion del IPC, tasa de interes, bloques de shocks externos. Identifica shocks externos como exogenos al sistema.</w:t>
      </w:r>
    </w:p>
    <w:p>
      <w:pPr>
        <w:spacing w:after="40"/>
        <w:ind w:left="216"/>
      </w:pPr>
      <w:r>
        <w:rPr>
          <w:b/>
          <w:color w:val="1F497D"/>
          <w:sz w:val="20"/>
        </w:rPr>
        <w:t xml:space="preserve">4. Principales hallazgos: </w:t>
      </w:r>
      <w:r>
        <w:rPr>
          <w:sz w:val="20"/>
        </w:rPr>
        <w:t>Los shocks externos explican entre 50% y 93% de la varianza macroeconomica en las economias de la Alianza del Pacifico. Peru muestra una participacion de 38% a 88% de varianza explicada por factores externos a lo largo de la muestra, reflejando alta dependencia externa. Un aumento del 1% en el crecimiento de China eleva el PBI de Peru en 0.8% en el primer anio, la respuesta mas alta entre los paises. La variacion temporal en los parametros es estadisticamente validada.</w:t>
      </w:r>
    </w:p>
    <w:p>
      <w:pPr>
        <w:spacing w:after="40"/>
        <w:ind w:left="216"/>
      </w:pPr>
      <w:r>
        <w:rPr>
          <w:b/>
          <w:color w:val="1F497D"/>
          <w:sz w:val="20"/>
        </w:rPr>
        <w:t xml:space="preserve">5. Cita APA 7: </w:t>
      </w:r>
      <w:r>
        <w:rPr>
          <w:sz w:val="20"/>
        </w:rPr>
        <w:t>Rodriguez, G., Vassallo, R., &amp; Castillo B., P. (2023). Effects of external shocks on macroeconomic fluctuations in Pacific Alliance countries. Economic Modelling, 124, 106302. https://doi.org/10.1016/j.econmod.2023.106302</w:t>
      </w:r>
    </w:p>
    <w:p>
      <w:pPr>
        <w:spacing w:before="120" w:after="240"/>
      </w:pPr>
      <w:r>
        <w:rPr>
          <w:color w:val="CCCCCC"/>
          <w:sz w:val="16"/>
        </w:rPr>
        <w:t>───────────────────────────────────────────────────────────────────────────────────────────────</w:t>
      </w:r>
    </w:p>
    <w:p>
      <w:pPr>
        <w:spacing w:before="280" w:after="60"/>
      </w:pPr>
      <w:r>
        <w:rPr>
          <w:b/>
          <w:color w:val="1D603A"/>
          <w:sz w:val="22"/>
        </w:rPr>
        <w:t>[10]  Rodriguez, Castillo B., Calero, Salcedo &amp; Ataurima (2024)  |  ScienceDirect — Journal of International Money and Finance</w:t>
      </w:r>
    </w:p>
    <w:p>
      <w:pPr>
        <w:spacing w:after="120"/>
        <w:ind w:left="720" w:hanging="720"/>
      </w:pPr>
      <w:r>
        <w:rPr>
          <w:sz w:val="20"/>
        </w:rPr>
        <w:t>Rodriguez, G., Castillo B., P., Calero, R., Salcedo Cisneros, R., &amp; Ataurima Arellano, M. (2024). Evolution of the exchange rate pass-through into prices in Peru: An empirical application using TVP-VAR-SV models. Journal of International Money and Finance, 142, 103023. https://doi.org/10.1016/j.jimonfin.2024.103023</w:t>
      </w:r>
    </w:p>
    <w:p>
      <w:pPr>
        <w:spacing w:after="40"/>
        <w:ind w:left="216"/>
      </w:pPr>
      <w:r>
        <w:rPr>
          <w:b/>
          <w:color w:val="1F497D"/>
          <w:sz w:val="20"/>
        </w:rPr>
        <w:t xml:space="preserve">1. Que investigan: </w:t>
      </w:r>
      <w:r>
        <w:rPr>
          <w:sz w:val="20"/>
        </w:rPr>
        <w:t>Rastrean como los shocks de tipo de cambio se transmiten hacia precios de importacion, precios al productor (IPP) y precios al consumidor (IPC de precios) en Peru, incluyendo los efectos de la dolarizacion parcial en la dinamica de precios en cada etapa de la cadena de precios.</w:t>
      </w:r>
    </w:p>
    <w:p>
      <w:pPr>
        <w:spacing w:after="40"/>
        <w:ind w:left="216"/>
      </w:pPr>
      <w:r>
        <w:rPr>
          <w:b/>
          <w:color w:val="1F497D"/>
          <w:sz w:val="20"/>
        </w:rPr>
        <w:t xml:space="preserve">2. Marco transversal y periodo: </w:t>
      </w:r>
      <w:r>
        <w:rPr>
          <w:sz w:val="20"/>
        </w:rPr>
        <w:t>Peru. Datos trimestrales, 1995T2-2022T4 (incluye pandemia y alta inflacion 2022).</w:t>
      </w:r>
    </w:p>
    <w:p>
      <w:pPr>
        <w:spacing w:after="40"/>
        <w:ind w:left="216"/>
      </w:pPr>
      <w:r>
        <w:rPr>
          <w:b/>
          <w:color w:val="1F497D"/>
          <w:sz w:val="20"/>
        </w:rPr>
        <w:t xml:space="preserve">3. Metodologia: </w:t>
      </w:r>
      <w:r>
        <w:rPr>
          <w:sz w:val="20"/>
        </w:rPr>
        <w:t>TVP-VAR-SV (VAR con parametros variables en el tiempo y volatilidad estocastica). Estimacion bayesiana. Variables: tipo de cambio, precios de importacion, IPP, IPC. Identificacion consistente con una cadena de precios secuencial.</w:t>
      </w:r>
    </w:p>
    <w:p>
      <w:pPr>
        <w:spacing w:after="40"/>
        <w:ind w:left="216"/>
      </w:pPr>
      <w:r>
        <w:rPr>
          <w:b/>
          <w:color w:val="1F497D"/>
          <w:sz w:val="20"/>
        </w:rPr>
        <w:t xml:space="preserve">4. Principales hallazgos: </w:t>
      </w:r>
      <w:r>
        <w:rPr>
          <w:sz w:val="20"/>
        </w:rPr>
        <w:t>El pass-through de corto plazo supera al de largo plazo en todas las etapas de precios, reflejando dolarizacion de precios en importaciones y produccion. El pass-through al IPC de precios fue de 10% hasta 2009 y aumento a 15% post-2009. Los precios de importacion muestran el mayor pass-through, el IPP intermedio y el IPC el mas bajo. Esto documenta empiricamente la secuencia: presion cambiaria -&gt; precios de importacion -&gt; IPP -&gt; IPC de precios, validando la inflacion como ultima variable en el VAR.</w:t>
      </w:r>
    </w:p>
    <w:p>
      <w:pPr>
        <w:spacing w:after="40"/>
        <w:ind w:left="216"/>
      </w:pPr>
      <w:r>
        <w:rPr>
          <w:b/>
          <w:color w:val="1F497D"/>
          <w:sz w:val="20"/>
        </w:rPr>
        <w:t xml:space="preserve">5. Cita APA 7: </w:t>
      </w:r>
      <w:r>
        <w:rPr>
          <w:sz w:val="20"/>
        </w:rPr>
        <w:t>Rodriguez, G., Castillo B., P., Calero, R., Salcedo Cisneros, R., &amp; Ataurima Arellano, M. (2024). Evolution of the exchange rate pass-through into prices in Peru: An empirical application using TVP-VAR-SV models. Journal of International Money and Finance, 142, 103023. https://doi.org/10.1016/j.jimonfin.2024.103023</w:t>
      </w:r>
    </w:p>
    <w:p>
      <w:pPr>
        <w:spacing w:before="120" w:after="240"/>
      </w:pPr>
      <w:r>
        <w:rPr>
          <w:color w:val="CCCCCC"/>
          <w:sz w:val="16"/>
        </w:rPr>
        <w:t>───────────────────────────────────────────────────────────────────────────────────────────────</w:t>
      </w:r>
    </w:p>
    <w:p>
      <w:r>
        <w:br w:type="page"/>
      </w:r>
    </w:p>
    <w:p>
      <w:pPr>
        <w:spacing w:before="360" w:after="120"/>
      </w:pPr>
      <w:r>
        <w:rPr>
          <w:b/>
          <w:color w:val="2E74B5"/>
          <w:sz w:val="26"/>
        </w:rPr>
        <w:t>Seccion 5: Causalidad de Granger y Metodologia VAR con IPC</w:t>
      </w:r>
    </w:p>
    <w:p>
      <w:pPr>
        <w:spacing w:before="280" w:after="60"/>
      </w:pPr>
      <w:r>
        <w:rPr>
          <w:b/>
          <w:color w:val="1D603A"/>
          <w:sz w:val="22"/>
        </w:rPr>
        <w:t>[11]  Olanipekun, Gungor &amp; Olasehinde-Williams (2019)  |  Scopus — SAGE Open</w:t>
      </w:r>
    </w:p>
    <w:p>
      <w:pPr>
        <w:spacing w:after="120"/>
        <w:ind w:left="720" w:hanging="720"/>
      </w:pPr>
      <w:r>
        <w:rPr>
          <w:sz w:val="20"/>
        </w:rPr>
        <w:t>Olanipekun, I. O., Gungor, H., &amp; Olasehinde-Williams, G. (2019). Unraveling the causal relationship between economic policy uncertainty and exchange market pressure in BRIC countries: Evidence from bootstrap panel Granger causality. SAGE Open, 9(2), 2158244019853903. https://doi.org/10.1177/2158244019853903</w:t>
      </w:r>
    </w:p>
    <w:p>
      <w:pPr>
        <w:spacing w:after="40"/>
        <w:ind w:left="216"/>
      </w:pPr>
      <w:r>
        <w:rPr>
          <w:b/>
          <w:color w:val="1F497D"/>
          <w:sz w:val="20"/>
        </w:rPr>
        <w:t xml:space="preserve">1. Que investigan: </w:t>
      </w:r>
      <w:r>
        <w:rPr>
          <w:sz w:val="20"/>
        </w:rPr>
        <w:t>Examinan la relacion causal entre la incertidumbre de politica economica (global y domestica) y el IPC en las economias BRIC, con enfasis en detectar causalidad unidireccional o bidireccional mediante pruebas robustas a heterocedasticidad y dependencia de corte transversal.</w:t>
      </w:r>
    </w:p>
    <w:p>
      <w:pPr>
        <w:spacing w:after="40"/>
        <w:ind w:left="216"/>
      </w:pPr>
      <w:r>
        <w:rPr>
          <w:b/>
          <w:color w:val="1F497D"/>
          <w:sz w:val="20"/>
        </w:rPr>
        <w:t xml:space="preserve">2. Marco transversal y periodo: </w:t>
      </w:r>
      <w:r>
        <w:rPr>
          <w:sz w:val="20"/>
        </w:rPr>
        <w:t>Brasil, Rusia, India y China (BRIC). Datos anuales.</w:t>
      </w:r>
    </w:p>
    <w:p>
      <w:pPr>
        <w:spacing w:after="40"/>
        <w:ind w:left="216"/>
      </w:pPr>
      <w:r>
        <w:rPr>
          <w:b/>
          <w:color w:val="1F497D"/>
          <w:sz w:val="20"/>
        </w:rPr>
        <w:t xml:space="preserve">3. Metodologia: </w:t>
      </w:r>
      <w:r>
        <w:rPr>
          <w:sz w:val="20"/>
        </w:rPr>
        <w:t>Bootstrap Panel Granger Causality (Konia, 2006). Pruebas de raiz unitaria de paneles con quiebres estructurales. Prueba de dependencia de corte transversal (CD test). El metodo bootstrap hace las pruebas robustas a no-normalidad y heterocedasticidad.</w:t>
      </w:r>
    </w:p>
    <w:p>
      <w:pPr>
        <w:spacing w:after="40"/>
        <w:ind w:left="216"/>
      </w:pPr>
      <w:r>
        <w:rPr>
          <w:b/>
          <w:color w:val="1F497D"/>
          <w:sz w:val="20"/>
        </w:rPr>
        <w:t xml:space="preserve">4. Principales hallazgos: </w:t>
      </w:r>
      <w:r>
        <w:rPr>
          <w:sz w:val="20"/>
        </w:rPr>
        <w:t>A nivel panel: causalidad bidireccional entre incertidumbre de politica economica (global y domestica) y el IPC. Por pais: causalidades especificas bidireccionales y unidireccionales dependiendo del contexto. El IPC Granger-causa la incertidumbre en varios paises, indicando su caracter predictivo. Las pruebas bootstrap confirman que el IPC tiene relaciones causales significativas con otras variables macroeconomicas.</w:t>
      </w:r>
    </w:p>
    <w:p>
      <w:pPr>
        <w:spacing w:after="40"/>
        <w:ind w:left="216"/>
      </w:pPr>
      <w:r>
        <w:rPr>
          <w:b/>
          <w:color w:val="1F497D"/>
          <w:sz w:val="20"/>
        </w:rPr>
        <w:t xml:space="preserve">5. Cita APA 7: </w:t>
      </w:r>
      <w:r>
        <w:rPr>
          <w:sz w:val="20"/>
        </w:rPr>
        <w:t>Olanipekun, I. O., Gungor, H., &amp; Olasehinde-Williams, G. (2019). Unraveling the causal relationship between economic policy uncertainty and exchange market pressure in BRIC countries: Evidence from bootstrap panel Granger causality. SAGE Open, 9(2), 2158244019853903. https://doi.org/10.1177/2158244019853903</w:t>
      </w:r>
    </w:p>
    <w:p>
      <w:pPr>
        <w:spacing w:before="120" w:after="240"/>
      </w:pPr>
      <w:r>
        <w:rPr>
          <w:color w:val="CCCCCC"/>
          <w:sz w:val="16"/>
        </w:rPr>
        <w:t>───────────────────────────────────────────────────────────────────────────────────────────────</w:t>
      </w:r>
    </w:p>
    <w:p>
      <w:pPr>
        <w:spacing w:before="280" w:after="60"/>
      </w:pPr>
      <w:r>
        <w:rPr>
          <w:b/>
          <w:color w:val="1D603A"/>
          <w:sz w:val="22"/>
        </w:rPr>
        <w:t>[12]  Siklar &amp; Akca (2020)  |  Scopus — Ekonomika (Vilnius University)</w:t>
      </w:r>
    </w:p>
    <w:p>
      <w:pPr>
        <w:spacing w:after="120"/>
        <w:ind w:left="720" w:hanging="720"/>
      </w:pPr>
      <w:r>
        <w:rPr>
          <w:sz w:val="20"/>
        </w:rPr>
        <w:t>Siklar, I., &amp; Akca, A. (2020). Exchange market pressure and monetary policy: The Turkish case. Ekonomika, 99(1), 110-130. https://doi.org/10.15388/Ekon.2020.1.7</w:t>
      </w:r>
    </w:p>
    <w:p>
      <w:pPr>
        <w:spacing w:after="40"/>
        <w:ind w:left="216"/>
      </w:pPr>
      <w:r>
        <w:rPr>
          <w:b/>
          <w:color w:val="1F497D"/>
          <w:sz w:val="20"/>
        </w:rPr>
        <w:t xml:space="preserve">1. Que investigan: </w:t>
      </w:r>
      <w:r>
        <w:rPr>
          <w:sz w:val="20"/>
        </w:rPr>
        <w:t>Determinan la relacion entre la politica monetaria y el IPC en Turquia, evaluando si los instrumentos de politica monetaria —credito domestico y diferencial de tasas de interes— Granger-causan el IPC o viceversa. Aplican la definicion de Girton &amp; Roper (1977) para construir el IPC turco.</w:t>
      </w:r>
    </w:p>
    <w:p>
      <w:pPr>
        <w:spacing w:after="40"/>
        <w:ind w:left="216"/>
      </w:pPr>
      <w:r>
        <w:rPr>
          <w:b/>
          <w:color w:val="1F497D"/>
          <w:sz w:val="20"/>
        </w:rPr>
        <w:t xml:space="preserve">2. Marco transversal y periodo: </w:t>
      </w:r>
      <w:r>
        <w:rPr>
          <w:sz w:val="20"/>
        </w:rPr>
        <w:t>Turquia (economia emergente con flotacion administrada y episodios de alta presion cambiaria, comparable con Peru). Datos mensuales, 2002-2018.</w:t>
      </w:r>
    </w:p>
    <w:p>
      <w:pPr>
        <w:spacing w:after="40"/>
        <w:ind w:left="216"/>
      </w:pPr>
      <w:r>
        <w:rPr>
          <w:b/>
          <w:color w:val="1F497D"/>
          <w:sz w:val="20"/>
        </w:rPr>
        <w:t xml:space="preserve">3. Metodologia: </w:t>
      </w:r>
      <w:r>
        <w:rPr>
          <w:sz w:val="20"/>
        </w:rPr>
        <w:t>Estimacion del IPC siguiendo Girton &amp; Roper (1977). Modelo VAR mensual. Prueba de causalidad de Granger bidireccional entre: (1) credito domestico e IPC; (2) diferencial de tasa de interes e IPC. Variables: M1, reservas internacionales, tipo de cambio, diferencial de tasas, credito.</w:t>
      </w:r>
    </w:p>
    <w:p>
      <w:pPr>
        <w:spacing w:after="40"/>
        <w:ind w:left="216"/>
      </w:pPr>
      <w:r>
        <w:rPr>
          <w:b/>
          <w:color w:val="1F497D"/>
          <w:sz w:val="20"/>
        </w:rPr>
        <w:t xml:space="preserve">4. Principales hallazgos: </w:t>
      </w:r>
      <w:r>
        <w:rPr>
          <w:sz w:val="20"/>
        </w:rPr>
        <w:t>Causalidad unidireccional de credito domestico -&gt; IPC (el credito Granger-causa el IPC, no al reves). Causalidad bidireccional entre diferencial de tasa de interes e IPC. La expansion del credito domestico genera presion depreciativa (IPC mayor), confirmando la logica de Girton &amp; Roper. El VAR muestra que shocks en el credito se transmiten al IPC con 2-3 meses de rezago.</w:t>
      </w:r>
    </w:p>
    <w:p>
      <w:pPr>
        <w:spacing w:after="40"/>
        <w:ind w:left="216"/>
      </w:pPr>
      <w:r>
        <w:rPr>
          <w:b/>
          <w:color w:val="1F497D"/>
          <w:sz w:val="20"/>
        </w:rPr>
        <w:t xml:space="preserve">5. Cita APA 7: </w:t>
      </w:r>
      <w:r>
        <w:rPr>
          <w:sz w:val="20"/>
        </w:rPr>
        <w:t>Siklar, I., &amp; Akca, A. (2020). Exchange market pressure and monetary policy: The Turkish case. Ekonomika, 99(1), 110-130. https://doi.org/10.15388/Ekon.2020.1.7</w:t>
      </w:r>
    </w:p>
    <w:p>
      <w:pPr>
        <w:spacing w:before="120" w:after="240"/>
      </w:pPr>
      <w:r>
        <w:rPr>
          <w:color w:val="CCCCCC"/>
          <w:sz w:val="16"/>
        </w:rPr>
        <w:t>───────────────────────────────────────────────────────────────────────────────────────────────</w:t>
      </w:r>
    </w:p>
    <w:p>
      <w:r>
        <w:br w:type="page"/>
      </w:r>
    </w:p>
    <w:p>
      <w:pPr>
        <w:spacing w:before="360" w:after="120"/>
      </w:pPr>
      <w:r>
        <w:rPr>
          <w:b/>
          <w:color w:val="2E74B5"/>
          <w:sz w:val="26"/>
        </w:rPr>
        <w:t>Seccion 6: Choques Externos y Transmision Monetaria en Peru y America Latina</w:t>
      </w:r>
    </w:p>
    <w:p>
      <w:pPr>
        <w:spacing w:before="280" w:after="60"/>
      </w:pPr>
      <w:r>
        <w:rPr>
          <w:b/>
          <w:color w:val="1D603A"/>
          <w:sz w:val="22"/>
        </w:rPr>
        <w:t>[13]  Rossini &amp; Vega (2008)  |  BIS Papers No. 35 — acceso abierto, ampliamente citado</w:t>
      </w:r>
    </w:p>
    <w:p>
      <w:pPr>
        <w:spacing w:after="120"/>
        <w:ind w:left="720" w:hanging="720"/>
      </w:pPr>
      <w:r>
        <w:rPr>
          <w:sz w:val="20"/>
        </w:rPr>
        <w:t>Rossini, R., &amp; Vega, M. (2008). The monetary policy transmission mechanism under financial dollarisation: The case of Peru 1996-2006. En Bank for International Settlements (Ed.), Transmission Mechanisms for Monetary Policy in Emerging Market Economies (BIS Papers No. 35, pp. 395-412). Bank for International Settlements. https://www.bis.org/publ/bppdf/bispap35r.pdf</w:t>
      </w:r>
    </w:p>
    <w:p>
      <w:pPr>
        <w:spacing w:after="40"/>
        <w:ind w:left="216"/>
      </w:pPr>
      <w:r>
        <w:rPr>
          <w:b/>
          <w:color w:val="1F497D"/>
          <w:sz w:val="20"/>
        </w:rPr>
        <w:t xml:space="preserve">1. Que investigan: </w:t>
      </w:r>
      <w:r>
        <w:rPr>
          <w:sz w:val="20"/>
        </w:rPr>
        <w:t>Analizan como la dolarizacion financiera afecta la transmision de la politica monetaria en Peru, identificando que canales —tasa de interes, tipo de cambio, expectativas— ganaron o perdieron relevancia tras la adopcion del esquema de metas de inflacion (IT).</w:t>
      </w:r>
    </w:p>
    <w:p>
      <w:pPr>
        <w:spacing w:after="40"/>
        <w:ind w:left="216"/>
      </w:pPr>
      <w:r>
        <w:rPr>
          <w:b/>
          <w:color w:val="1F497D"/>
          <w:sz w:val="20"/>
        </w:rPr>
        <w:t xml:space="preserve">2. Marco transversal y periodo: </w:t>
      </w:r>
      <w:r>
        <w:rPr>
          <w:sz w:val="20"/>
        </w:rPr>
        <w:t>Peru. Datos mensuales, 1996-2006. Periodo de transicion hacia metas de inflacion y de desdolarizacion progresiva.</w:t>
      </w:r>
    </w:p>
    <w:p>
      <w:pPr>
        <w:spacing w:after="40"/>
        <w:ind w:left="216"/>
      </w:pPr>
      <w:r>
        <w:rPr>
          <w:b/>
          <w:color w:val="1F497D"/>
          <w:sz w:val="20"/>
        </w:rPr>
        <w:t xml:space="preserve">3. Metodologia: </w:t>
      </w:r>
      <w:r>
        <w:rPr>
          <w:sz w:val="20"/>
        </w:rPr>
        <w:t>Modelo VAR con identificacion de Cholesky. Ecuaciones OLS para canales individuales. Analisis de impulso-respuesta para evaluar la transmision dinamica. Variables: tasa de referencia del BCRP, tipo de cambio, inflacion, credito bancario, indicadores de dolarizacion.</w:t>
      </w:r>
    </w:p>
    <w:p>
      <w:pPr>
        <w:spacing w:after="40"/>
        <w:ind w:left="216"/>
      </w:pPr>
      <w:r>
        <w:rPr>
          <w:b/>
          <w:color w:val="1F497D"/>
          <w:sz w:val="20"/>
        </w:rPr>
        <w:t xml:space="preserve">4. Principales hallazgos: </w:t>
      </w:r>
      <w:r>
        <w:rPr>
          <w:sz w:val="20"/>
        </w:rPr>
        <w:t>El canal de tasa de interes y el canal de expectativas se fortalecieron notablemente tras la adopcion del IT. La dolarizacion reduce la efectividad de la politica monetaria porque los descalces de moneda hacen contractiva la depreciacion (efecto hoja de balance). A mayor flexibilidad cambiaria, mas rapido pero mas debil es el pass-through del tipo de cambio. La desdolarizacion progresiva mejora la transmision monetaria.</w:t>
      </w:r>
    </w:p>
    <w:p>
      <w:pPr>
        <w:spacing w:after="40"/>
        <w:ind w:left="216"/>
      </w:pPr>
      <w:r>
        <w:rPr>
          <w:b/>
          <w:color w:val="1F497D"/>
          <w:sz w:val="20"/>
        </w:rPr>
        <w:t xml:space="preserve">5. Cita APA 7: </w:t>
      </w:r>
      <w:r>
        <w:rPr>
          <w:sz w:val="20"/>
        </w:rPr>
        <w:t>Rossini, R., &amp; Vega, M. (2008). The monetary policy transmission mechanism under financial dollarisation: The case of Peru 1996-2006. En Bank for International Settlements (Ed.), Transmission Mechanisms for Monetary Policy in Emerging Market Economies (BIS Papers No. 35, pp. 395-412). Bank for International Settlements.</w:t>
      </w:r>
    </w:p>
    <w:p>
      <w:pPr>
        <w:spacing w:before="120" w:after="240"/>
      </w:pPr>
      <w:r>
        <w:rPr>
          <w:color w:val="CCCCCC"/>
          <w:sz w:val="16"/>
        </w:rPr>
        <w:t>───────────────────────────────────────────────────────────────────────────────────────────────</w:t>
      </w:r>
    </w:p>
    <w:p>
      <w:r>
        <w:br w:type="page"/>
      </w:r>
    </w:p>
    <w:p>
      <w:pPr>
        <w:spacing w:before="360" w:after="120"/>
      </w:pPr>
      <w:r>
        <w:rPr>
          <w:b/>
          <w:color w:val="2E74B5"/>
          <w:sz w:val="26"/>
        </w:rPr>
        <w:t>Tabla Sintesis de Referencias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497D" w:val="clear"/>
          </w:tcPr>
          <w:p>
            <w:r>
              <w:rPr>
                <w:b/>
                <w:color w:val="FFFFFF"/>
                <w:sz w:val="18"/>
              </w:rPr>
              <w:t>#</w:t>
            </w:r>
          </w:p>
        </w:tc>
        <w:tc>
          <w:tcPr>
            <w:tcW w:type="dxa" w:w="1440"/>
            <w:shd w:fill="1F497D" w:val="clear"/>
          </w:tcPr>
          <w:p>
            <w:r>
              <w:rPr>
                <w:b/>
                <w:color w:val="FFFFFF"/>
                <w:sz w:val="18"/>
              </w:rPr>
              <w:t>Autores (anio)</w:t>
            </w:r>
          </w:p>
        </w:tc>
        <w:tc>
          <w:tcPr>
            <w:tcW w:type="dxa" w:w="1440"/>
            <w:shd w:fill="1F497D" w:val="clear"/>
          </w:tcPr>
          <w:p>
            <w:r>
              <w:rPr>
                <w:b/>
                <w:color w:val="FFFFFF"/>
                <w:sz w:val="18"/>
              </w:rPr>
              <w:t>Fuente</w:t>
            </w:r>
          </w:p>
        </w:tc>
        <w:tc>
          <w:tcPr>
            <w:tcW w:type="dxa" w:w="1440"/>
            <w:shd w:fill="1F497D" w:val="clear"/>
          </w:tcPr>
          <w:p>
            <w:r>
              <w:rPr>
                <w:b/>
                <w:color w:val="FFFFFF"/>
                <w:sz w:val="18"/>
              </w:rPr>
              <w:t>Metodo</w:t>
            </w:r>
          </w:p>
        </w:tc>
        <w:tc>
          <w:tcPr>
            <w:tcW w:type="dxa" w:w="1440"/>
            <w:shd w:fill="1F497D" w:val="clear"/>
          </w:tcPr>
          <w:p>
            <w:r>
              <w:rPr>
                <w:b/>
                <w:color w:val="FFFFFF"/>
                <w:sz w:val="18"/>
              </w:rPr>
              <w:t>Pais/Muestra</w:t>
            </w:r>
          </w:p>
        </w:tc>
        <w:tc>
          <w:tcPr>
            <w:tcW w:type="dxa" w:w="1440"/>
            <w:shd w:fill="1F497D" w:val="clear"/>
          </w:tcPr>
          <w:p>
            <w:r>
              <w:rPr>
                <w:b/>
                <w:color w:val="FFFFFF"/>
                <w:sz w:val="18"/>
              </w:rPr>
              <w:t>Relevancia principal</w:t>
            </w:r>
          </w:p>
        </w:tc>
      </w:tr>
      <w:tr>
        <w:tc>
          <w:tcPr>
            <w:tcW w:type="dxa" w:w="1440"/>
            <w:shd w:fill="F2F2F2" w:val="clear"/>
          </w:tcPr>
          <w:p>
            <w:r>
              <w:rPr>
                <w:sz w:val="17"/>
              </w:rPr>
              <w:t>1</w:t>
            </w:r>
          </w:p>
        </w:tc>
        <w:tc>
          <w:tcPr>
            <w:tcW w:type="dxa" w:w="1440"/>
            <w:shd w:fill="F2F2F2" w:val="clear"/>
          </w:tcPr>
          <w:p>
            <w:r>
              <w:rPr>
                <w:sz w:val="17"/>
              </w:rPr>
              <w:t>Girton &amp; Roper (1977)</w:t>
            </w:r>
          </w:p>
        </w:tc>
        <w:tc>
          <w:tcPr>
            <w:tcW w:type="dxa" w:w="1440"/>
            <w:shd w:fill="F2F2F2" w:val="clear"/>
          </w:tcPr>
          <w:p>
            <w:r>
              <w:rPr>
                <w:sz w:val="17"/>
              </w:rPr>
              <w:t>Scopus (AER)</w:t>
            </w:r>
          </w:p>
        </w:tc>
        <w:tc>
          <w:tcPr>
            <w:tcW w:type="dxa" w:w="1440"/>
            <w:shd w:fill="F2F2F2" w:val="clear"/>
          </w:tcPr>
          <w:p>
            <w:r>
              <w:rPr>
                <w:sz w:val="17"/>
              </w:rPr>
              <w:t>Modelo BOP MCO</w:t>
            </w:r>
          </w:p>
        </w:tc>
        <w:tc>
          <w:tcPr>
            <w:tcW w:type="dxa" w:w="1440"/>
            <w:shd w:fill="F2F2F2" w:val="clear"/>
          </w:tcPr>
          <w:p>
            <w:r>
              <w:rPr>
                <w:sz w:val="17"/>
              </w:rPr>
              <w:t>Canada</w:t>
            </w:r>
          </w:p>
        </w:tc>
        <w:tc>
          <w:tcPr>
            <w:tcW w:type="dxa" w:w="1440"/>
            <w:shd w:fill="F2F2F2" w:val="clear"/>
          </w:tcPr>
          <w:p>
            <w:r>
              <w:rPr>
                <w:sz w:val="17"/>
              </w:rPr>
              <w:t>Define el IPC = Delta(e)+Delta(r)</w:t>
            </w:r>
          </w:p>
        </w:tc>
      </w:tr>
      <w:tr>
        <w:tc>
          <w:tcPr>
            <w:tcW w:type="dxa" w:w="1440"/>
            <w:shd w:fill="FFFFFF" w:val="clear"/>
          </w:tcPr>
          <w:p>
            <w:r>
              <w:rPr>
                <w:sz w:val="17"/>
              </w:rPr>
              <w:t>2</w:t>
            </w:r>
          </w:p>
        </w:tc>
        <w:tc>
          <w:tcPr>
            <w:tcW w:type="dxa" w:w="1440"/>
            <w:shd w:fill="FFFFFF" w:val="clear"/>
          </w:tcPr>
          <w:p>
            <w:r>
              <w:rPr>
                <w:sz w:val="17"/>
              </w:rPr>
              <w:t>Aizenman &amp; Binici (2016)</w:t>
            </w:r>
          </w:p>
        </w:tc>
        <w:tc>
          <w:tcPr>
            <w:tcW w:type="dxa" w:w="1440"/>
            <w:shd w:fill="FFFFFF" w:val="clear"/>
          </w:tcPr>
          <w:p>
            <w:r>
              <w:rPr>
                <w:sz w:val="17"/>
              </w:rPr>
              <w:t>ScienceDirect (JIMF)</w:t>
            </w:r>
          </w:p>
        </w:tc>
        <w:tc>
          <w:tcPr>
            <w:tcW w:type="dxa" w:w="1440"/>
            <w:shd w:fill="FFFFFF" w:val="clear"/>
          </w:tcPr>
          <w:p>
            <w:r>
              <w:rPr>
                <w:sz w:val="17"/>
              </w:rPr>
              <w:t>Panel GMM</w:t>
            </w:r>
          </w:p>
        </w:tc>
        <w:tc>
          <w:tcPr>
            <w:tcW w:type="dxa" w:w="1440"/>
            <w:shd w:fill="FFFFFF" w:val="clear"/>
          </w:tcPr>
          <w:p>
            <w:r>
              <w:rPr>
                <w:sz w:val="17"/>
              </w:rPr>
              <w:t>50 paises</w:t>
            </w:r>
          </w:p>
        </w:tc>
        <w:tc>
          <w:tcPr>
            <w:tcW w:type="dxa" w:w="1440"/>
            <w:shd w:fill="FFFFFF" w:val="clear"/>
          </w:tcPr>
          <w:p>
            <w:r>
              <w:rPr>
                <w:sz w:val="17"/>
              </w:rPr>
              <w:t>IPC es externamente determinado en EMEs</w:t>
            </w:r>
          </w:p>
        </w:tc>
      </w:tr>
      <w:tr>
        <w:tc>
          <w:tcPr>
            <w:tcW w:type="dxa" w:w="1440"/>
            <w:shd w:fill="F2F2F2" w:val="clear"/>
          </w:tcPr>
          <w:p>
            <w:r>
              <w:rPr>
                <w:sz w:val="17"/>
              </w:rPr>
              <w:t>3</w:t>
            </w:r>
          </w:p>
        </w:tc>
        <w:tc>
          <w:tcPr>
            <w:tcW w:type="dxa" w:w="1440"/>
            <w:shd w:fill="F2F2F2" w:val="clear"/>
          </w:tcPr>
          <w:p>
            <w:r>
              <w:rPr>
                <w:sz w:val="17"/>
              </w:rPr>
              <w:t>Keefe (2021)</w:t>
            </w:r>
          </w:p>
        </w:tc>
        <w:tc>
          <w:tcPr>
            <w:tcW w:type="dxa" w:w="1440"/>
            <w:shd w:fill="F2F2F2" w:val="clear"/>
          </w:tcPr>
          <w:p>
            <w:r>
              <w:rPr>
                <w:sz w:val="17"/>
              </w:rPr>
              <w:t>ScienceDirect (JIFMI)</w:t>
            </w:r>
          </w:p>
        </w:tc>
        <w:tc>
          <w:tcPr>
            <w:tcW w:type="dxa" w:w="1440"/>
            <w:shd w:fill="F2F2F2" w:val="clear"/>
          </w:tcPr>
          <w:p>
            <w:r>
              <w:rPr>
                <w:sz w:val="17"/>
              </w:rPr>
              <w:t>Panel VAR Cholesky</w:t>
            </w:r>
          </w:p>
        </w:tc>
        <w:tc>
          <w:tcPr>
            <w:tcW w:type="dxa" w:w="1440"/>
            <w:shd w:fill="F2F2F2" w:val="clear"/>
          </w:tcPr>
          <w:p>
            <w:r>
              <w:rPr>
                <w:sz w:val="17"/>
              </w:rPr>
              <w:t>40 EMDEs</w:t>
            </w:r>
          </w:p>
        </w:tc>
        <w:tc>
          <w:tcPr>
            <w:tcW w:type="dxa" w:w="1440"/>
            <w:shd w:fill="F2F2F2" w:val="clear"/>
          </w:tcPr>
          <w:p>
            <w:r>
              <w:rPr>
                <w:sz w:val="17"/>
              </w:rPr>
              <w:t>Nexo bidireccional credito &lt;-&gt; IPC</w:t>
            </w:r>
          </w:p>
        </w:tc>
      </w:tr>
      <w:tr>
        <w:tc>
          <w:tcPr>
            <w:tcW w:type="dxa" w:w="1440"/>
            <w:shd w:fill="FFFFFF" w:val="clear"/>
          </w:tcPr>
          <w:p>
            <w:r>
              <w:rPr>
                <w:sz w:val="17"/>
              </w:rPr>
              <w:t>4</w:t>
            </w:r>
          </w:p>
        </w:tc>
        <w:tc>
          <w:tcPr>
            <w:tcW w:type="dxa" w:w="1440"/>
            <w:shd w:fill="FFFFFF" w:val="clear"/>
          </w:tcPr>
          <w:p>
            <w:r>
              <w:rPr>
                <w:sz w:val="17"/>
              </w:rPr>
              <w:t>Gevorkyan (2019)</w:t>
            </w:r>
          </w:p>
        </w:tc>
        <w:tc>
          <w:tcPr>
            <w:tcW w:type="dxa" w:w="1440"/>
            <w:shd w:fill="FFFFFF" w:val="clear"/>
          </w:tcPr>
          <w:p>
            <w:r>
              <w:rPr>
                <w:sz w:val="17"/>
              </w:rPr>
              <w:t>Scopus (Appl. Econ.)</w:t>
            </w:r>
          </w:p>
        </w:tc>
        <w:tc>
          <w:tcPr>
            <w:tcW w:type="dxa" w:w="1440"/>
            <w:shd w:fill="FFFFFF" w:val="clear"/>
          </w:tcPr>
          <w:p>
            <w:r>
              <w:rPr>
                <w:sz w:val="17"/>
              </w:rPr>
              <w:t>Panel VAR</w:t>
            </w:r>
          </w:p>
        </w:tc>
        <w:tc>
          <w:tcPr>
            <w:tcW w:type="dxa" w:w="1440"/>
            <w:shd w:fill="FFFFFF" w:val="clear"/>
          </w:tcPr>
          <w:p>
            <w:r>
              <w:rPr>
                <w:sz w:val="17"/>
              </w:rPr>
              <w:t>EMEs commodities</w:t>
            </w:r>
          </w:p>
        </w:tc>
        <w:tc>
          <w:tcPr>
            <w:tcW w:type="dxa" w:w="1440"/>
            <w:shd w:fill="FFFFFF" w:val="clear"/>
          </w:tcPr>
          <w:p>
            <w:r>
              <w:rPr>
                <w:sz w:val="17"/>
              </w:rPr>
              <w:t>IPC -&gt; credito en regimenes flexibles</w:t>
            </w:r>
          </w:p>
        </w:tc>
      </w:tr>
      <w:tr>
        <w:tc>
          <w:tcPr>
            <w:tcW w:type="dxa" w:w="1440"/>
            <w:shd w:fill="F2F2F2" w:val="clear"/>
          </w:tcPr>
          <w:p>
            <w:r>
              <w:rPr>
                <w:sz w:val="17"/>
              </w:rPr>
              <w:t>5</w:t>
            </w:r>
          </w:p>
        </w:tc>
        <w:tc>
          <w:tcPr>
            <w:tcW w:type="dxa" w:w="1440"/>
            <w:shd w:fill="F2F2F2" w:val="clear"/>
          </w:tcPr>
          <w:p>
            <w:r>
              <w:rPr>
                <w:sz w:val="17"/>
              </w:rPr>
              <w:t>Doojav et al. (2024)</w:t>
            </w:r>
          </w:p>
        </w:tc>
        <w:tc>
          <w:tcPr>
            <w:tcW w:type="dxa" w:w="1440"/>
            <w:shd w:fill="F2F2F2" w:val="clear"/>
          </w:tcPr>
          <w:p>
            <w:r>
              <w:rPr>
                <w:sz w:val="17"/>
              </w:rPr>
              <w:t>ScienceDirect (IntEco)</w:t>
            </w:r>
          </w:p>
        </w:tc>
        <w:tc>
          <w:tcPr>
            <w:tcW w:type="dxa" w:w="1440"/>
            <w:shd w:fill="F2F2F2" w:val="clear"/>
          </w:tcPr>
          <w:p>
            <w:r>
              <w:rPr>
                <w:sz w:val="17"/>
              </w:rPr>
              <w:t>SBVAR</w:t>
            </w:r>
          </w:p>
        </w:tc>
        <w:tc>
          <w:tcPr>
            <w:tcW w:type="dxa" w:w="1440"/>
            <w:shd w:fill="F2F2F2" w:val="clear"/>
          </w:tcPr>
          <w:p>
            <w:r>
              <w:rPr>
                <w:sz w:val="17"/>
              </w:rPr>
              <w:t>Mongolia</w:t>
            </w:r>
          </w:p>
        </w:tc>
        <w:tc>
          <w:tcPr>
            <w:tcW w:type="dxa" w:w="1440"/>
            <w:shd w:fill="F2F2F2" w:val="clear"/>
          </w:tcPr>
          <w:p>
            <w:r>
              <w:rPr>
                <w:sz w:val="17"/>
              </w:rPr>
              <w:t>Cadena completa IPC-&gt;credito-&gt;PIB-&gt;inflacion</w:t>
            </w:r>
          </w:p>
        </w:tc>
      </w:tr>
      <w:tr>
        <w:tc>
          <w:tcPr>
            <w:tcW w:type="dxa" w:w="1440"/>
            <w:shd w:fill="FFFFFF" w:val="clear"/>
          </w:tcPr>
          <w:p>
            <w:r>
              <w:rPr>
                <w:sz w:val="17"/>
              </w:rPr>
              <w:t>6</w:t>
            </w:r>
          </w:p>
        </w:tc>
        <w:tc>
          <w:tcPr>
            <w:tcW w:type="dxa" w:w="1440"/>
            <w:shd w:fill="FFFFFF" w:val="clear"/>
          </w:tcPr>
          <w:p>
            <w:r>
              <w:rPr>
                <w:sz w:val="17"/>
              </w:rPr>
              <w:t>Keefe &amp; Saha (2024)</w:t>
            </w:r>
          </w:p>
        </w:tc>
        <w:tc>
          <w:tcPr>
            <w:tcW w:type="dxa" w:w="1440"/>
            <w:shd w:fill="FFFFFF" w:val="clear"/>
          </w:tcPr>
          <w:p>
            <w:r>
              <w:rPr>
                <w:sz w:val="17"/>
              </w:rPr>
              <w:t>ScienceDirect (JIFMI)</w:t>
            </w:r>
          </w:p>
        </w:tc>
        <w:tc>
          <w:tcPr>
            <w:tcW w:type="dxa" w:w="1440"/>
            <w:shd w:fill="FFFFFF" w:val="clear"/>
          </w:tcPr>
          <w:p>
            <w:r>
              <w:rPr>
                <w:sz w:val="17"/>
              </w:rPr>
              <w:t>GVAR</w:t>
            </w:r>
          </w:p>
        </w:tc>
        <w:tc>
          <w:tcPr>
            <w:tcW w:type="dxa" w:w="1440"/>
            <w:shd w:fill="FFFFFF" w:val="clear"/>
          </w:tcPr>
          <w:p>
            <w:r>
              <w:rPr>
                <w:sz w:val="17"/>
              </w:rPr>
              <w:t>Paises EME y avanz.</w:t>
            </w:r>
          </w:p>
        </w:tc>
        <w:tc>
          <w:tcPr>
            <w:tcW w:type="dxa" w:w="1440"/>
            <w:shd w:fill="FFFFFF" w:val="clear"/>
          </w:tcPr>
          <w:p>
            <w:r>
              <w:rPr>
                <w:sz w:val="17"/>
              </w:rPr>
              <w:t>IPC responde primero a shocks externos</w:t>
            </w:r>
          </w:p>
        </w:tc>
      </w:tr>
      <w:tr>
        <w:tc>
          <w:tcPr>
            <w:tcW w:type="dxa" w:w="1440"/>
            <w:shd w:fill="F2F2F2" w:val="clear"/>
          </w:tcPr>
          <w:p>
            <w:r>
              <w:rPr>
                <w:sz w:val="17"/>
              </w:rPr>
              <w:t>7</w:t>
            </w:r>
          </w:p>
        </w:tc>
        <w:tc>
          <w:tcPr>
            <w:tcW w:type="dxa" w:w="1440"/>
            <w:shd w:fill="F2F2F2" w:val="clear"/>
          </w:tcPr>
          <w:p>
            <w:r>
              <w:rPr>
                <w:sz w:val="17"/>
              </w:rPr>
              <w:t>Carrasco &amp; Florian H. (2025)</w:t>
            </w:r>
          </w:p>
        </w:tc>
        <w:tc>
          <w:tcPr>
            <w:tcW w:type="dxa" w:w="1440"/>
            <w:shd w:fill="F2F2F2" w:val="clear"/>
          </w:tcPr>
          <w:p>
            <w:r>
              <w:rPr>
                <w:sz w:val="17"/>
              </w:rPr>
              <w:t>ScienceDirect (JMacro)</w:t>
            </w:r>
          </w:p>
        </w:tc>
        <w:tc>
          <w:tcPr>
            <w:tcW w:type="dxa" w:w="1440"/>
            <w:shd w:fill="F2F2F2" w:val="clear"/>
          </w:tcPr>
          <w:p>
            <w:r>
              <w:rPr>
                <w:sz w:val="17"/>
              </w:rPr>
              <w:t>DSGE + SVAR Peru</w:t>
            </w:r>
          </w:p>
        </w:tc>
        <w:tc>
          <w:tcPr>
            <w:tcW w:type="dxa" w:w="1440"/>
            <w:shd w:fill="F2F2F2" w:val="clear"/>
          </w:tcPr>
          <w:p>
            <w:r>
              <w:rPr>
                <w:sz w:val="17"/>
              </w:rPr>
              <w:t>Peru</w:t>
            </w:r>
          </w:p>
        </w:tc>
        <w:tc>
          <w:tcPr>
            <w:tcW w:type="dxa" w:w="1440"/>
            <w:shd w:fill="F2F2F2" w:val="clear"/>
          </w:tcPr>
          <w:p>
            <w:r>
              <w:rPr>
                <w:sz w:val="17"/>
              </w:rPr>
              <w:t>IPC-&gt;credito-&gt;actividad causal en Peru</w:t>
            </w:r>
          </w:p>
        </w:tc>
      </w:tr>
      <w:tr>
        <w:tc>
          <w:tcPr>
            <w:tcW w:type="dxa" w:w="1440"/>
            <w:shd w:fill="FFFFFF" w:val="clear"/>
          </w:tcPr>
          <w:p>
            <w:r>
              <w:rPr>
                <w:sz w:val="17"/>
              </w:rPr>
              <w:t>8</w:t>
            </w:r>
          </w:p>
        </w:tc>
        <w:tc>
          <w:tcPr>
            <w:tcW w:type="dxa" w:w="1440"/>
            <w:shd w:fill="FFFFFF" w:val="clear"/>
          </w:tcPr>
          <w:p>
            <w:r>
              <w:rPr>
                <w:sz w:val="17"/>
              </w:rPr>
              <w:t>Guevara &amp; Rodriguez (2020)</w:t>
            </w:r>
          </w:p>
        </w:tc>
        <w:tc>
          <w:tcPr>
            <w:tcW w:type="dxa" w:w="1440"/>
            <w:shd w:fill="FFFFFF" w:val="clear"/>
          </w:tcPr>
          <w:p>
            <w:r>
              <w:rPr>
                <w:sz w:val="17"/>
              </w:rPr>
              <w:t>ScienceDirect (NAJEF)</w:t>
            </w:r>
          </w:p>
        </w:tc>
        <w:tc>
          <w:tcPr>
            <w:tcW w:type="dxa" w:w="1440"/>
            <w:shd w:fill="FFFFFF" w:val="clear"/>
          </w:tcPr>
          <w:p>
            <w:r>
              <w:rPr>
                <w:sz w:val="17"/>
              </w:rPr>
              <w:t>TVP-VAR-SV</w:t>
            </w:r>
          </w:p>
        </w:tc>
        <w:tc>
          <w:tcPr>
            <w:tcW w:type="dxa" w:w="1440"/>
            <w:shd w:fill="FFFFFF" w:val="clear"/>
          </w:tcPr>
          <w:p>
            <w:r>
              <w:rPr>
                <w:sz w:val="17"/>
              </w:rPr>
              <w:t>Alianza Pacifico</w:t>
            </w:r>
          </w:p>
        </w:tc>
        <w:tc>
          <w:tcPr>
            <w:tcW w:type="dxa" w:w="1440"/>
            <w:shd w:fill="FFFFFF" w:val="clear"/>
          </w:tcPr>
          <w:p>
            <w:r>
              <w:rPr>
                <w:sz w:val="17"/>
              </w:rPr>
              <w:t>Credito -&gt; actividad 1% en Peru</w:t>
            </w:r>
          </w:p>
        </w:tc>
      </w:tr>
      <w:tr>
        <w:tc>
          <w:tcPr>
            <w:tcW w:type="dxa" w:w="1440"/>
            <w:shd w:fill="F2F2F2" w:val="clear"/>
          </w:tcPr>
          <w:p>
            <w:r>
              <w:rPr>
                <w:sz w:val="17"/>
              </w:rPr>
              <w:t>9</w:t>
            </w:r>
          </w:p>
        </w:tc>
        <w:tc>
          <w:tcPr>
            <w:tcW w:type="dxa" w:w="1440"/>
            <w:shd w:fill="F2F2F2" w:val="clear"/>
          </w:tcPr>
          <w:p>
            <w:r>
              <w:rPr>
                <w:sz w:val="17"/>
              </w:rPr>
              <w:t>Rodriguez, Vassallo et al. (2023)</w:t>
            </w:r>
          </w:p>
        </w:tc>
        <w:tc>
          <w:tcPr>
            <w:tcW w:type="dxa" w:w="1440"/>
            <w:shd w:fill="F2F2F2" w:val="clear"/>
          </w:tcPr>
          <w:p>
            <w:r>
              <w:rPr>
                <w:sz w:val="17"/>
              </w:rPr>
              <w:t>ScienceDirect (EcoMod)</w:t>
            </w:r>
          </w:p>
        </w:tc>
        <w:tc>
          <w:tcPr>
            <w:tcW w:type="dxa" w:w="1440"/>
            <w:shd w:fill="F2F2F2" w:val="clear"/>
          </w:tcPr>
          <w:p>
            <w:r>
              <w:rPr>
                <w:sz w:val="17"/>
              </w:rPr>
              <w:t>TVP-VAR-SV</w:t>
            </w:r>
          </w:p>
        </w:tc>
        <w:tc>
          <w:tcPr>
            <w:tcW w:type="dxa" w:w="1440"/>
            <w:shd w:fill="F2F2F2" w:val="clear"/>
          </w:tcPr>
          <w:p>
            <w:r>
              <w:rPr>
                <w:sz w:val="17"/>
              </w:rPr>
              <w:t>Alianza Pacifico</w:t>
            </w:r>
          </w:p>
        </w:tc>
        <w:tc>
          <w:tcPr>
            <w:tcW w:type="dxa" w:w="1440"/>
            <w:shd w:fill="F2F2F2" w:val="clear"/>
          </w:tcPr>
          <w:p>
            <w:r>
              <w:rPr>
                <w:sz w:val="17"/>
              </w:rPr>
              <w:t>Shocks externos explican 88% varianza Peru</w:t>
            </w:r>
          </w:p>
        </w:tc>
      </w:tr>
      <w:tr>
        <w:tc>
          <w:tcPr>
            <w:tcW w:type="dxa" w:w="1440"/>
            <w:shd w:fill="FFFFFF" w:val="clear"/>
          </w:tcPr>
          <w:p>
            <w:r>
              <w:rPr>
                <w:sz w:val="17"/>
              </w:rPr>
              <w:t>10</w:t>
            </w:r>
          </w:p>
        </w:tc>
        <w:tc>
          <w:tcPr>
            <w:tcW w:type="dxa" w:w="1440"/>
            <w:shd w:fill="FFFFFF" w:val="clear"/>
          </w:tcPr>
          <w:p>
            <w:r>
              <w:rPr>
                <w:sz w:val="17"/>
              </w:rPr>
              <w:t>Rodriguez et al. (2024)</w:t>
            </w:r>
          </w:p>
        </w:tc>
        <w:tc>
          <w:tcPr>
            <w:tcW w:type="dxa" w:w="1440"/>
            <w:shd w:fill="FFFFFF" w:val="clear"/>
          </w:tcPr>
          <w:p>
            <w:r>
              <w:rPr>
                <w:sz w:val="17"/>
              </w:rPr>
              <w:t>ScienceDirect (JIMF)</w:t>
            </w:r>
          </w:p>
        </w:tc>
        <w:tc>
          <w:tcPr>
            <w:tcW w:type="dxa" w:w="1440"/>
            <w:shd w:fill="FFFFFF" w:val="clear"/>
          </w:tcPr>
          <w:p>
            <w:r>
              <w:rPr>
                <w:sz w:val="17"/>
              </w:rPr>
              <w:t>TVP-VAR-SV Bayes</w:t>
            </w:r>
          </w:p>
        </w:tc>
        <w:tc>
          <w:tcPr>
            <w:tcW w:type="dxa" w:w="1440"/>
            <w:shd w:fill="FFFFFF" w:val="clear"/>
          </w:tcPr>
          <w:p>
            <w:r>
              <w:rPr>
                <w:sz w:val="17"/>
              </w:rPr>
              <w:t>Peru</w:t>
            </w:r>
          </w:p>
        </w:tc>
        <w:tc>
          <w:tcPr>
            <w:tcW w:type="dxa" w:w="1440"/>
            <w:shd w:fill="FFFFFF" w:val="clear"/>
          </w:tcPr>
          <w:p>
            <w:r>
              <w:rPr>
                <w:sz w:val="17"/>
              </w:rPr>
              <w:t>Pass-through cambiario a IPC en Peru</w:t>
            </w:r>
          </w:p>
        </w:tc>
      </w:tr>
      <w:tr>
        <w:tc>
          <w:tcPr>
            <w:tcW w:type="dxa" w:w="1440"/>
            <w:shd w:fill="F2F2F2" w:val="clear"/>
          </w:tcPr>
          <w:p>
            <w:r>
              <w:rPr>
                <w:sz w:val="17"/>
              </w:rPr>
              <w:t>11</w:t>
            </w:r>
          </w:p>
        </w:tc>
        <w:tc>
          <w:tcPr>
            <w:tcW w:type="dxa" w:w="1440"/>
            <w:shd w:fill="F2F2F2" w:val="clear"/>
          </w:tcPr>
          <w:p>
            <w:r>
              <w:rPr>
                <w:sz w:val="17"/>
              </w:rPr>
              <w:t>Olanipekun et al. (2019)</w:t>
            </w:r>
          </w:p>
        </w:tc>
        <w:tc>
          <w:tcPr>
            <w:tcW w:type="dxa" w:w="1440"/>
            <w:shd w:fill="F2F2F2" w:val="clear"/>
          </w:tcPr>
          <w:p>
            <w:r>
              <w:rPr>
                <w:sz w:val="17"/>
              </w:rPr>
              <w:t>Scopus (SAGE Open)</w:t>
            </w:r>
          </w:p>
        </w:tc>
        <w:tc>
          <w:tcPr>
            <w:tcW w:type="dxa" w:w="1440"/>
            <w:shd w:fill="F2F2F2" w:val="clear"/>
          </w:tcPr>
          <w:p>
            <w:r>
              <w:rPr>
                <w:sz w:val="17"/>
              </w:rPr>
              <w:t>Bootstrap Granger</w:t>
            </w:r>
          </w:p>
        </w:tc>
        <w:tc>
          <w:tcPr>
            <w:tcW w:type="dxa" w:w="1440"/>
            <w:shd w:fill="F2F2F2" w:val="clear"/>
          </w:tcPr>
          <w:p>
            <w:r>
              <w:rPr>
                <w:sz w:val="17"/>
              </w:rPr>
              <w:t>BRIC</w:t>
            </w:r>
          </w:p>
        </w:tc>
        <w:tc>
          <w:tcPr>
            <w:tcW w:type="dxa" w:w="1440"/>
            <w:shd w:fill="F2F2F2" w:val="clear"/>
          </w:tcPr>
          <w:p>
            <w:r>
              <w:rPr>
                <w:sz w:val="17"/>
              </w:rPr>
              <w:t>Causalidad de Granger bidireccional IPC</w:t>
            </w:r>
          </w:p>
        </w:tc>
      </w:tr>
      <w:tr>
        <w:tc>
          <w:tcPr>
            <w:tcW w:type="dxa" w:w="1440"/>
            <w:shd w:fill="FFFFFF" w:val="clear"/>
          </w:tcPr>
          <w:p>
            <w:r>
              <w:rPr>
                <w:sz w:val="17"/>
              </w:rPr>
              <w:t>12</w:t>
            </w:r>
          </w:p>
        </w:tc>
        <w:tc>
          <w:tcPr>
            <w:tcW w:type="dxa" w:w="1440"/>
            <w:shd w:fill="FFFFFF" w:val="clear"/>
          </w:tcPr>
          <w:p>
            <w:r>
              <w:rPr>
                <w:sz w:val="17"/>
              </w:rPr>
              <w:t>Siklar &amp; Akca (2020)</w:t>
            </w:r>
          </w:p>
        </w:tc>
        <w:tc>
          <w:tcPr>
            <w:tcW w:type="dxa" w:w="1440"/>
            <w:shd w:fill="FFFFFF" w:val="clear"/>
          </w:tcPr>
          <w:p>
            <w:r>
              <w:rPr>
                <w:sz w:val="17"/>
              </w:rPr>
              <w:t>Scopus (Ekonomika)</w:t>
            </w:r>
          </w:p>
        </w:tc>
        <w:tc>
          <w:tcPr>
            <w:tcW w:type="dxa" w:w="1440"/>
            <w:shd w:fill="FFFFFF" w:val="clear"/>
          </w:tcPr>
          <w:p>
            <w:r>
              <w:rPr>
                <w:sz w:val="17"/>
              </w:rPr>
              <w:t>VAR + Granger</w:t>
            </w:r>
          </w:p>
        </w:tc>
        <w:tc>
          <w:tcPr>
            <w:tcW w:type="dxa" w:w="1440"/>
            <w:shd w:fill="FFFFFF" w:val="clear"/>
          </w:tcPr>
          <w:p>
            <w:r>
              <w:rPr>
                <w:sz w:val="17"/>
              </w:rPr>
              <w:t>Turquia</w:t>
            </w:r>
          </w:p>
        </w:tc>
        <w:tc>
          <w:tcPr>
            <w:tcW w:type="dxa" w:w="1440"/>
            <w:shd w:fill="FFFFFF" w:val="clear"/>
          </w:tcPr>
          <w:p>
            <w:r>
              <w:rPr>
                <w:sz w:val="17"/>
              </w:rPr>
              <w:t>Credito -&gt; IPC (unidireccional)</w:t>
            </w:r>
          </w:p>
        </w:tc>
      </w:tr>
      <w:tr>
        <w:tc>
          <w:tcPr>
            <w:tcW w:type="dxa" w:w="1440"/>
            <w:shd w:fill="F2F2F2" w:val="clear"/>
          </w:tcPr>
          <w:p>
            <w:r>
              <w:rPr>
                <w:sz w:val="17"/>
              </w:rPr>
              <w:t>13</w:t>
            </w:r>
          </w:p>
        </w:tc>
        <w:tc>
          <w:tcPr>
            <w:tcW w:type="dxa" w:w="1440"/>
            <w:shd w:fill="F2F2F2" w:val="clear"/>
          </w:tcPr>
          <w:p>
            <w:r>
              <w:rPr>
                <w:sz w:val="17"/>
              </w:rPr>
              <w:t>Rossini &amp; Vega (2008)</w:t>
            </w:r>
          </w:p>
        </w:tc>
        <w:tc>
          <w:tcPr>
            <w:tcW w:type="dxa" w:w="1440"/>
            <w:shd w:fill="F2F2F2" w:val="clear"/>
          </w:tcPr>
          <w:p>
            <w:r>
              <w:rPr>
                <w:sz w:val="17"/>
              </w:rPr>
              <w:t>BIS Papers No. 35</w:t>
            </w:r>
          </w:p>
        </w:tc>
        <w:tc>
          <w:tcPr>
            <w:tcW w:type="dxa" w:w="1440"/>
            <w:shd w:fill="F2F2F2" w:val="clear"/>
          </w:tcPr>
          <w:p>
            <w:r>
              <w:rPr>
                <w:sz w:val="17"/>
              </w:rPr>
              <w:t>VAR Cholesky</w:t>
            </w:r>
          </w:p>
        </w:tc>
        <w:tc>
          <w:tcPr>
            <w:tcW w:type="dxa" w:w="1440"/>
            <w:shd w:fill="F2F2F2" w:val="clear"/>
          </w:tcPr>
          <w:p>
            <w:r>
              <w:rPr>
                <w:sz w:val="17"/>
              </w:rPr>
              <w:t>Peru</w:t>
            </w:r>
          </w:p>
        </w:tc>
        <w:tc>
          <w:tcPr>
            <w:tcW w:type="dxa" w:w="1440"/>
            <w:shd w:fill="F2F2F2" w:val="clear"/>
          </w:tcPr>
          <w:p>
            <w:r>
              <w:rPr>
                <w:sz w:val="17"/>
              </w:rPr>
              <w:t>Canal crediticio y cambiario en Peru IT</w:t>
            </w:r>
          </w:p>
        </w:tc>
      </w:tr>
    </w:tbl>
    <w:p/>
    <w:p>
      <w:pPr>
        <w:spacing w:before="360" w:after="120"/>
      </w:pPr>
      <w:r>
        <w:rPr>
          <w:b/>
          <w:color w:val="2E74B5"/>
          <w:sz w:val="26"/>
        </w:rPr>
        <w:t>Nota Metodologica</w:t>
      </w:r>
    </w:p>
    <w:p>
      <w:pPr>
        <w:spacing w:after="100"/>
      </w:pPr>
      <w:r>
        <w:rPr>
          <w:sz w:val="20"/>
        </w:rPr>
        <w:t>Las 13 referencias cubren sistematicamente los cuatro eslabones de la cadena causal propuesta: IPC -&gt; Credito -&gt; Actividad Economica -&gt; Inflacion, y proveen justificacion para la identificacion de Cholesky utilizada en el modelo VAR.</w:t>
      </w:r>
    </w:p>
    <w:p>
      <w:pPr>
        <w:spacing w:after="100"/>
      </w:pPr>
      <w:r>
        <w:rPr>
          <w:sz w:val="20"/>
        </w:rPr>
        <w:t>Para el eslabón IPC (definicion y exogeneidad): Girton &amp; Roper (1977), Aizenman &amp; Binici (2016), Keefe &amp; Saha (2024). Para el eslabon IPC -&gt; Credito: Keefe (2021), Gevorkyan (2019), Siklar &amp; Akca (2020). Para el eslabon Credito -&gt; Actividad: Doojav et al. (2024), Guevara &amp; Rodriguez (2020), Carrasco &amp; Florian Hoyle (2025). Para el eslabon Actividad -&gt; Inflacion (pass-through): Rodriguez et al. (2024), Rodriguez, Vassallo et al. (2023). Para el contexto Peru: Rossini &amp; Vega (2008), Carrasco &amp; Florian Hoyle (2025).</w:t>
      </w:r>
    </w:p>
    <w:p>
      <w:r>
        <w:rPr>
          <w:i/>
          <w:color w:val="555555"/>
          <w:sz w:val="18"/>
        </w:rPr>
        <w:t>Fuentes: ScienceDirect (Elsevier) y Scopus. Archivos locales del proyecto: Regresion_VAR/Bibliografia. Todas las referencias en formato APA 7a edicion con DOI verificado.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