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jc w:val="center"/>
      </w:pPr>
      <w:r>
        <w:rPr>
          <w:rFonts w:ascii="Calibri" w:hAnsi="Calibri"/>
          <w:b/>
          <w:color w:val="003366"/>
          <w:sz w:val="44"/>
        </w:rPr>
        <w:t>Marco Teorico</w:t>
      </w:r>
    </w:p>
    <w:p>
      <w:pPr>
        <w:jc w:val="center"/>
      </w:pPr>
      <w:r>
        <w:rPr>
          <w:rFonts w:ascii="Calibri" w:hAnsi="Calibri"/>
          <w:b/>
          <w:color w:val="1F497D"/>
          <w:sz w:val="32"/>
        </w:rPr>
        <w:t>Transmision de la Politica Monetaria en la Dinamica</w:t>
      </w:r>
    </w:p>
    <w:p>
      <w:pPr>
        <w:jc w:val="center"/>
      </w:pPr>
      <w:r>
        <w:rPr>
          <w:rFonts w:ascii="Calibri" w:hAnsi="Calibri"/>
          <w:b/>
          <w:color w:val="1F497D"/>
          <w:sz w:val="32"/>
        </w:rPr>
        <w:t>Macroeconomica en Chile y Economias Pequenas y Abiertas</w:t>
      </w:r>
    </w:p>
    <w:p>
      <w:pPr>
        <w:spacing w:after="40"/>
      </w:pPr>
    </w:p>
    <w:p>
      <w:pPr>
        <w:jc w:val="center"/>
      </w:pPr>
      <w:r>
        <w:rPr>
          <w:rFonts w:ascii="Calibri" w:hAnsi="Calibri"/>
          <w:b/>
          <w:color w:val="4472C4"/>
          <w:sz w:val="24"/>
        </w:rPr>
        <w:t>Revision de Literatura en ScienceDirect | Base para Modelo VAR</w:t>
      </w:r>
    </w:p>
    <w:p>
      <w:pPr>
        <w:spacing w:after="40"/>
      </w:pPr>
    </w:p>
    <w:p>
      <w:pPr>
        <w:jc w:val="center"/>
      </w:pPr>
      <w:r>
        <w:rPr>
          <w:rFonts w:ascii="Calibri" w:hAnsi="Calibri"/>
          <w:i/>
          <w:color w:val="505050"/>
          <w:sz w:val="20"/>
        </w:rPr>
        <w:t>Fuente de busqueda: ScienceDirect (sciencedirect.com) | Abril 2026</w:t>
      </w:r>
    </w:p>
    <w:p>
      <w:r>
        <w:br w:type="page"/>
      </w:r>
    </w:p>
    <w:p>
      <w:pPr>
        <w:pStyle w:val="Heading1"/>
        <w:jc w:val="left"/>
      </w:pPr>
      <w:r>
        <w:rPr>
          <w:rFonts w:ascii="Calibri" w:hAnsi="Calibri"/>
          <w:color w:val="003366"/>
        </w:rPr>
        <w:t>1. Teorias de Transmision de la Politica Monetaria</w:t>
      </w:r>
    </w:p>
    <w:p>
      <w:pPr>
        <w:spacing w:after="80"/>
        <w:jc w:val="both"/>
      </w:pPr>
      <w:r>
        <w:rPr>
          <w:rFonts w:ascii="Calibri" w:hAnsi="Calibri"/>
          <w:b w:val="0"/>
          <w:i w:val="0"/>
          <w:sz w:val="22"/>
        </w:rPr>
        <w:t>La literatura economica identifica cinco canales principales a traves de los cuales los cambios en la tasa de politica monetaria se propagan hacia las variables macroeconomicas reales y nominales. A continuacion se presentan los fundamentos teoricos de cada canal, los principales autores, su implementacion empirica mediante modelos VAR y su relevancia para Chile y Latinoamerica.</w:t>
      </w:r>
    </w:p>
    <w:p>
      <w:pPr>
        <w:spacing w:after="40"/>
      </w:pPr>
    </w:p>
    <w:p>
      <w:pPr>
        <w:pStyle w:val="Heading2"/>
        <w:jc w:val="left"/>
      </w:pPr>
      <w:r>
        <w:rPr>
          <w:rFonts w:ascii="Calibri" w:hAnsi="Calibri"/>
          <w:color w:val="1F497D"/>
        </w:rPr>
        <w:t>1.1  Canal de la Tasa de Interes</w:t>
      </w:r>
    </w:p>
    <w:p>
      <w:pPr>
        <w:spacing w:after="80"/>
        <w:jc w:val="both"/>
      </w:pPr>
      <w:r>
        <w:rPr>
          <w:rFonts w:ascii="Calibri" w:hAnsi="Calibri"/>
          <w:b w:val="0"/>
          <w:i w:val="0"/>
          <w:sz w:val="22"/>
        </w:rPr>
        <w:t>El canal de la tasa de interes es el mecanismo de transmision monetaria mas directo y constituye el pilar del modelo IS-LM y de los modelos Neo-Keynesianos modernos. Cuando el banco central eleva la tasa de politica monetaria (TPM), se incrementan las tasas de interes reales de corto y largo plazo, lo que encarece el costo del capital y reduce la inversion privada y el consumo (especialmente bienes durables), contrayendo la demanda agregada y frenando la inflacion.</w:t>
      </w:r>
    </w:p>
    <w:p>
      <w:pPr>
        <w:pStyle w:val="Heading3"/>
        <w:jc w:val="left"/>
      </w:pPr>
      <w:r>
        <w:rPr>
          <w:rFonts w:ascii="Calibri" w:hAnsi="Calibri"/>
          <w:color w:val="4472C4"/>
        </w:rPr>
        <w:t>Taylor (1993, 1995) – Regla de Taylor y transmision por tasas</w:t>
      </w:r>
    </w:p>
    <w:p>
      <w:pPr>
        <w:spacing w:after="40"/>
        <w:ind w:left="454"/>
      </w:pPr>
      <w:r>
        <w:rPr>
          <w:rFonts w:ascii="Calibri" w:hAnsi="Calibri"/>
          <w:b/>
          <w:sz w:val="21"/>
        </w:rPr>
        <w:t xml:space="preserve">Autores: </w:t>
      </w:r>
      <w:r>
        <w:rPr>
          <w:rFonts w:ascii="Calibri" w:hAnsi="Calibri"/>
          <w:sz w:val="21"/>
        </w:rPr>
        <w:t>John B. Taylor</w:t>
      </w:r>
    </w:p>
    <w:p>
      <w:pPr>
        <w:spacing w:after="40"/>
        <w:ind w:left="454"/>
      </w:pPr>
      <w:r>
        <w:rPr>
          <w:rFonts w:ascii="Calibri" w:hAnsi="Calibri"/>
          <w:b/>
          <w:sz w:val="21"/>
        </w:rPr>
        <w:t xml:space="preserve">Ano: </w:t>
      </w:r>
      <w:r>
        <w:rPr>
          <w:rFonts w:ascii="Calibri" w:hAnsi="Calibri"/>
          <w:sz w:val="21"/>
        </w:rPr>
        <w:t>1993 / 1995</w:t>
      </w:r>
    </w:p>
    <w:p>
      <w:pPr>
        <w:spacing w:after="40"/>
        <w:ind w:left="454"/>
      </w:pPr>
      <w:r>
        <w:rPr>
          <w:rFonts w:ascii="Calibri" w:hAnsi="Calibri"/>
          <w:b/>
          <w:sz w:val="21"/>
        </w:rPr>
        <w:t xml:space="preserve">Publicacion: </w:t>
      </w:r>
      <w:r>
        <w:rPr>
          <w:rFonts w:ascii="Calibri" w:hAnsi="Calibri"/>
          <w:sz w:val="21"/>
        </w:rPr>
        <w:t>Carnegie-Rochester Conference Series on Public Policy (en ScienceDirect)</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Taylor formaliza la regla de reaccion del banco central: la TPM responde sistematicamente a desviaciones de la inflacion respecto a su meta y a la brecha del producto. Este marco es el fundamento teorico del canal de tasa de interes en los modelos Nuevo Keynesianos y en los modelos VAR estructurales (SVAR) con restricciones de signos.</w:t>
      </w:r>
    </w:p>
    <w:p>
      <w:pPr>
        <w:spacing w:after="40"/>
        <w:ind w:left="454"/>
      </w:pPr>
      <w:r>
        <w:rPr>
          <w:rFonts w:ascii="Calibri" w:hAnsi="Calibri"/>
          <w:b/>
          <w:sz w:val="21"/>
        </w:rPr>
        <w:t xml:space="preserve">Uso en VAR: </w:t>
      </w:r>
      <w:r>
        <w:rPr>
          <w:rFonts w:ascii="Calibri" w:hAnsi="Calibri"/>
          <w:sz w:val="21"/>
        </w:rPr>
        <w:t>La Regla de Taylor se usa como restriccion de identificacion en SVARs: un shock de politica monetaria se identifica como un movimiento en la tasa de interes no explicado por inflacion ni brecha del producto. Variables tipicas: TPM, IPC, PIB/brecha del producto.</w:t>
      </w:r>
    </w:p>
    <w:p>
      <w:pPr>
        <w:spacing w:after="40"/>
        <w:ind w:left="454"/>
      </w:pPr>
      <w:r>
        <w:rPr>
          <w:rFonts w:ascii="Calibri" w:hAnsi="Calibri"/>
          <w:b/>
          <w:sz w:val="21"/>
        </w:rPr>
        <w:t xml:space="preserve">Relevancia para Chile: </w:t>
      </w:r>
      <w:r>
        <w:rPr>
          <w:rFonts w:ascii="Calibri" w:hAnsi="Calibri"/>
          <w:sz w:val="21"/>
        </w:rPr>
        <w:t>El Banco Central de Chile opera bajo un marco de metas de inflacion (IT) con una regla de reaccion tipo Taylor desde 1999. De Mello y Moccero (2011) demuestran que Chile exhibe una reaccion mas intensa de la TPM ante inflacion esperada en el regimen post-1999.</w:t>
      </w:r>
    </w:p>
    <w:p>
      <w:pPr>
        <w:spacing w:after="40"/>
      </w:pPr>
    </w:p>
    <w:p>
      <w:pPr>
        <w:pStyle w:val="Heading3"/>
        <w:jc w:val="left"/>
      </w:pPr>
      <w:r>
        <w:rPr>
          <w:rFonts w:ascii="Calibri" w:hAnsi="Calibri"/>
          <w:color w:val="4472C4"/>
        </w:rPr>
        <w:t>Cushman &amp; Zha (1997) – VAR estructural para economia pequena y abierta</w:t>
      </w:r>
    </w:p>
    <w:p>
      <w:pPr>
        <w:spacing w:after="40"/>
        <w:ind w:left="454"/>
      </w:pPr>
      <w:r>
        <w:rPr>
          <w:rFonts w:ascii="Calibri" w:hAnsi="Calibri"/>
          <w:b/>
          <w:sz w:val="21"/>
        </w:rPr>
        <w:t xml:space="preserve">Autores: </w:t>
      </w:r>
      <w:r>
        <w:rPr>
          <w:rFonts w:ascii="Calibri" w:hAnsi="Calibri"/>
          <w:sz w:val="21"/>
        </w:rPr>
        <w:t>David O. Cushman &amp; Tao A. Zha</w:t>
      </w:r>
    </w:p>
    <w:p>
      <w:pPr>
        <w:spacing w:after="40"/>
        <w:ind w:left="454"/>
      </w:pPr>
      <w:r>
        <w:rPr>
          <w:rFonts w:ascii="Calibri" w:hAnsi="Calibri"/>
          <w:b/>
          <w:sz w:val="21"/>
        </w:rPr>
        <w:t xml:space="preserve">Ano: </w:t>
      </w:r>
      <w:r>
        <w:rPr>
          <w:rFonts w:ascii="Calibri" w:hAnsi="Calibri"/>
          <w:sz w:val="21"/>
        </w:rPr>
        <w:t>1997</w:t>
      </w:r>
    </w:p>
    <w:p>
      <w:pPr>
        <w:spacing w:after="40"/>
        <w:ind w:left="454"/>
      </w:pPr>
      <w:r>
        <w:rPr>
          <w:rFonts w:ascii="Calibri" w:hAnsi="Calibri"/>
          <w:b/>
          <w:sz w:val="21"/>
        </w:rPr>
        <w:t xml:space="preserve">Publicacion: </w:t>
      </w:r>
      <w:r>
        <w:rPr>
          <w:rFonts w:ascii="Calibri" w:hAnsi="Calibri"/>
          <w:sz w:val="21"/>
        </w:rPr>
        <w:t>Journal of Monetary Economics, Vol. 39(3), pp. 433-448 (ScienceDirect)</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Paper seminal que propone un near-VAR estructural para economias pequenas y abiertas, tratando un bloque de variables externas (EE.UU.) como exogenas al bloque domestico. Resuelve los "puzzles" de respuestas erraticas de precio y tipo de cambio que aparecen en VARs recursivos convencionales aplicados a Canada.</w:t>
      </w:r>
    </w:p>
    <w:p>
      <w:pPr>
        <w:spacing w:after="40"/>
        <w:ind w:left="454"/>
      </w:pPr>
      <w:r>
        <w:rPr>
          <w:rFonts w:ascii="Calibri" w:hAnsi="Calibri"/>
          <w:b/>
          <w:sz w:val="21"/>
        </w:rPr>
        <w:t xml:space="preserve">Variables VAR: </w:t>
      </w:r>
      <w:r>
        <w:rPr>
          <w:rFonts w:ascii="Calibri" w:hAnsi="Calibri"/>
          <w:sz w:val="21"/>
        </w:rPr>
        <w:t>Bloque externo: PIB EE.UU., precios EE.UU., tasa de fondos federales. Bloque domestico: PIB, IPC, tasa de interes, tipo de cambio, oferta monetaria.</w:t>
      </w:r>
    </w:p>
    <w:p>
      <w:pPr>
        <w:spacing w:after="40"/>
        <w:ind w:left="454"/>
      </w:pPr>
      <w:r>
        <w:rPr>
          <w:rFonts w:ascii="Calibri" w:hAnsi="Calibri"/>
          <w:b/>
          <w:sz w:val="21"/>
        </w:rPr>
        <w:t xml:space="preserve">Hallazgos: </w:t>
      </w:r>
      <w:r>
        <w:rPr>
          <w:rFonts w:ascii="Calibri" w:hAnsi="Calibri"/>
          <w:sz w:val="21"/>
        </w:rPr>
        <w:t>Un shock contractivo de politica monetaria genera caida del PIB, reduccion de precios y apreciacion del tipo de cambio, en linea con la teoria. Metodologia directamente aplicable a Chile como economia pequena y tomadora de precios internacionales.</w:t>
      </w:r>
    </w:p>
    <w:p>
      <w:pPr>
        <w:spacing w:after="40"/>
      </w:pPr>
    </w:p>
    <w:p>
      <w:pPr>
        <w:pStyle w:val="Heading3"/>
        <w:jc w:val="left"/>
      </w:pPr>
      <w:r>
        <w:rPr>
          <w:rFonts w:ascii="Calibri" w:hAnsi="Calibri"/>
          <w:color w:val="4472C4"/>
        </w:rPr>
        <w:t>Christiano, Eichenbaum &amp; Evans (1999) – Efectos reales de shocks monetarios</w:t>
      </w:r>
    </w:p>
    <w:p>
      <w:pPr>
        <w:spacing w:after="40"/>
        <w:ind w:left="454"/>
      </w:pPr>
      <w:r>
        <w:rPr>
          <w:rFonts w:ascii="Calibri" w:hAnsi="Calibri"/>
          <w:b/>
          <w:sz w:val="21"/>
        </w:rPr>
        <w:t xml:space="preserve">Autores: </w:t>
      </w:r>
      <w:r>
        <w:rPr>
          <w:rFonts w:ascii="Calibri" w:hAnsi="Calibri"/>
          <w:sz w:val="21"/>
        </w:rPr>
        <w:t>L. Christiano, M. Eichenbaum &amp; C. Evans</w:t>
      </w:r>
    </w:p>
    <w:p>
      <w:pPr>
        <w:spacing w:after="40"/>
        <w:ind w:left="454"/>
      </w:pPr>
      <w:r>
        <w:rPr>
          <w:rFonts w:ascii="Calibri" w:hAnsi="Calibri"/>
          <w:b/>
          <w:sz w:val="21"/>
        </w:rPr>
        <w:t xml:space="preserve">Ano: </w:t>
      </w:r>
      <w:r>
        <w:rPr>
          <w:rFonts w:ascii="Calibri" w:hAnsi="Calibri"/>
          <w:sz w:val="21"/>
        </w:rPr>
        <w:t>1999</w:t>
      </w:r>
    </w:p>
    <w:p>
      <w:pPr>
        <w:spacing w:after="40"/>
        <w:ind w:left="454"/>
      </w:pPr>
      <w:r>
        <w:rPr>
          <w:rFonts w:ascii="Calibri" w:hAnsi="Calibri"/>
          <w:b/>
          <w:sz w:val="21"/>
        </w:rPr>
        <w:t xml:space="preserve">Publicacion: </w:t>
      </w:r>
      <w:r>
        <w:rPr>
          <w:rFonts w:ascii="Calibri" w:hAnsi="Calibri"/>
          <w:sz w:val="21"/>
        </w:rPr>
        <w:t>Handbook of Macroeconomics (ScienceDirect, Elsevier)</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Revision exhaustiva de la evidencia VAR sobre los efectos de shocks de politica monetaria en EE.UU. Establece el conjunto de hechos estilizados que cualquier modelo de transmision monetaria debe replicar: caida del PIB, reduccion gradual del nivel de precios (sin "price puzzle"), apreciacion cambiaria y efecto positivo en salarios reales.</w:t>
      </w:r>
    </w:p>
    <w:p>
      <w:pPr>
        <w:spacing w:after="40"/>
        <w:ind w:left="454"/>
      </w:pPr>
      <w:r>
        <w:rPr>
          <w:rFonts w:ascii="Calibri" w:hAnsi="Calibri"/>
          <w:b/>
          <w:sz w:val="21"/>
        </w:rPr>
        <w:t xml:space="preserve">Variables VAR: </w:t>
      </w:r>
      <w:r>
        <w:rPr>
          <w:rFonts w:ascii="Calibri" w:hAnsi="Calibri"/>
          <w:sz w:val="21"/>
        </w:rPr>
        <w:t>PIB real, deflactor del PIB, commodity prices (como variable informacional), tasa de fondos federales, agregados monetarios (M1), reservas bancarias.</w:t>
      </w:r>
    </w:p>
    <w:p>
      <w:pPr>
        <w:spacing w:after="40"/>
        <w:ind w:left="454"/>
      </w:pPr>
      <w:r>
        <w:rPr>
          <w:rFonts w:ascii="Calibri" w:hAnsi="Calibri"/>
          <w:b/>
          <w:sz w:val="21"/>
        </w:rPr>
        <w:t xml:space="preserve">Relevancia para Chile: </w:t>
      </w:r>
      <w:r>
        <w:rPr>
          <w:rFonts w:ascii="Calibri" w:hAnsi="Calibri"/>
          <w:sz w:val="21"/>
        </w:rPr>
        <w:t>Provee la especificacion benchmark de VAR recursivo con la que se comparan los resultados para economias emergentes, incluida Chile.</w:t>
      </w:r>
    </w:p>
    <w:p>
      <w:pPr>
        <w:spacing w:after="40"/>
      </w:pPr>
    </w:p>
    <w:p>
      <w:pPr>
        <w:pStyle w:val="Heading2"/>
        <w:jc w:val="left"/>
      </w:pPr>
      <w:r>
        <w:rPr>
          <w:rFonts w:ascii="Calibri" w:hAnsi="Calibri"/>
          <w:color w:val="1F497D"/>
        </w:rPr>
        <w:t>1.2  Canal del Tipo de Cambio</w:t>
      </w:r>
    </w:p>
    <w:p>
      <w:pPr>
        <w:spacing w:after="80"/>
        <w:jc w:val="both"/>
      </w:pPr>
      <w:r>
        <w:rPr>
          <w:rFonts w:ascii="Calibri" w:hAnsi="Calibri"/>
          <w:b w:val="0"/>
          <w:i w:val="0"/>
          <w:sz w:val="22"/>
        </w:rPr>
        <w:t>En una economia pequena y abierta, el canal del tipo de cambio es frecuentemente el mecanismo de transmision mas potente. Un alza de la TPM incrementa el diferencial de tasa de interes respecto al exterior, atrae capitales y aprecia la moneda domestica. La apreciacion reduce el precio de los importados (pass-through cambiario), modera la inflacion y encarece las exportaciones, contrayendo la demanda agregada. Para Chile, cuyas exportaciones de cobre representan mas del 50% del valor exportado, este canal tiene una doble dimension: monetaria y de terminos de intercambio.</w:t>
      </w:r>
    </w:p>
    <w:p>
      <w:pPr>
        <w:pStyle w:val="Heading3"/>
        <w:jc w:val="left"/>
      </w:pPr>
      <w:r>
        <w:rPr>
          <w:rFonts w:ascii="Calibri" w:hAnsi="Calibri"/>
          <w:color w:val="4472C4"/>
        </w:rPr>
        <w:t>Obstfeld &amp; Rogoff (1995) – Modelo Redux: tipo de cambio y politica monetaria</w:t>
      </w:r>
    </w:p>
    <w:p>
      <w:pPr>
        <w:spacing w:after="40"/>
        <w:ind w:left="454"/>
      </w:pPr>
      <w:r>
        <w:rPr>
          <w:rFonts w:ascii="Calibri" w:hAnsi="Calibri"/>
          <w:b/>
          <w:sz w:val="21"/>
        </w:rPr>
        <w:t xml:space="preserve">Autores: </w:t>
      </w:r>
      <w:r>
        <w:rPr>
          <w:rFonts w:ascii="Calibri" w:hAnsi="Calibri"/>
          <w:sz w:val="21"/>
        </w:rPr>
        <w:t>Maurice Obstfeld &amp; Kenneth Rogoff</w:t>
      </w:r>
    </w:p>
    <w:p>
      <w:pPr>
        <w:spacing w:after="40"/>
        <w:ind w:left="454"/>
      </w:pPr>
      <w:r>
        <w:rPr>
          <w:rFonts w:ascii="Calibri" w:hAnsi="Calibri"/>
          <w:b/>
          <w:sz w:val="21"/>
        </w:rPr>
        <w:t xml:space="preserve">Ano: </w:t>
      </w:r>
      <w:r>
        <w:rPr>
          <w:rFonts w:ascii="Calibri" w:hAnsi="Calibri"/>
          <w:sz w:val="21"/>
        </w:rPr>
        <w:t>1995</w:t>
      </w:r>
    </w:p>
    <w:p>
      <w:pPr>
        <w:spacing w:after="40"/>
        <w:ind w:left="454"/>
      </w:pPr>
      <w:r>
        <w:rPr>
          <w:rFonts w:ascii="Calibri" w:hAnsi="Calibri"/>
          <w:b/>
          <w:sz w:val="21"/>
        </w:rPr>
        <w:t xml:space="preserve">Publicacion: </w:t>
      </w:r>
      <w:r>
        <w:rPr>
          <w:rFonts w:ascii="Calibri" w:hAnsi="Calibri"/>
          <w:sz w:val="21"/>
        </w:rPr>
        <w:t>Journal of Political Economy (citado extensamente en ScienceDirect)</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El modelo Redux introduce el marco de economia abierta con fundamentos microeconomicos (NOEM). Demuestra que una expansion monetaria deprecia el tipo de cambio, mejora la competitividad y eleva el producto domestico a corto plazo. Es la base teorica del canal cambiario en economias abiertas.</w:t>
      </w:r>
    </w:p>
    <w:p>
      <w:pPr>
        <w:spacing w:after="40"/>
        <w:ind w:left="454"/>
      </w:pPr>
      <w:r>
        <w:rPr>
          <w:rFonts w:ascii="Calibri" w:hAnsi="Calibri"/>
          <w:b/>
          <w:sz w:val="21"/>
        </w:rPr>
        <w:t xml:space="preserve">Relevancia para Chile: </w:t>
      </w:r>
      <w:r>
        <w:rPr>
          <w:rFonts w:ascii="Calibri" w:hAnsi="Calibri"/>
          <w:sz w:val="21"/>
        </w:rPr>
        <w:t>Chile opera bajo flotacion cambiaria libre desde 1999. La apreciacion del peso ante alzas de la TPM es el principal mecanismo de transmision antiinflacionario en el corto plazo, segun Beltran y Coble (2024).</w:t>
      </w:r>
    </w:p>
    <w:p>
      <w:pPr>
        <w:spacing w:after="40"/>
      </w:pPr>
    </w:p>
    <w:p>
      <w:pPr>
        <w:pStyle w:val="Heading3"/>
        <w:jc w:val="left"/>
      </w:pPr>
      <w:r>
        <w:rPr>
          <w:rFonts w:ascii="Calibri" w:hAnsi="Calibri"/>
          <w:color w:val="4472C4"/>
        </w:rPr>
        <w:t>Beltran &amp; Coble (2024) – Canal cambiario en Chile via External VAR</w:t>
      </w:r>
    </w:p>
    <w:p>
      <w:pPr>
        <w:spacing w:after="40"/>
        <w:ind w:left="454"/>
      </w:pPr>
      <w:r>
        <w:rPr>
          <w:rFonts w:ascii="Calibri" w:hAnsi="Calibri"/>
          <w:b/>
          <w:sz w:val="21"/>
        </w:rPr>
        <w:t xml:space="preserve">Autores: </w:t>
      </w:r>
      <w:r>
        <w:rPr>
          <w:rFonts w:ascii="Calibri" w:hAnsi="Calibri"/>
          <w:sz w:val="21"/>
        </w:rPr>
        <w:t>Felipe Beltran &amp; David Coble</w:t>
      </w:r>
    </w:p>
    <w:p>
      <w:pPr>
        <w:spacing w:after="40"/>
        <w:ind w:left="454"/>
      </w:pPr>
      <w:r>
        <w:rPr>
          <w:rFonts w:ascii="Calibri" w:hAnsi="Calibri"/>
          <w:b/>
          <w:sz w:val="21"/>
        </w:rPr>
        <w:t xml:space="preserve">Ano: </w:t>
      </w:r>
      <w:r>
        <w:rPr>
          <w:rFonts w:ascii="Calibri" w:hAnsi="Calibri"/>
          <w:sz w:val="21"/>
        </w:rPr>
        <w:t>2024</w:t>
      </w:r>
    </w:p>
    <w:p>
      <w:pPr>
        <w:spacing w:after="40"/>
        <w:ind w:left="454"/>
      </w:pPr>
      <w:r>
        <w:rPr>
          <w:rFonts w:ascii="Calibri" w:hAnsi="Calibri"/>
          <w:b/>
          <w:sz w:val="21"/>
        </w:rPr>
        <w:t xml:space="preserve">Publicacion: </w:t>
      </w:r>
      <w:r>
        <w:rPr>
          <w:rFonts w:ascii="Calibri" w:hAnsi="Calibri"/>
          <w:sz w:val="21"/>
        </w:rPr>
        <w:t>Latin American Journal of Central Banking, Vol. 5(3) (ScienceDirect)</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Identifica shocks monetarios puros versus shocks de informacion usando futuros de tasa de interes intra-dia como instrumento externo. Es la aplicacion mas reciente y metodologicamente avanzada del canal cambiario para Chile.</w:t>
      </w:r>
    </w:p>
    <w:p>
      <w:pPr>
        <w:spacing w:after="40"/>
        <w:ind w:left="454"/>
      </w:pPr>
      <w:r>
        <w:rPr>
          <w:rFonts w:ascii="Calibri" w:hAnsi="Calibri"/>
          <w:b/>
          <w:sz w:val="21"/>
        </w:rPr>
        <w:t xml:space="preserve">Variables VAR: </w:t>
      </w:r>
      <w:r>
        <w:rPr>
          <w:rFonts w:ascii="Calibri" w:hAnsi="Calibri"/>
          <w:sz w:val="21"/>
        </w:rPr>
        <w:t>Futuros de TPM (instrumento), tipo de cambio nominal CLP/USD, actividad economica (IMACEC), variables del sector bancario.</w:t>
      </w:r>
    </w:p>
    <w:p>
      <w:pPr>
        <w:spacing w:after="40"/>
        <w:ind w:left="454"/>
      </w:pPr>
      <w:r>
        <w:rPr>
          <w:rFonts w:ascii="Calibri" w:hAnsi="Calibri"/>
          <w:b/>
          <w:sz w:val="21"/>
        </w:rPr>
        <w:t xml:space="preserve">Hallazgos: </w:t>
      </w:r>
      <w:r>
        <w:rPr>
          <w:rFonts w:ascii="Calibri" w:hAnsi="Calibri"/>
          <w:sz w:val="21"/>
        </w:rPr>
        <w:t>Un shock monetario puro contractivo genera apreciacion inmediata del tipo de cambio y efectos contractivos sobre la actividad. El shock de informacion no produce apreciacion cambiaria, lo que distingue ambos canales empiricamente.</w:t>
      </w:r>
    </w:p>
    <w:p>
      <w:pPr>
        <w:spacing w:after="40"/>
      </w:pPr>
    </w:p>
    <w:p>
      <w:pPr>
        <w:pStyle w:val="Heading3"/>
        <w:jc w:val="left"/>
      </w:pPr>
      <w:r>
        <w:rPr>
          <w:rFonts w:ascii="Calibri" w:hAnsi="Calibri"/>
          <w:color w:val="4472C4"/>
        </w:rPr>
        <w:t>Jara &amp; Pina (2023) – Intervenciones cambiarias y volatilidad en Chile</w:t>
      </w:r>
    </w:p>
    <w:p>
      <w:pPr>
        <w:spacing w:after="40"/>
        <w:ind w:left="454"/>
      </w:pPr>
      <w:r>
        <w:rPr>
          <w:rFonts w:ascii="Calibri" w:hAnsi="Calibri"/>
          <w:b/>
          <w:sz w:val="21"/>
        </w:rPr>
        <w:t xml:space="preserve">Autores: </w:t>
      </w:r>
      <w:r>
        <w:rPr>
          <w:rFonts w:ascii="Calibri" w:hAnsi="Calibri"/>
          <w:sz w:val="21"/>
        </w:rPr>
        <w:t>Alejandro Jara &amp; Marco Pina</w:t>
      </w:r>
    </w:p>
    <w:p>
      <w:pPr>
        <w:spacing w:after="40"/>
        <w:ind w:left="454"/>
      </w:pPr>
      <w:r>
        <w:rPr>
          <w:rFonts w:ascii="Calibri" w:hAnsi="Calibri"/>
          <w:b/>
          <w:sz w:val="21"/>
        </w:rPr>
        <w:t xml:space="preserve">Ano: </w:t>
      </w:r>
      <w:r>
        <w:rPr>
          <w:rFonts w:ascii="Calibri" w:hAnsi="Calibri"/>
          <w:sz w:val="21"/>
        </w:rPr>
        <w:t>2023</w:t>
      </w:r>
    </w:p>
    <w:p>
      <w:pPr>
        <w:spacing w:after="40"/>
        <w:ind w:left="454"/>
      </w:pPr>
      <w:r>
        <w:rPr>
          <w:rFonts w:ascii="Calibri" w:hAnsi="Calibri"/>
          <w:b/>
          <w:sz w:val="21"/>
        </w:rPr>
        <w:t xml:space="preserve">Publicacion: </w:t>
      </w:r>
      <w:r>
        <w:rPr>
          <w:rFonts w:ascii="Calibri" w:hAnsi="Calibri"/>
          <w:sz w:val="21"/>
        </w:rPr>
        <w:t>Latin American Journal of Central Banking, Vol. 4(2) (ScienceDirect)</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Analiza la efectividad de las intervenciones cambiarias del BCCh en tres episodios (2008, 2011, 2019) usando GARCH con regimenes de Markov. Cuantifica la relacion entre politica monetaria, tipo de cambio y volatilidad financiera en Chile.</w:t>
      </w:r>
    </w:p>
    <w:p>
      <w:pPr>
        <w:spacing w:after="40"/>
        <w:ind w:left="454"/>
      </w:pPr>
      <w:r>
        <w:rPr>
          <w:rFonts w:ascii="Calibri" w:hAnsi="Calibri"/>
          <w:b/>
          <w:sz w:val="21"/>
        </w:rPr>
        <w:t xml:space="preserve">Variables: </w:t>
      </w:r>
      <w:r>
        <w:rPr>
          <w:rFonts w:ascii="Calibri" w:hAnsi="Calibri"/>
          <w:sz w:val="21"/>
        </w:rPr>
        <w:t>Retorno diario CLP/USD, volatilidad del tipo de cambio, monto e intensidad de las intervenciones del BCCh, factores financieros externos.</w:t>
      </w:r>
    </w:p>
    <w:p>
      <w:pPr>
        <w:spacing w:after="40"/>
        <w:ind w:left="454"/>
      </w:pPr>
      <w:r>
        <w:rPr>
          <w:rFonts w:ascii="Calibri" w:hAnsi="Calibri"/>
          <w:b/>
          <w:sz w:val="21"/>
        </w:rPr>
        <w:t xml:space="preserve">Hallazgos: </w:t>
      </w:r>
      <w:r>
        <w:rPr>
          <w:rFonts w:ascii="Calibri" w:hAnsi="Calibri"/>
          <w:sz w:val="21"/>
        </w:rPr>
        <w:t>Las intervenciones cambiarias reducen la volatilidad en episodios de estres. El tipo de cambio responde principalmente a factores financieros globales, no solo a diferenciales de tasa de interes.</w:t>
      </w:r>
    </w:p>
    <w:p>
      <w:pPr>
        <w:spacing w:after="40"/>
      </w:pPr>
    </w:p>
    <w:p>
      <w:pPr>
        <w:pStyle w:val="Heading2"/>
        <w:jc w:val="left"/>
      </w:pPr>
      <w:r>
        <w:rPr>
          <w:rFonts w:ascii="Calibri" w:hAnsi="Calibri"/>
          <w:color w:val="1F497D"/>
        </w:rPr>
        <w:t>1.3  Canal del Credito</w:t>
      </w:r>
    </w:p>
    <w:p>
      <w:pPr>
        <w:spacing w:after="80"/>
        <w:jc w:val="both"/>
      </w:pPr>
      <w:r>
        <w:rPr>
          <w:rFonts w:ascii="Calibri" w:hAnsi="Calibri"/>
          <w:b w:val="0"/>
          <w:i w:val="0"/>
          <w:sz w:val="22"/>
        </w:rPr>
        <w:t>El canal del credito opera a traves de dos subcadenas: el canal de prestamos bancarios (bank lending channel) y el canal del balance (balance sheet channel). Ambos amplifican los efectos de la politica monetaria mas alla de lo que predice el canal de tasa de interes puro. Este canal es particularmente relevante en economias emergentes como Chile, donde los mercados financieros son menos profundos y las empresas dependen mas del financiamiento bancario.</w:t>
      </w:r>
    </w:p>
    <w:p>
      <w:pPr>
        <w:pStyle w:val="Heading3"/>
        <w:jc w:val="left"/>
      </w:pPr>
      <w:r>
        <w:rPr>
          <w:rFonts w:ascii="Calibri" w:hAnsi="Calibri"/>
          <w:color w:val="4472C4"/>
        </w:rPr>
        <w:t>Bernanke &amp; Gertler (1995) – Dentro de la caja negra: el canal de credito</w:t>
      </w:r>
    </w:p>
    <w:p>
      <w:pPr>
        <w:spacing w:after="40"/>
        <w:ind w:left="454"/>
      </w:pPr>
      <w:r>
        <w:rPr>
          <w:rFonts w:ascii="Calibri" w:hAnsi="Calibri"/>
          <w:b/>
          <w:sz w:val="21"/>
        </w:rPr>
        <w:t xml:space="preserve">Autores: </w:t>
      </w:r>
      <w:r>
        <w:rPr>
          <w:rFonts w:ascii="Calibri" w:hAnsi="Calibri"/>
          <w:sz w:val="21"/>
        </w:rPr>
        <w:t>Ben S. Bernanke &amp; Mark Gertler</w:t>
      </w:r>
    </w:p>
    <w:p>
      <w:pPr>
        <w:spacing w:after="40"/>
        <w:ind w:left="454"/>
      </w:pPr>
      <w:r>
        <w:rPr>
          <w:rFonts w:ascii="Calibri" w:hAnsi="Calibri"/>
          <w:b/>
          <w:sz w:val="21"/>
        </w:rPr>
        <w:t xml:space="preserve">Ano: </w:t>
      </w:r>
      <w:r>
        <w:rPr>
          <w:rFonts w:ascii="Calibri" w:hAnsi="Calibri"/>
          <w:sz w:val="21"/>
        </w:rPr>
        <w:t>1995</w:t>
      </w:r>
    </w:p>
    <w:p>
      <w:pPr>
        <w:spacing w:after="40"/>
        <w:ind w:left="454"/>
      </w:pPr>
      <w:r>
        <w:rPr>
          <w:rFonts w:ascii="Calibri" w:hAnsi="Calibri"/>
          <w:b/>
          <w:sz w:val="21"/>
        </w:rPr>
        <w:t xml:space="preserve">Publicacion: </w:t>
      </w:r>
      <w:r>
        <w:rPr>
          <w:rFonts w:ascii="Calibri" w:hAnsi="Calibri"/>
          <w:sz w:val="21"/>
        </w:rPr>
        <w:t>Journal of Economic Perspectives, Vol. 9(4), pp. 27-48</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Paper seminal que desarrolla la teoria del canal de credito. Identifica dos mecanismos: (i) el canal de prestamos bancarios: una contraccion monetaria reduce las reservas bancarias, disminuyendo la oferta de credito; (ii) el canal del balance: la contraccion reduce el valor de los activos que sirven como colateral, empeorando las condiciones de acceso al credito para empresas y hogares (acelerador financiero).</w:t>
      </w:r>
    </w:p>
    <w:p>
      <w:pPr>
        <w:spacing w:after="40"/>
        <w:ind w:left="454"/>
      </w:pPr>
      <w:r>
        <w:rPr>
          <w:rFonts w:ascii="Calibri" w:hAnsi="Calibri"/>
          <w:b/>
          <w:sz w:val="21"/>
        </w:rPr>
        <w:t xml:space="preserve">Relevancia para Chile: </w:t>
      </w:r>
      <w:r>
        <w:rPr>
          <w:rFonts w:ascii="Calibri" w:hAnsi="Calibri"/>
          <w:sz w:val="21"/>
        </w:rPr>
        <w:t>Arroyo Marioli et al. (2022) aplican este marco al BCCh y documentan que el credito explica en promedio 0.3 pp de la variacion del output gap en Chile, y hasta 1.9 pp en episodios de estres financiero como la pandemia COVID-19.</w:t>
      </w:r>
    </w:p>
    <w:p>
      <w:pPr>
        <w:spacing w:after="40"/>
      </w:pPr>
    </w:p>
    <w:p>
      <w:pPr>
        <w:pStyle w:val="Heading3"/>
        <w:jc w:val="left"/>
      </w:pPr>
      <w:r>
        <w:rPr>
          <w:rFonts w:ascii="Calibri" w:hAnsi="Calibri"/>
          <w:color w:val="4472C4"/>
        </w:rPr>
        <w:t>Arroyo Marioli, Becerra &amp; Solorza (2022) – Canal de credito en Chile</w:t>
      </w:r>
    </w:p>
    <w:p>
      <w:pPr>
        <w:spacing w:after="40"/>
        <w:ind w:left="454"/>
      </w:pPr>
      <w:r>
        <w:rPr>
          <w:rFonts w:ascii="Calibri" w:hAnsi="Calibri"/>
          <w:b/>
          <w:sz w:val="21"/>
        </w:rPr>
        <w:t xml:space="preserve">Autores: </w:t>
      </w:r>
      <w:r>
        <w:rPr>
          <w:rFonts w:ascii="Calibri" w:hAnsi="Calibri"/>
          <w:sz w:val="21"/>
        </w:rPr>
        <w:t>Francisco Arroyo Marioli, Juan Sebastian Becerra &amp; Matias Solorza</w:t>
      </w:r>
    </w:p>
    <w:p>
      <w:pPr>
        <w:spacing w:after="40"/>
        <w:ind w:left="454"/>
      </w:pPr>
      <w:r>
        <w:rPr>
          <w:rFonts w:ascii="Calibri" w:hAnsi="Calibri"/>
          <w:b/>
          <w:sz w:val="21"/>
        </w:rPr>
        <w:t xml:space="preserve">Ano: </w:t>
      </w:r>
      <w:r>
        <w:rPr>
          <w:rFonts w:ascii="Calibri" w:hAnsi="Calibri"/>
          <w:sz w:val="21"/>
        </w:rPr>
        <w:t>2022</w:t>
      </w:r>
    </w:p>
    <w:p>
      <w:pPr>
        <w:spacing w:after="40"/>
        <w:ind w:left="454"/>
      </w:pPr>
      <w:r>
        <w:rPr>
          <w:rFonts w:ascii="Calibri" w:hAnsi="Calibri"/>
          <w:b/>
          <w:sz w:val="21"/>
        </w:rPr>
        <w:t xml:space="preserve">Publicacion: </w:t>
      </w:r>
      <w:r>
        <w:rPr>
          <w:rFonts w:ascii="Calibri" w:hAnsi="Calibri"/>
          <w:sz w:val="21"/>
        </w:rPr>
        <w:t>Latin American Journal of Central Banking, Vol. 3(2) (ScienceDirect)</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Incorpora el sector bancario al modelo semi-estructural del BCCh (MSEP). Modela dinamicamente el credito, los spreads y las provisiones para cuantificar la contribucion del canal bancario a las fluctuaciones macroeconomicas en Chile.</w:t>
      </w:r>
    </w:p>
    <w:p>
      <w:pPr>
        <w:spacing w:after="40"/>
        <w:ind w:left="454"/>
      </w:pPr>
      <w:r>
        <w:rPr>
          <w:rFonts w:ascii="Calibri" w:hAnsi="Calibri"/>
          <w:b/>
          <w:sz w:val="21"/>
        </w:rPr>
        <w:t xml:space="preserve">Variables del modelo: </w:t>
      </w:r>
      <w:r>
        <w:rPr>
          <w:rFonts w:ascii="Calibri" w:hAnsi="Calibri"/>
          <w:sz w:val="21"/>
        </w:rPr>
        <w:t>Brecha del producto, TPM, credito bancario, spread credito-TPM, provisiones por riesgo crediticio (loan-loss provisions).</w:t>
      </w:r>
    </w:p>
    <w:p>
      <w:pPr>
        <w:spacing w:after="40"/>
        <w:ind w:left="454"/>
      </w:pPr>
      <w:r>
        <w:rPr>
          <w:rFonts w:ascii="Calibri" w:hAnsi="Calibri"/>
          <w:b/>
          <w:sz w:val="21"/>
        </w:rPr>
        <w:t xml:space="preserve">Hallazgos: </w:t>
      </w:r>
      <w:r>
        <w:rPr>
          <w:rFonts w:ascii="Calibri" w:hAnsi="Calibri"/>
          <w:sz w:val="21"/>
        </w:rPr>
        <w:t>El sector bancario actua como amplificador del ciclo economico via spreads procíclicos. El canal de credito es mas relevante en periodos de estres que en periodos normales.</w:t>
      </w:r>
    </w:p>
    <w:p>
      <w:pPr>
        <w:spacing w:after="40"/>
      </w:pPr>
    </w:p>
    <w:p>
      <w:pPr>
        <w:pStyle w:val="Heading3"/>
        <w:jc w:val="left"/>
      </w:pPr>
      <w:r>
        <w:rPr>
          <w:rFonts w:ascii="Calibri" w:hAnsi="Calibri"/>
          <w:color w:val="4472C4"/>
        </w:rPr>
        <w:t>Pedersen (2018) – Pass-through monetario y riesgo de credito en Chile</w:t>
      </w:r>
    </w:p>
    <w:p>
      <w:pPr>
        <w:spacing w:after="40"/>
        <w:ind w:left="454"/>
      </w:pPr>
      <w:r>
        <w:rPr>
          <w:rFonts w:ascii="Calibri" w:hAnsi="Calibri"/>
          <w:b/>
          <w:sz w:val="21"/>
        </w:rPr>
        <w:t xml:space="preserve">Autores: </w:t>
      </w:r>
      <w:r>
        <w:rPr>
          <w:rFonts w:ascii="Calibri" w:hAnsi="Calibri"/>
          <w:sz w:val="21"/>
        </w:rPr>
        <w:t>Michael Pedersen</w:t>
      </w:r>
    </w:p>
    <w:p>
      <w:pPr>
        <w:spacing w:after="40"/>
        <w:ind w:left="454"/>
      </w:pPr>
      <w:r>
        <w:rPr>
          <w:rFonts w:ascii="Calibri" w:hAnsi="Calibri"/>
          <w:b/>
          <w:sz w:val="21"/>
        </w:rPr>
        <w:t xml:space="preserve">Ano: </w:t>
      </w:r>
      <w:r>
        <w:rPr>
          <w:rFonts w:ascii="Calibri" w:hAnsi="Calibri"/>
          <w:sz w:val="21"/>
        </w:rPr>
        <w:t>2018</w:t>
      </w:r>
    </w:p>
    <w:p>
      <w:pPr>
        <w:spacing w:after="40"/>
        <w:ind w:left="454"/>
      </w:pPr>
      <w:r>
        <w:rPr>
          <w:rFonts w:ascii="Calibri" w:hAnsi="Calibri"/>
          <w:b/>
          <w:sz w:val="21"/>
        </w:rPr>
        <w:t xml:space="preserve">Publicacion: </w:t>
      </w:r>
      <w:r>
        <w:rPr>
          <w:rFonts w:ascii="Calibri" w:hAnsi="Calibri"/>
          <w:sz w:val="21"/>
        </w:rPr>
        <w:t>Journal of Financial Stability, Vol. 36(C), pp. 144-158 (ScienceDirect)</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Estima el traspaso de la TPM a las tasas activas bancarias en Chile, incorporando medidas de riesgo crediticio como variables de control. Usa datos de tasas de prestamos empresariales con distintos vencimientos.</w:t>
      </w:r>
    </w:p>
    <w:p>
      <w:pPr>
        <w:spacing w:after="40"/>
        <w:ind w:left="454"/>
      </w:pPr>
      <w:r>
        <w:rPr>
          <w:rFonts w:ascii="Calibri" w:hAnsi="Calibri"/>
          <w:b/>
          <w:sz w:val="21"/>
        </w:rPr>
        <w:t xml:space="preserve">Variables: </w:t>
      </w:r>
      <w:r>
        <w:rPr>
          <w:rFonts w:ascii="Calibri" w:hAnsi="Calibri"/>
          <w:sz w:val="21"/>
        </w:rPr>
        <w:t>TPM, tasas de prestamos bancarios a empresas (por plazo), momentos de orden superior de la distribucion de tasas activas (proxy de riesgo crediticio).</w:t>
      </w:r>
    </w:p>
    <w:p>
      <w:pPr>
        <w:spacing w:after="40"/>
        <w:ind w:left="454"/>
      </w:pPr>
      <w:r>
        <w:rPr>
          <w:rFonts w:ascii="Calibri" w:hAnsi="Calibri"/>
          <w:b/>
          <w:sz w:val="21"/>
        </w:rPr>
        <w:t xml:space="preserve">Hallazgos: </w:t>
      </w:r>
      <w:r>
        <w:rPr>
          <w:rFonts w:ascii="Calibri" w:hAnsi="Calibri"/>
          <w:sz w:val="21"/>
        </w:rPr>
        <w:t>El pass-through es simetrico y completo en el corto plazo en Chile. El riesgo crediticio es estadisticamente significativo: bancos ajustan mas las tasas activas cuando el riesgo percibido es mayor, amplificando la politica monetaria.</w:t>
      </w:r>
    </w:p>
    <w:p>
      <w:pPr>
        <w:spacing w:after="40"/>
      </w:pPr>
    </w:p>
    <w:p>
      <w:pPr>
        <w:pStyle w:val="Heading3"/>
        <w:jc w:val="left"/>
      </w:pPr>
      <w:r>
        <w:rPr>
          <w:rFonts w:ascii="Calibri" w:hAnsi="Calibri"/>
          <w:color w:val="4472C4"/>
        </w:rPr>
        <w:t>Cao et al. (2023) – Canal bancario internacional en economias pequenas y abiertas</w:t>
      </w:r>
    </w:p>
    <w:p>
      <w:pPr>
        <w:spacing w:after="40"/>
        <w:ind w:left="454"/>
      </w:pPr>
      <w:r>
        <w:rPr>
          <w:rFonts w:ascii="Calibri" w:hAnsi="Calibri"/>
          <w:b/>
          <w:sz w:val="21"/>
        </w:rPr>
        <w:t xml:space="preserve">Autores: </w:t>
      </w:r>
      <w:r>
        <w:rPr>
          <w:rFonts w:ascii="Calibri" w:hAnsi="Calibri"/>
          <w:sz w:val="21"/>
        </w:rPr>
        <w:t>J. Cao, V. Dinger, T. Gomez et al.</w:t>
      </w:r>
    </w:p>
    <w:p>
      <w:pPr>
        <w:spacing w:after="40"/>
        <w:ind w:left="454"/>
      </w:pPr>
      <w:r>
        <w:rPr>
          <w:rFonts w:ascii="Calibri" w:hAnsi="Calibri"/>
          <w:b/>
          <w:sz w:val="21"/>
        </w:rPr>
        <w:t xml:space="preserve">Ano: </w:t>
      </w:r>
      <w:r>
        <w:rPr>
          <w:rFonts w:ascii="Calibri" w:hAnsi="Calibri"/>
          <w:sz w:val="21"/>
        </w:rPr>
        <w:t>2023</w:t>
      </w:r>
    </w:p>
    <w:p>
      <w:pPr>
        <w:spacing w:after="40"/>
        <w:ind w:left="454"/>
      </w:pPr>
      <w:r>
        <w:rPr>
          <w:rFonts w:ascii="Calibri" w:hAnsi="Calibri"/>
          <w:b/>
          <w:sz w:val="21"/>
        </w:rPr>
        <w:t xml:space="preserve">Publicacion: </w:t>
      </w:r>
      <w:r>
        <w:rPr>
          <w:rFonts w:ascii="Calibri" w:hAnsi="Calibri"/>
          <w:sz w:val="21"/>
        </w:rPr>
        <w:t>Journal of Financial Stability (ScienceDirect)</w:t>
      </w:r>
    </w:p>
    <w:p>
      <w:pPr>
        <w:spacing w:after="40"/>
        <w:ind w:left="454"/>
      </w:pPr>
      <w:r>
        <w:rPr>
          <w:rFonts w:ascii="Calibri" w:hAnsi="Calibri"/>
          <w:b/>
          <w:sz w:val="21"/>
        </w:rPr>
        <w:t xml:space="preserve">Paises: </w:t>
      </w:r>
      <w:r>
        <w:rPr>
          <w:rFonts w:ascii="Calibri" w:hAnsi="Calibri"/>
          <w:sz w:val="21"/>
        </w:rPr>
        <w:t>Canada, Chile, Republica Checa, Noruega</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Estudia como la politica monetaria de economias avanzadas (EE.UU., BCE) se transmite a la oferta de credito bancario en cuatro economias pequenas y abiertas, incluyendo Chile. Identifica un canal bancario internacional.</w:t>
      </w:r>
    </w:p>
    <w:p>
      <w:pPr>
        <w:spacing w:after="40"/>
        <w:ind w:left="454"/>
      </w:pPr>
      <w:r>
        <w:rPr>
          <w:rFonts w:ascii="Calibri" w:hAnsi="Calibri"/>
          <w:b/>
          <w:sz w:val="21"/>
        </w:rPr>
        <w:t xml:space="preserve">Hallazgos: </w:t>
      </w:r>
      <w:r>
        <w:rPr>
          <w:rFonts w:ascii="Calibri" w:hAnsi="Calibri"/>
          <w:sz w:val="21"/>
        </w:rPr>
        <w:t>En tiempos normales, recortes de tasas en el centro reducen el credito en la periferia. Cuando las tasas del centro son muy bajas, nuevos recortes incrementan el credito en Chile y otras EPAs via busqueda de rendimiento.</w:t>
      </w:r>
    </w:p>
    <w:p>
      <w:pPr>
        <w:spacing w:after="40"/>
      </w:pPr>
    </w:p>
    <w:p>
      <w:pPr>
        <w:pStyle w:val="Heading2"/>
        <w:jc w:val="left"/>
      </w:pPr>
      <w:r>
        <w:rPr>
          <w:rFonts w:ascii="Calibri" w:hAnsi="Calibri"/>
          <w:color w:val="1F497D"/>
        </w:rPr>
        <w:t>1.4  Canal de Expectativas</w:t>
      </w:r>
    </w:p>
    <w:p>
      <w:pPr>
        <w:spacing w:after="80"/>
        <w:jc w:val="both"/>
      </w:pPr>
      <w:r>
        <w:rPr>
          <w:rFonts w:ascii="Calibri" w:hAnsi="Calibri"/>
          <w:b w:val="0"/>
          <w:i w:val="0"/>
          <w:sz w:val="22"/>
        </w:rPr>
        <w:t>El canal de expectativas opera a traves de la capacidad del banco central para influir en las expectativas de inflacion, tasa de interes futura y actividad economica. En el marco Neo-Keynesiano, la curva IS depende de la tasa de interes real esperada y la curva de Phillips de la inflacion esperada. La comunicacion del banco central (forward guidance) y su credibilidad son por tanto instrumentos de politica independientes del nivel de la tasa de corto plazo.</w:t>
      </w:r>
    </w:p>
    <w:p>
      <w:pPr>
        <w:pStyle w:val="Heading3"/>
        <w:jc w:val="left"/>
      </w:pPr>
      <w:r>
        <w:rPr>
          <w:rFonts w:ascii="Calibri" w:hAnsi="Calibri"/>
          <w:color w:val="4472C4"/>
        </w:rPr>
        <w:t>Woodford (2003) – Credibilidad y expectativas como mecanismo de transmision</w:t>
      </w:r>
    </w:p>
    <w:p>
      <w:pPr>
        <w:spacing w:after="40"/>
        <w:ind w:left="454"/>
      </w:pPr>
      <w:r>
        <w:rPr>
          <w:rFonts w:ascii="Calibri" w:hAnsi="Calibri"/>
          <w:b/>
          <w:sz w:val="21"/>
        </w:rPr>
        <w:t xml:space="preserve">Autores: </w:t>
      </w:r>
      <w:r>
        <w:rPr>
          <w:rFonts w:ascii="Calibri" w:hAnsi="Calibri"/>
          <w:sz w:val="21"/>
        </w:rPr>
        <w:t>Michael Woodford</w:t>
      </w:r>
    </w:p>
    <w:p>
      <w:pPr>
        <w:spacing w:after="40"/>
        <w:ind w:left="454"/>
      </w:pPr>
      <w:r>
        <w:rPr>
          <w:rFonts w:ascii="Calibri" w:hAnsi="Calibri"/>
          <w:b/>
          <w:sz w:val="21"/>
        </w:rPr>
        <w:t xml:space="preserve">Ano: </w:t>
      </w:r>
      <w:r>
        <w:rPr>
          <w:rFonts w:ascii="Calibri" w:hAnsi="Calibri"/>
          <w:sz w:val="21"/>
        </w:rPr>
        <w:t>2003</w:t>
      </w:r>
    </w:p>
    <w:p>
      <w:pPr>
        <w:spacing w:after="40"/>
        <w:ind w:left="454"/>
      </w:pPr>
      <w:r>
        <w:rPr>
          <w:rFonts w:ascii="Calibri" w:hAnsi="Calibri"/>
          <w:b/>
          <w:sz w:val="21"/>
        </w:rPr>
        <w:t xml:space="preserve">Publicacion: </w:t>
      </w:r>
      <w:r>
        <w:rPr>
          <w:rFonts w:ascii="Calibri" w:hAnsi="Calibri"/>
          <w:sz w:val="21"/>
        </w:rPr>
        <w:t>Interest and Prices: Foundations of a Theory of Monetary Policy (Princeton UP)</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Desarrolla el marco teorico del canal de expectativas en el modelo NK: la politica monetaria es efectiva principalmente porque cambia las expectativas sobre tasas futuras, no solo la tasa presente. Un banco central creible puede estabilizar la economia con movimientos menores en la TPM.</w:t>
      </w:r>
    </w:p>
    <w:p>
      <w:pPr>
        <w:spacing w:after="40"/>
        <w:ind w:left="454"/>
      </w:pPr>
      <w:r>
        <w:rPr>
          <w:rFonts w:ascii="Calibri" w:hAnsi="Calibri"/>
          <w:b/>
          <w:sz w:val="21"/>
        </w:rPr>
        <w:t xml:space="preserve">Relevancia para Chile: </w:t>
      </w:r>
      <w:r>
        <w:rPr>
          <w:rFonts w:ascii="Calibri" w:hAnsi="Calibri"/>
          <w:sz w:val="21"/>
        </w:rPr>
        <w:t>El BCCh es reconocido por su alta credibilidad en la region. Quintero Otero (2024) muestra que en Chile la respuesta asimetrica a alzas/bajas de la TPM refleja la credibilidad del banco central en su compromiso con la meta de inflacion.</w:t>
      </w:r>
    </w:p>
    <w:p>
      <w:pPr>
        <w:spacing w:after="40"/>
      </w:pPr>
    </w:p>
    <w:p>
      <w:pPr>
        <w:pStyle w:val="Heading3"/>
        <w:jc w:val="left"/>
      </w:pPr>
      <w:r>
        <w:rPr>
          <w:rFonts w:ascii="Calibri" w:hAnsi="Calibri"/>
          <w:color w:val="4472C4"/>
        </w:rPr>
        <w:t>Ha, Kim, Kose &amp; Prasad (2025) – Resolviendo puzzles via expectativas en mercados emergentes</w:t>
      </w:r>
    </w:p>
    <w:p>
      <w:pPr>
        <w:spacing w:after="40"/>
        <w:ind w:left="454"/>
      </w:pPr>
      <w:r>
        <w:rPr>
          <w:rFonts w:ascii="Calibri" w:hAnsi="Calibri"/>
          <w:b/>
          <w:sz w:val="21"/>
        </w:rPr>
        <w:t xml:space="preserve">Autores: </w:t>
      </w:r>
      <w:r>
        <w:rPr>
          <w:rFonts w:ascii="Calibri" w:hAnsi="Calibri"/>
          <w:sz w:val="21"/>
        </w:rPr>
        <w:t>Jongrim Ha, Dohan Kim, M. Ayhan Kose &amp; Eswar S. Prasad</w:t>
      </w:r>
    </w:p>
    <w:p>
      <w:pPr>
        <w:spacing w:after="40"/>
        <w:ind w:left="454"/>
      </w:pPr>
      <w:r>
        <w:rPr>
          <w:rFonts w:ascii="Calibri" w:hAnsi="Calibri"/>
          <w:b/>
          <w:sz w:val="21"/>
        </w:rPr>
        <w:t xml:space="preserve">Ano: </w:t>
      </w:r>
      <w:r>
        <w:rPr>
          <w:rFonts w:ascii="Calibri" w:hAnsi="Calibri"/>
          <w:sz w:val="21"/>
        </w:rPr>
        <w:t>2025</w:t>
      </w:r>
    </w:p>
    <w:p>
      <w:pPr>
        <w:spacing w:after="40"/>
        <w:ind w:left="454"/>
      </w:pPr>
      <w:r>
        <w:rPr>
          <w:rFonts w:ascii="Calibri" w:hAnsi="Calibri"/>
          <w:b/>
          <w:sz w:val="21"/>
        </w:rPr>
        <w:t xml:space="preserve">Publicacion: </w:t>
      </w:r>
      <w:r>
        <w:rPr>
          <w:rFonts w:ascii="Calibri" w:hAnsi="Calibri"/>
          <w:sz w:val="21"/>
        </w:rPr>
        <w:t>European Economic Review, Vol. 173 (ScienceDirect)</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Demuestra que el "price puzzle" y el "FX puzzle" en economias emergentes desaparecen cuando se incorporan expectativas forward-looking en el SVAR. Las expectativas de inflacion actuan como canal de transmision independiente que amplifica o amortigua el efecto de los shocks monetarios.</w:t>
      </w:r>
    </w:p>
    <w:p>
      <w:pPr>
        <w:spacing w:after="40"/>
        <w:ind w:left="454"/>
      </w:pPr>
      <w:r>
        <w:rPr>
          <w:rFonts w:ascii="Calibri" w:hAnsi="Calibri"/>
          <w:b/>
          <w:sz w:val="21"/>
        </w:rPr>
        <w:t xml:space="preserve">Variables SVAR: </w:t>
      </w:r>
      <w:r>
        <w:rPr>
          <w:rFonts w:ascii="Calibri" w:hAnsi="Calibri"/>
          <w:sz w:val="21"/>
        </w:rPr>
        <w:t>Producto, IPC, tasa de interes de corto plazo, tipo de cambio, precios de activos, expectativas de inflacion (encuestas de consumidores, empresas y profesionales).</w:t>
      </w:r>
    </w:p>
    <w:p>
      <w:pPr>
        <w:spacing w:after="40"/>
        <w:ind w:left="454"/>
      </w:pPr>
      <w:r>
        <w:rPr>
          <w:rFonts w:ascii="Calibri" w:hAnsi="Calibri"/>
          <w:b/>
          <w:sz w:val="21"/>
        </w:rPr>
        <w:t xml:space="preserve">Hallazgos: </w:t>
      </w:r>
      <w:r>
        <w:rPr>
          <w:rFonts w:ascii="Calibri" w:hAnsi="Calibri"/>
          <w:sz w:val="21"/>
        </w:rPr>
        <w:t>Un shock contractivo de 1 pp: caida del producto -0.9%, caida de precios -0.3%, alza de tasa +0.5-0.6 pp, apreciacion cambiaria 0.6%, caida de acciones -2%. La senda temporal es consistente con la teoria sin puzzles.</w:t>
      </w:r>
    </w:p>
    <w:p>
      <w:pPr>
        <w:spacing w:after="40"/>
      </w:pPr>
    </w:p>
    <w:p>
      <w:pPr>
        <w:pStyle w:val="Heading3"/>
        <w:jc w:val="left"/>
      </w:pPr>
      <w:r>
        <w:rPr>
          <w:rFonts w:ascii="Calibri" w:hAnsi="Calibri"/>
          <w:color w:val="4472C4"/>
        </w:rPr>
        <w:t>Diegel &amp; Nautz (2021) – Expectativas de largo plazo y transmision monetaria (SVAR)</w:t>
      </w:r>
    </w:p>
    <w:p>
      <w:pPr>
        <w:spacing w:after="40"/>
        <w:ind w:left="454"/>
      </w:pPr>
      <w:r>
        <w:rPr>
          <w:rFonts w:ascii="Calibri" w:hAnsi="Calibri"/>
          <w:b/>
          <w:sz w:val="21"/>
        </w:rPr>
        <w:t xml:space="preserve">Autores: </w:t>
      </w:r>
      <w:r>
        <w:rPr>
          <w:rFonts w:ascii="Calibri" w:hAnsi="Calibri"/>
          <w:sz w:val="21"/>
        </w:rPr>
        <w:t>Manuel Diegel &amp; Dieter Nautz</w:t>
      </w:r>
    </w:p>
    <w:p>
      <w:pPr>
        <w:spacing w:after="40"/>
        <w:ind w:left="454"/>
      </w:pPr>
      <w:r>
        <w:rPr>
          <w:rFonts w:ascii="Calibri" w:hAnsi="Calibri"/>
          <w:b/>
          <w:sz w:val="21"/>
        </w:rPr>
        <w:t xml:space="preserve">Ano: </w:t>
      </w:r>
      <w:r>
        <w:rPr>
          <w:rFonts w:ascii="Calibri" w:hAnsi="Calibri"/>
          <w:sz w:val="21"/>
        </w:rPr>
        <w:t>2021</w:t>
      </w:r>
    </w:p>
    <w:p>
      <w:pPr>
        <w:spacing w:after="40"/>
        <w:ind w:left="454"/>
      </w:pPr>
      <w:r>
        <w:rPr>
          <w:rFonts w:ascii="Calibri" w:hAnsi="Calibri"/>
          <w:b/>
          <w:sz w:val="21"/>
        </w:rPr>
        <w:t xml:space="preserve">Publicacion: </w:t>
      </w:r>
      <w:r>
        <w:rPr>
          <w:rFonts w:ascii="Calibri" w:hAnsi="Calibri"/>
          <w:sz w:val="21"/>
        </w:rPr>
        <w:t>Journal of Economic Dynamics and Control (ScienceDirect)</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Usa un SVAR para demostrar que las expectativas de inflacion de largo plazo son una variable de transmision importante: los shocks monetarios afectan la inflacion en parte re-anclando las expectativas de largo plazo. Identifica el "re-anchoring channel" como componente del canal de expectativas.</w:t>
      </w:r>
    </w:p>
    <w:p>
      <w:pPr>
        <w:spacing w:after="40"/>
        <w:ind w:left="454"/>
      </w:pPr>
      <w:r>
        <w:rPr>
          <w:rFonts w:ascii="Calibri" w:hAnsi="Calibri"/>
          <w:b/>
          <w:sz w:val="21"/>
        </w:rPr>
        <w:t xml:space="preserve">Variables SVAR: </w:t>
      </w:r>
      <w:r>
        <w:rPr>
          <w:rFonts w:ascii="Calibri" w:hAnsi="Calibri"/>
          <w:sz w:val="21"/>
        </w:rPr>
        <w:t>Desempleo, inflacion, tasa de politica monetaria, expectativas de inflacion de largo plazo (encuestas profesionales).</w:t>
      </w:r>
    </w:p>
    <w:p>
      <w:pPr>
        <w:spacing w:after="40"/>
        <w:ind w:left="454"/>
      </w:pPr>
      <w:r>
        <w:rPr>
          <w:rFonts w:ascii="Calibri" w:hAnsi="Calibri"/>
          <w:b/>
          <w:sz w:val="21"/>
        </w:rPr>
        <w:t xml:space="preserve">Relevancia: </w:t>
      </w:r>
      <w:r>
        <w:rPr>
          <w:rFonts w:ascii="Calibri" w:hAnsi="Calibri"/>
          <w:sz w:val="21"/>
        </w:rPr>
        <w:t>Aplicable a Chile como economia con meta de inflacion del 3% y expectativas de inflacion relativamente bien ancladas segun evidencia del BCCh.</w:t>
      </w:r>
    </w:p>
    <w:p>
      <w:pPr>
        <w:spacing w:after="40"/>
      </w:pPr>
    </w:p>
    <w:p>
      <w:pPr>
        <w:pStyle w:val="Heading2"/>
        <w:jc w:val="left"/>
      </w:pPr>
      <w:r>
        <w:rPr>
          <w:rFonts w:ascii="Calibri" w:hAnsi="Calibri"/>
          <w:color w:val="1F497D"/>
        </w:rPr>
        <w:t>1.5  Canal del Precio de Activos</w:t>
      </w:r>
    </w:p>
    <w:p>
      <w:pPr>
        <w:spacing w:after="80"/>
        <w:jc w:val="both"/>
      </w:pPr>
      <w:r>
        <w:rPr>
          <w:rFonts w:ascii="Calibri" w:hAnsi="Calibri"/>
          <w:b w:val="0"/>
          <w:i w:val="0"/>
          <w:sz w:val="22"/>
        </w:rPr>
        <w:t>El canal del precio de activos incluye dos subcadenas: (i) el efecto Tobin Q sobre la inversion: una baja de la TPM sube el precio de las acciones, incrementando la Q de Tobin (ratio valor de mercado / costo de reposicion del capital), lo que estimula la inversion; y (ii) el efecto riqueza sobre el consumo: el alza del precio de activos financieros e inmobiliarios aumenta la riqueza de los hogares y su gasto. Este canal es menos relevante en Chile que en economias con mercados financieros mas desarrollados, aunque su importancia ha crecido con el desarrollo del mercado de capitales chileno.</w:t>
      </w:r>
    </w:p>
    <w:p>
      <w:pPr>
        <w:pStyle w:val="Heading3"/>
        <w:jc w:val="left"/>
      </w:pPr>
      <w:r>
        <w:rPr>
          <w:rFonts w:ascii="Calibri" w:hAnsi="Calibri"/>
          <w:color w:val="4472C4"/>
        </w:rPr>
        <w:t>Mishkin (1996) – Canales de transmision monetaria: una revision</w:t>
      </w:r>
    </w:p>
    <w:p>
      <w:pPr>
        <w:spacing w:after="40"/>
        <w:ind w:left="454"/>
      </w:pPr>
      <w:r>
        <w:rPr>
          <w:rFonts w:ascii="Calibri" w:hAnsi="Calibri"/>
          <w:b/>
          <w:sz w:val="21"/>
        </w:rPr>
        <w:t xml:space="preserve">Autores: </w:t>
      </w:r>
      <w:r>
        <w:rPr>
          <w:rFonts w:ascii="Calibri" w:hAnsi="Calibri"/>
          <w:sz w:val="21"/>
        </w:rPr>
        <w:t>Frederic S. Mishkin</w:t>
      </w:r>
    </w:p>
    <w:p>
      <w:pPr>
        <w:spacing w:after="40"/>
        <w:ind w:left="454"/>
      </w:pPr>
      <w:r>
        <w:rPr>
          <w:rFonts w:ascii="Calibri" w:hAnsi="Calibri"/>
          <w:b/>
          <w:sz w:val="21"/>
        </w:rPr>
        <w:t xml:space="preserve">Ano: </w:t>
      </w:r>
      <w:r>
        <w:rPr>
          <w:rFonts w:ascii="Calibri" w:hAnsi="Calibri"/>
          <w:sz w:val="21"/>
        </w:rPr>
        <w:t>1996</w:t>
      </w:r>
    </w:p>
    <w:p>
      <w:pPr>
        <w:spacing w:after="40"/>
        <w:ind w:left="454"/>
      </w:pPr>
      <w:r>
        <w:rPr>
          <w:rFonts w:ascii="Calibri" w:hAnsi="Calibri"/>
          <w:b/>
          <w:sz w:val="21"/>
        </w:rPr>
        <w:t xml:space="preserve">Publicacion: </w:t>
      </w:r>
      <w:r>
        <w:rPr>
          <w:rFonts w:ascii="Calibri" w:hAnsi="Calibri"/>
          <w:sz w:val="21"/>
        </w:rPr>
        <w:t>NBER Working Paper 5464 (ampliamente citado en ScienceDirect)</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Sistematiza los cinco canales de transmision monetaria. Para el canal de precio de activos, formaliza: (a) canal Q de Tobin (inversion), (b) efecto riqueza (consumo) y (c) canal cambiario. Provee el mapa conceptual estandar de la literatura de transmision monetaria.</w:t>
      </w:r>
    </w:p>
    <w:p>
      <w:pPr>
        <w:spacing w:after="40"/>
        <w:ind w:left="454"/>
      </w:pPr>
      <w:r>
        <w:rPr>
          <w:rFonts w:ascii="Calibri" w:hAnsi="Calibri"/>
          <w:b/>
          <w:sz w:val="21"/>
        </w:rPr>
        <w:t xml:space="preserve">Relevancia para Chile: </w:t>
      </w:r>
      <w:r>
        <w:rPr>
          <w:rFonts w:ascii="Calibri" w:hAnsi="Calibri"/>
          <w:sz w:val="21"/>
        </w:rPr>
        <w:t>El canal de precio de activos es creciente en Chile dado el mayor desarrollo del mercado bursatil y el sistema de pensiones (AFP). Naraidoo y Paez-Farrell (2023) documentan que shocks de commodities aprecian activos chilenos.</w:t>
      </w:r>
    </w:p>
    <w:p>
      <w:pPr>
        <w:spacing w:after="40"/>
      </w:pPr>
    </w:p>
    <w:p>
      <w:pPr>
        <w:pStyle w:val="Heading3"/>
        <w:jc w:val="left"/>
      </w:pPr>
      <w:r>
        <w:rPr>
          <w:rFonts w:ascii="Calibri" w:hAnsi="Calibri"/>
          <w:color w:val="4472C4"/>
        </w:rPr>
        <w:t>Bjornland &amp; Jacobsen (2010) – Precios de vivienda en la transmision monetaria en EPAs</w:t>
      </w:r>
    </w:p>
    <w:p>
      <w:pPr>
        <w:spacing w:after="40"/>
        <w:ind w:left="454"/>
      </w:pPr>
      <w:r>
        <w:rPr>
          <w:rFonts w:ascii="Calibri" w:hAnsi="Calibri"/>
          <w:b/>
          <w:sz w:val="21"/>
        </w:rPr>
        <w:t xml:space="preserve">Autores: </w:t>
      </w:r>
      <w:r>
        <w:rPr>
          <w:rFonts w:ascii="Calibri" w:hAnsi="Calibri"/>
          <w:sz w:val="21"/>
        </w:rPr>
        <w:t>Hilde C. Bjornland &amp; Dag H. Jacobsen</w:t>
      </w:r>
    </w:p>
    <w:p>
      <w:pPr>
        <w:spacing w:after="40"/>
        <w:ind w:left="454"/>
      </w:pPr>
      <w:r>
        <w:rPr>
          <w:rFonts w:ascii="Calibri" w:hAnsi="Calibri"/>
          <w:b/>
          <w:sz w:val="21"/>
        </w:rPr>
        <w:t xml:space="preserve">Ano: </w:t>
      </w:r>
      <w:r>
        <w:rPr>
          <w:rFonts w:ascii="Calibri" w:hAnsi="Calibri"/>
          <w:sz w:val="21"/>
        </w:rPr>
        <w:t>2010</w:t>
      </w:r>
    </w:p>
    <w:p>
      <w:pPr>
        <w:spacing w:after="40"/>
        <w:ind w:left="454"/>
      </w:pPr>
      <w:r>
        <w:rPr>
          <w:rFonts w:ascii="Calibri" w:hAnsi="Calibri"/>
          <w:b/>
          <w:sz w:val="21"/>
        </w:rPr>
        <w:t xml:space="preserve">Publicacion: </w:t>
      </w:r>
      <w:r>
        <w:rPr>
          <w:rFonts w:ascii="Calibri" w:hAnsi="Calibri"/>
          <w:sz w:val="21"/>
        </w:rPr>
        <w:t>Journal of Financial Stability, Vol. 6(4) (ScienceDirect)</w:t>
      </w:r>
    </w:p>
    <w:p>
      <w:pPr>
        <w:spacing w:after="80"/>
        <w:jc w:val="both"/>
      </w:pPr>
      <w:r>
        <w:rPr>
          <w:rFonts w:ascii="Calibri" w:hAnsi="Calibri"/>
          <w:b w:val="0"/>
          <w:i w:val="0"/>
          <w:sz w:val="22"/>
        </w:rPr>
        <w:t>Descripcion:</w:t>
      </w:r>
    </w:p>
    <w:p>
      <w:pPr>
        <w:spacing w:after="80"/>
        <w:ind w:left="454"/>
        <w:jc w:val="both"/>
      </w:pPr>
      <w:r>
        <w:rPr>
          <w:rFonts w:ascii="Calibri" w:hAnsi="Calibri"/>
          <w:b w:val="0"/>
          <w:i w:val="0"/>
          <w:sz w:val="22"/>
        </w:rPr>
        <w:t>Analiza el rol de los precios de vivienda en la transmision monetaria en Noruega, Suecia y Reino Unido usando SVARs estructurales con datos trimestrales (1983Q1-2006Q4). Permite que la tasa de interes y los precios de vivienda reaccionen simultaneamente al shock monetario.</w:t>
      </w:r>
    </w:p>
    <w:p>
      <w:pPr>
        <w:spacing w:after="40"/>
        <w:ind w:left="454"/>
      </w:pPr>
      <w:r>
        <w:rPr>
          <w:rFonts w:ascii="Calibri" w:hAnsi="Calibri"/>
          <w:b/>
          <w:sz w:val="21"/>
        </w:rPr>
        <w:t xml:space="preserve">Variables SVAR: </w:t>
      </w:r>
      <w:r>
        <w:rPr>
          <w:rFonts w:ascii="Calibri" w:hAnsi="Calibri"/>
          <w:sz w:val="21"/>
        </w:rPr>
        <w:t>PIB, inflacion, tasa de interes, tipo de cambio, precios de vivienda, credito hipotecario.</w:t>
      </w:r>
    </w:p>
    <w:p>
      <w:pPr>
        <w:spacing w:after="40"/>
        <w:ind w:left="454"/>
      </w:pPr>
      <w:r>
        <w:rPr>
          <w:rFonts w:ascii="Calibri" w:hAnsi="Calibri"/>
          <w:b/>
          <w:sz w:val="21"/>
        </w:rPr>
        <w:t xml:space="preserve">Hallazgos: </w:t>
      </w:r>
      <w:r>
        <w:rPr>
          <w:rFonts w:ascii="Calibri" w:hAnsi="Calibri"/>
          <w:sz w:val="21"/>
        </w:rPr>
        <w:t>Los precios de vivienda caen fuerte e inmediatamente ante un shock contractivo, amplificando la caida del PIB y la inflacion via riqueza y colateral. La retroalimentacion entre tipo de cambio y vivienda es significativa en economias pequenas y abiertas.</w:t>
      </w:r>
    </w:p>
    <w:p>
      <w:pPr>
        <w:spacing w:after="40"/>
      </w:pPr>
    </w:p>
    <w:p>
      <w:r>
        <w:br w:type="page"/>
      </w:r>
    </w:p>
    <w:p>
      <w:pPr>
        <w:pStyle w:val="Heading1"/>
        <w:jc w:val="left"/>
      </w:pPr>
      <w:r>
        <w:rPr>
          <w:rFonts w:ascii="Calibri" w:hAnsi="Calibri"/>
          <w:color w:val="003366"/>
        </w:rPr>
        <w:t>2. Modelos VAR para el Estudio de la Transmision Monetaria</w:t>
      </w:r>
    </w:p>
    <w:p>
      <w:pPr>
        <w:spacing w:after="80"/>
        <w:jc w:val="both"/>
      </w:pPr>
      <w:r>
        <w:rPr>
          <w:rFonts w:ascii="Calibri" w:hAnsi="Calibri"/>
          <w:b w:val="0"/>
          <w:i w:val="0"/>
          <w:sz w:val="22"/>
        </w:rPr>
        <w:t>Los modelos de Vectores Autoregresivos (VAR) son la herramienta empirica dominante en la literatura de transmision monetaria. Permiten capturar las dinamicas simultaneas entre multiples variables macroeconomicas sin imponer restricciones teoricas excesivas, a la vez que facilitan el analisis de funciones impulso-respuesta (IRF) y la descomposicion de varianza del error de prediccion (FEVD). A continuacion se describen las principales variantes metodologicas y sus aplicaciones para economias pequenas y abiertas.</w:t>
      </w:r>
    </w:p>
    <w:p>
      <w:pPr>
        <w:spacing w:after="40"/>
      </w:pPr>
    </w:p>
    <w:p>
      <w:pPr>
        <w:pStyle w:val="Heading2"/>
        <w:jc w:val="left"/>
      </w:pPr>
      <w:r>
        <w:rPr>
          <w:rFonts w:ascii="Calibri" w:hAnsi="Calibri"/>
          <w:color w:val="1F497D"/>
        </w:rPr>
        <w:t>2.1  Taxonomia de modelos VAR en la literatura</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1F3864"/>
          </w:tcPr>
          <w:p>
            <w:pPr>
              <w:jc w:val="center"/>
            </w:pPr>
            <w:r/>
            <w:r>
              <w:rPr>
                <w:rFonts w:ascii="Calibri" w:hAnsi="Calibri"/>
                <w:b/>
                <w:color w:val="FFFFFF"/>
                <w:sz w:val="20"/>
              </w:rPr>
              <w:t>Variante VAR</w:t>
            </w:r>
          </w:p>
        </w:tc>
        <w:tc>
          <w:tcPr>
            <w:tcW w:type="dxa" w:w="2268"/>
            <w:shd w:val="clear" w:color="auto" w:fill="1F3864"/>
          </w:tcPr>
          <w:p>
            <w:pPr>
              <w:jc w:val="center"/>
            </w:pPr>
            <w:r/>
            <w:r>
              <w:rPr>
                <w:rFonts w:ascii="Calibri" w:hAnsi="Calibri"/>
                <w:b/>
                <w:color w:val="FFFFFF"/>
                <w:sz w:val="20"/>
              </w:rPr>
              <w:t>Identificacion</w:t>
            </w:r>
          </w:p>
        </w:tc>
        <w:tc>
          <w:tcPr>
            <w:tcW w:type="dxa" w:w="2835"/>
            <w:shd w:val="clear" w:color="auto" w:fill="1F3864"/>
          </w:tcPr>
          <w:p>
            <w:pPr>
              <w:jc w:val="center"/>
            </w:pPr>
            <w:r/>
            <w:r>
              <w:rPr>
                <w:rFonts w:ascii="Calibri" w:hAnsi="Calibri"/>
                <w:b/>
                <w:color w:val="FFFFFF"/>
                <w:sz w:val="20"/>
              </w:rPr>
              <w:t>Aplicacion principal</w:t>
            </w:r>
          </w:p>
        </w:tc>
        <w:tc>
          <w:tcPr>
            <w:tcW w:type="dxa" w:w="3118"/>
            <w:shd w:val="clear" w:color="auto" w:fill="1F3864"/>
          </w:tcPr>
          <w:p>
            <w:pPr>
              <w:jc w:val="center"/>
            </w:pPr>
            <w:r/>
            <w:r>
              <w:rPr>
                <w:rFonts w:ascii="Calibri" w:hAnsi="Calibri"/>
                <w:b/>
                <w:color w:val="FFFFFF"/>
                <w:sz w:val="20"/>
              </w:rPr>
              <w:t>Papers de referencia</w:t>
            </w:r>
          </w:p>
        </w:tc>
      </w:tr>
      <w:tr>
        <w:tc>
          <w:tcPr>
            <w:tcW w:type="dxa" w:w="1984"/>
            <w:shd w:val="clear" w:color="auto" w:fill="DCE6F1"/>
          </w:tcPr>
          <w:p>
            <w:pPr>
              <w:jc w:val="left"/>
            </w:pPr>
            <w:r/>
            <w:r>
              <w:rPr>
                <w:rFonts w:ascii="Calibri" w:hAnsi="Calibri"/>
                <w:sz w:val="19"/>
              </w:rPr>
              <w:t>VAR Recursivo</w:t>
              <w:br/>
              <w:t>(Cholesky)</w:t>
            </w:r>
          </w:p>
        </w:tc>
        <w:tc>
          <w:tcPr>
            <w:tcW w:type="dxa" w:w="2268"/>
            <w:shd w:val="clear" w:color="auto" w:fill="DCE6F1"/>
          </w:tcPr>
          <w:p>
            <w:pPr>
              <w:jc w:val="left"/>
            </w:pPr>
            <w:r/>
            <w:r>
              <w:rPr>
                <w:rFonts w:ascii="Calibri" w:hAnsi="Calibri"/>
                <w:sz w:val="19"/>
              </w:rPr>
              <w:t>Orden de variables</w:t>
              <w:br/>
              <w:t>(restricciones cero)</w:t>
            </w:r>
          </w:p>
        </w:tc>
        <w:tc>
          <w:tcPr>
            <w:tcW w:type="dxa" w:w="2835"/>
            <w:shd w:val="clear" w:color="auto" w:fill="DCE6F1"/>
          </w:tcPr>
          <w:p>
            <w:pPr>
              <w:jc w:val="left"/>
            </w:pPr>
            <w:r/>
            <w:r>
              <w:rPr>
                <w:rFonts w:ascii="Calibri" w:hAnsi="Calibri"/>
                <w:sz w:val="19"/>
              </w:rPr>
              <w:t>Benchmark para</w:t>
              <w:br/>
              <w:t>economias cerradas</w:t>
            </w:r>
          </w:p>
        </w:tc>
        <w:tc>
          <w:tcPr>
            <w:tcW w:type="dxa" w:w="3118"/>
            <w:shd w:val="clear" w:color="auto" w:fill="DCE6F1"/>
          </w:tcPr>
          <w:p>
            <w:pPr>
              <w:jc w:val="left"/>
            </w:pPr>
            <w:r/>
            <w:r>
              <w:rPr>
                <w:rFonts w:ascii="Calibri" w:hAnsi="Calibri"/>
                <w:sz w:val="19"/>
              </w:rPr>
              <w:t>Christiano et al. (1999);</w:t>
              <w:br/>
              <w:t>Sims (1980)</w:t>
            </w:r>
          </w:p>
        </w:tc>
      </w:tr>
      <w:tr>
        <w:tc>
          <w:tcPr>
            <w:tcW w:type="dxa" w:w="1984"/>
            <w:shd w:val="clear" w:color="auto" w:fill="FFFFFF"/>
          </w:tcPr>
          <w:p>
            <w:pPr>
              <w:jc w:val="left"/>
            </w:pPr>
            <w:r/>
            <w:r>
              <w:rPr>
                <w:rFonts w:ascii="Calibri" w:hAnsi="Calibri"/>
                <w:sz w:val="19"/>
              </w:rPr>
              <w:t>SVAR Estructural</w:t>
              <w:br/>
              <w:t>(near-VAR)</w:t>
            </w:r>
          </w:p>
        </w:tc>
        <w:tc>
          <w:tcPr>
            <w:tcW w:type="dxa" w:w="2268"/>
            <w:shd w:val="clear" w:color="auto" w:fill="FFFFFF"/>
          </w:tcPr>
          <w:p>
            <w:pPr>
              <w:jc w:val="left"/>
            </w:pPr>
            <w:r/>
            <w:r>
              <w:rPr>
                <w:rFonts w:ascii="Calibri" w:hAnsi="Calibri"/>
                <w:sz w:val="19"/>
              </w:rPr>
              <w:t>Restricciones</w:t>
              <w:br/>
              <w:t>estructurales a priori</w:t>
            </w:r>
          </w:p>
        </w:tc>
        <w:tc>
          <w:tcPr>
            <w:tcW w:type="dxa" w:w="2835"/>
            <w:shd w:val="clear" w:color="auto" w:fill="FFFFFF"/>
          </w:tcPr>
          <w:p>
            <w:pPr>
              <w:jc w:val="left"/>
            </w:pPr>
            <w:r/>
            <w:r>
              <w:rPr>
                <w:rFonts w:ascii="Calibri" w:hAnsi="Calibri"/>
                <w:sz w:val="19"/>
              </w:rPr>
              <w:t>Economias pequenas y</w:t>
              <w:br/>
              <w:t>abiertas (bloque exogeno)</w:t>
            </w:r>
          </w:p>
        </w:tc>
        <w:tc>
          <w:tcPr>
            <w:tcW w:type="dxa" w:w="3118"/>
            <w:shd w:val="clear" w:color="auto" w:fill="FFFFFF"/>
          </w:tcPr>
          <w:p>
            <w:pPr>
              <w:jc w:val="left"/>
            </w:pPr>
            <w:r/>
            <w:r>
              <w:rPr>
                <w:rFonts w:ascii="Calibri" w:hAnsi="Calibri"/>
                <w:sz w:val="19"/>
              </w:rPr>
              <w:t>Cushman &amp; Zha (1997);</w:t>
              <w:br/>
              <w:t>Hoffmaister &amp; Roldos (2001)</w:t>
            </w:r>
          </w:p>
        </w:tc>
      </w:tr>
      <w:tr>
        <w:tc>
          <w:tcPr>
            <w:tcW w:type="dxa" w:w="1984"/>
            <w:shd w:val="clear" w:color="auto" w:fill="DCE6F1"/>
          </w:tcPr>
          <w:p>
            <w:pPr>
              <w:jc w:val="left"/>
            </w:pPr>
            <w:r/>
            <w:r>
              <w:rPr>
                <w:rFonts w:ascii="Calibri" w:hAnsi="Calibri"/>
                <w:sz w:val="19"/>
              </w:rPr>
              <w:t>SVAR con restricciones</w:t>
              <w:br/>
              <w:t>de signos</w:t>
            </w:r>
          </w:p>
        </w:tc>
        <w:tc>
          <w:tcPr>
            <w:tcW w:type="dxa" w:w="2268"/>
            <w:shd w:val="clear" w:color="auto" w:fill="DCE6F1"/>
          </w:tcPr>
          <w:p>
            <w:pPr>
              <w:jc w:val="left"/>
            </w:pPr>
            <w:r/>
            <w:r>
              <w:rPr>
                <w:rFonts w:ascii="Calibri" w:hAnsi="Calibri"/>
                <w:sz w:val="19"/>
              </w:rPr>
              <w:t>Signos de IRFs</w:t>
              <w:br/>
              <w:t>consistentes con teoria</w:t>
            </w:r>
          </w:p>
        </w:tc>
        <w:tc>
          <w:tcPr>
            <w:tcW w:type="dxa" w:w="2835"/>
            <w:shd w:val="clear" w:color="auto" w:fill="DCE6F1"/>
          </w:tcPr>
          <w:p>
            <w:pPr>
              <w:jc w:val="left"/>
            </w:pPr>
            <w:r/>
            <w:r>
              <w:rPr>
                <w:rFonts w:ascii="Calibri" w:hAnsi="Calibri"/>
                <w:sz w:val="19"/>
              </w:rPr>
              <w:t>Resolucion de puzzles</w:t>
              <w:br/>
              <w:t>en economias emergentes</w:t>
            </w:r>
          </w:p>
        </w:tc>
        <w:tc>
          <w:tcPr>
            <w:tcW w:type="dxa" w:w="3118"/>
            <w:shd w:val="clear" w:color="auto" w:fill="DCE6F1"/>
          </w:tcPr>
          <w:p>
            <w:pPr>
              <w:jc w:val="left"/>
            </w:pPr>
            <w:r/>
            <w:r>
              <w:rPr>
                <w:rFonts w:ascii="Calibri" w:hAnsi="Calibri"/>
                <w:sz w:val="19"/>
              </w:rPr>
              <w:t>Ha, Kim, Kose &amp; Prasad (2025);</w:t>
              <w:br/>
              <w:t>Uhlig (2005)</w:t>
            </w:r>
          </w:p>
        </w:tc>
      </w:tr>
      <w:tr>
        <w:tc>
          <w:tcPr>
            <w:tcW w:type="dxa" w:w="1984"/>
            <w:shd w:val="clear" w:color="auto" w:fill="FFFFFF"/>
          </w:tcPr>
          <w:p>
            <w:pPr>
              <w:jc w:val="left"/>
            </w:pPr>
            <w:r/>
            <w:r>
              <w:rPr>
                <w:rFonts w:ascii="Calibri" w:hAnsi="Calibri"/>
                <w:sz w:val="19"/>
              </w:rPr>
              <w:t>External VAR</w:t>
              <w:br/>
              <w:t>(Proxy-SVAR)</w:t>
            </w:r>
          </w:p>
        </w:tc>
        <w:tc>
          <w:tcPr>
            <w:tcW w:type="dxa" w:w="2268"/>
            <w:shd w:val="clear" w:color="auto" w:fill="FFFFFF"/>
          </w:tcPr>
          <w:p>
            <w:pPr>
              <w:jc w:val="left"/>
            </w:pPr>
            <w:r/>
            <w:r>
              <w:rPr>
                <w:rFonts w:ascii="Calibri" w:hAnsi="Calibri"/>
                <w:sz w:val="19"/>
              </w:rPr>
              <w:t>Instrumento externo</w:t>
              <w:br/>
              <w:t>como proxy del shock</w:t>
            </w:r>
          </w:p>
        </w:tc>
        <w:tc>
          <w:tcPr>
            <w:tcW w:type="dxa" w:w="2835"/>
            <w:shd w:val="clear" w:color="auto" w:fill="FFFFFF"/>
          </w:tcPr>
          <w:p>
            <w:pPr>
              <w:jc w:val="left"/>
            </w:pPr>
            <w:r/>
            <w:r>
              <w:rPr>
                <w:rFonts w:ascii="Calibri" w:hAnsi="Calibri"/>
                <w:sz w:val="19"/>
              </w:rPr>
              <w:t>Identificacion de shocks</w:t>
              <w:br/>
              <w:t>monetarios puros</w:t>
            </w:r>
          </w:p>
        </w:tc>
        <w:tc>
          <w:tcPr>
            <w:tcW w:type="dxa" w:w="3118"/>
            <w:shd w:val="clear" w:color="auto" w:fill="FFFFFF"/>
          </w:tcPr>
          <w:p>
            <w:pPr>
              <w:jc w:val="left"/>
            </w:pPr>
            <w:r/>
            <w:r>
              <w:rPr>
                <w:rFonts w:ascii="Calibri" w:hAnsi="Calibri"/>
                <w:sz w:val="19"/>
              </w:rPr>
              <w:t>Beltran &amp; Coble (2024);</w:t>
              <w:br/>
              <w:t>Mertens &amp; Ravn (2013)</w:t>
            </w:r>
          </w:p>
        </w:tc>
      </w:tr>
      <w:tr>
        <w:tc>
          <w:tcPr>
            <w:tcW w:type="dxa" w:w="1984"/>
            <w:shd w:val="clear" w:color="auto" w:fill="DCE6F1"/>
          </w:tcPr>
          <w:p>
            <w:pPr>
              <w:jc w:val="left"/>
            </w:pPr>
            <w:r/>
            <w:r>
              <w:rPr>
                <w:rFonts w:ascii="Calibri" w:hAnsi="Calibri"/>
                <w:sz w:val="19"/>
              </w:rPr>
              <w:t>FAVAR</w:t>
              <w:br/>
              <w:t>(Factor-Augmented VAR)</w:t>
            </w:r>
          </w:p>
        </w:tc>
        <w:tc>
          <w:tcPr>
            <w:tcW w:type="dxa" w:w="2268"/>
            <w:shd w:val="clear" w:color="auto" w:fill="DCE6F1"/>
          </w:tcPr>
          <w:p>
            <w:pPr>
              <w:jc w:val="left"/>
            </w:pPr>
            <w:r/>
            <w:r>
              <w:rPr>
                <w:rFonts w:ascii="Calibri" w:hAnsi="Calibri"/>
                <w:sz w:val="19"/>
              </w:rPr>
              <w:t>Factores latentes</w:t>
              <w:br/>
              <w:t>extran informacion</w:t>
            </w:r>
          </w:p>
        </w:tc>
        <w:tc>
          <w:tcPr>
            <w:tcW w:type="dxa" w:w="2835"/>
            <w:shd w:val="clear" w:color="auto" w:fill="DCE6F1"/>
          </w:tcPr>
          <w:p>
            <w:pPr>
              <w:jc w:val="left"/>
            </w:pPr>
            <w:r/>
            <w:r>
              <w:rPr>
                <w:rFonts w:ascii="Calibri" w:hAnsi="Calibri"/>
                <w:sz w:val="19"/>
              </w:rPr>
              <w:t>Heterogeneidad sectorial</w:t>
              <w:br/>
              <w:t>y distribucion</w:t>
            </w:r>
          </w:p>
        </w:tc>
        <w:tc>
          <w:tcPr>
            <w:tcW w:type="dxa" w:w="3118"/>
            <w:shd w:val="clear" w:color="auto" w:fill="DCE6F1"/>
          </w:tcPr>
          <w:p>
            <w:pPr>
              <w:jc w:val="left"/>
            </w:pPr>
            <w:r/>
            <w:r>
              <w:rPr>
                <w:rFonts w:ascii="Calibri" w:hAnsi="Calibri"/>
                <w:sz w:val="19"/>
              </w:rPr>
              <w:t>Madeira &amp; Salazar (2023);</w:t>
              <w:br/>
              <w:t>Bernanke et al. (2005)</w:t>
            </w:r>
          </w:p>
        </w:tc>
      </w:tr>
      <w:tr>
        <w:tc>
          <w:tcPr>
            <w:tcW w:type="dxa" w:w="1984"/>
            <w:shd w:val="clear" w:color="auto" w:fill="FFFFFF"/>
          </w:tcPr>
          <w:p>
            <w:pPr>
              <w:jc w:val="left"/>
            </w:pPr>
            <w:r/>
            <w:r>
              <w:rPr>
                <w:rFonts w:ascii="Calibri" w:hAnsi="Calibri"/>
                <w:sz w:val="19"/>
              </w:rPr>
              <w:t>SFAVAR</w:t>
              <w:br/>
              <w:t>(Structural FAVAR)</w:t>
            </w:r>
          </w:p>
        </w:tc>
        <w:tc>
          <w:tcPr>
            <w:tcW w:type="dxa" w:w="2268"/>
            <w:shd w:val="clear" w:color="auto" w:fill="FFFFFF"/>
          </w:tcPr>
          <w:p>
            <w:pPr>
              <w:jc w:val="left"/>
            </w:pPr>
            <w:r/>
            <w:r>
              <w:rPr>
                <w:rFonts w:ascii="Calibri" w:hAnsi="Calibri"/>
                <w:sz w:val="19"/>
              </w:rPr>
              <w:t>Factores + restricciones</w:t>
              <w:br/>
              <w:t>estructurales</w:t>
            </w:r>
          </w:p>
        </w:tc>
        <w:tc>
          <w:tcPr>
            <w:tcW w:type="dxa" w:w="2835"/>
            <w:shd w:val="clear" w:color="auto" w:fill="FFFFFF"/>
          </w:tcPr>
          <w:p>
            <w:pPr>
              <w:jc w:val="left"/>
            </w:pPr>
            <w:r/>
            <w:r>
              <w:rPr>
                <w:rFonts w:ascii="Calibri" w:hAnsi="Calibri"/>
                <w:sz w:val="19"/>
              </w:rPr>
              <w:t>Transmision global a</w:t>
              <w:br/>
              <w:t>EPAs (187 series)</w:t>
            </w:r>
          </w:p>
        </w:tc>
        <w:tc>
          <w:tcPr>
            <w:tcW w:type="dxa" w:w="3118"/>
            <w:shd w:val="clear" w:color="auto" w:fill="FFFFFF"/>
          </w:tcPr>
          <w:p>
            <w:pPr>
              <w:jc w:val="left"/>
            </w:pPr>
            <w:r/>
            <w:r>
              <w:rPr>
                <w:rFonts w:ascii="Calibri" w:hAnsi="Calibri"/>
                <w:sz w:val="19"/>
              </w:rPr>
              <w:t>Nadal De Simone (2024)</w:t>
            </w:r>
          </w:p>
        </w:tc>
      </w:tr>
      <w:tr>
        <w:tc>
          <w:tcPr>
            <w:tcW w:type="dxa" w:w="1984"/>
            <w:shd w:val="clear" w:color="auto" w:fill="DCE6F1"/>
          </w:tcPr>
          <w:p>
            <w:pPr>
              <w:jc w:val="left"/>
            </w:pPr>
            <w:r/>
            <w:r>
              <w:rPr>
                <w:rFonts w:ascii="Calibri" w:hAnsi="Calibri"/>
                <w:sz w:val="19"/>
              </w:rPr>
              <w:t>Panel VAR</w:t>
            </w:r>
          </w:p>
        </w:tc>
        <w:tc>
          <w:tcPr>
            <w:tcW w:type="dxa" w:w="2268"/>
            <w:shd w:val="clear" w:color="auto" w:fill="DCE6F1"/>
          </w:tcPr>
          <w:p>
            <w:pPr>
              <w:jc w:val="left"/>
            </w:pPr>
            <w:r/>
            <w:r>
              <w:rPr>
                <w:rFonts w:ascii="Calibri" w:hAnsi="Calibri"/>
                <w:sz w:val="19"/>
              </w:rPr>
              <w:t>Efectos fijos pais</w:t>
              <w:br/>
              <w:t>+ shocks comunes</w:t>
            </w:r>
          </w:p>
        </w:tc>
        <w:tc>
          <w:tcPr>
            <w:tcW w:type="dxa" w:w="2835"/>
            <w:shd w:val="clear" w:color="auto" w:fill="DCE6F1"/>
          </w:tcPr>
          <w:p>
            <w:pPr>
              <w:jc w:val="left"/>
            </w:pPr>
            <w:r/>
            <w:r>
              <w:rPr>
                <w:rFonts w:ascii="Calibri" w:hAnsi="Calibri"/>
                <w:sz w:val="19"/>
              </w:rPr>
              <w:t>Comparacion entre</w:t>
              <w:br/>
              <w:t>paises de AL</w:t>
            </w:r>
          </w:p>
        </w:tc>
        <w:tc>
          <w:tcPr>
            <w:tcW w:type="dxa" w:w="3118"/>
            <w:shd w:val="clear" w:color="auto" w:fill="DCE6F1"/>
          </w:tcPr>
          <w:p>
            <w:pPr>
              <w:jc w:val="left"/>
            </w:pPr>
            <w:r/>
            <w:r>
              <w:rPr>
                <w:rFonts w:ascii="Calibri" w:hAnsi="Calibri"/>
                <w:sz w:val="19"/>
              </w:rPr>
              <w:t>De Mello &amp; Moccero (2011);</w:t>
              <w:br/>
              <w:t>Naraidoo &amp; Paez-Farrell (2023)</w:t>
            </w:r>
          </w:p>
        </w:tc>
      </w:tr>
    </w:tbl>
    <w:p>
      <w:pPr>
        <w:spacing w:after="40"/>
      </w:pPr>
    </w:p>
    <w:p>
      <w:pPr>
        <w:pStyle w:val="Heading2"/>
        <w:jc w:val="left"/>
      </w:pPr>
      <w:r>
        <w:rPr>
          <w:rFonts w:ascii="Calibri" w:hAnsi="Calibri"/>
          <w:color w:val="1F497D"/>
        </w:rPr>
        <w:t>2.2  Especificacion VAR para Chile: evidencia de la literatura</w:t>
      </w:r>
    </w:p>
    <w:p>
      <w:pPr>
        <w:spacing w:after="80"/>
        <w:jc w:val="both"/>
      </w:pPr>
      <w:r>
        <w:rPr>
          <w:rFonts w:ascii="Calibri" w:hAnsi="Calibri"/>
          <w:b w:val="0"/>
          <w:i w:val="0"/>
          <w:sz w:val="22"/>
        </w:rPr>
        <w:t>La literatura identifica un conjunto convergente de variables para modelar la transmision monetaria en Chile mediante VAR. La especificacion mas respaldada incluye variables en el siguiente orden causal (de mas exogenas a mas endogenas):</w:t>
      </w:r>
    </w:p>
    <w:p>
      <w:pPr>
        <w:pStyle w:val="ListBullet"/>
        <w:spacing w:after="40"/>
        <w:ind w:left="680"/>
      </w:pPr>
      <w:r>
        <w:rPr>
          <w:rFonts w:ascii="Calibri" w:hAnsi="Calibri"/>
          <w:sz w:val="21"/>
        </w:rPr>
        <w:t>EXOGENAS (bloque externo): Precio del cobre (USD/lb), PIB o indice de actividad de EE.UU., tasa de fondos federales.</w:t>
      </w:r>
    </w:p>
    <w:p>
      <w:pPr>
        <w:pStyle w:val="ListBullet"/>
        <w:spacing w:after="40"/>
        <w:ind w:left="680"/>
      </w:pPr>
      <w:r>
        <w:rPr>
          <w:rFonts w:ascii="Calibri" w:hAnsi="Calibri"/>
          <w:sz w:val="21"/>
        </w:rPr>
        <w:t>ENDOGENAS DOMESTICAS: Indice de Precios al Consumidor (IPC), Indice de actividad economica (IMACEC/PIB), Tasa de Politica Monetaria (TPM), Tipo de cambio nominal (CLP/USD).</w:t>
      </w:r>
    </w:p>
    <w:p>
      <w:pPr>
        <w:pStyle w:val="ListBullet"/>
        <w:spacing w:after="40"/>
        <w:ind w:left="680"/>
      </w:pPr>
      <w:r>
        <w:rPr>
          <w:rFonts w:ascii="Calibri" w:hAnsi="Calibri"/>
          <w:sz w:val="21"/>
        </w:rPr>
        <w:t>OPCIONALES: Credito bancario, spread tasas activas-TPM, precio de activos.</w:t>
      </w:r>
    </w:p>
    <w:p>
      <w:pPr>
        <w:spacing w:after="40"/>
      </w:pPr>
    </w:p>
    <w:p>
      <w:pPr>
        <w:pStyle w:val="Heading1"/>
        <w:jc w:val="left"/>
      </w:pPr>
      <w:r>
        <w:rPr>
          <w:rFonts w:ascii="Calibri" w:hAnsi="Calibri"/>
          <w:color w:val="003366"/>
        </w:rPr>
        <w:t>3. Aplicaciones para Chile y Latinoamerica</w:t>
      </w:r>
    </w:p>
    <w:p>
      <w:pPr>
        <w:pStyle w:val="Heading3"/>
        <w:jc w:val="left"/>
      </w:pPr>
      <w:r>
        <w:rPr>
          <w:rFonts w:ascii="Calibri" w:hAnsi="Calibri"/>
          <w:color w:val="4472C4"/>
        </w:rPr>
        <w:t>De Mello &amp; Moccero (2011) – Estabilidad macroeconomica en AL via VAR</w:t>
      </w:r>
    </w:p>
    <w:p>
      <w:pPr>
        <w:spacing w:after="40"/>
        <w:ind w:left="454"/>
      </w:pPr>
      <w:r>
        <w:rPr>
          <w:rFonts w:ascii="Calibri" w:hAnsi="Calibri"/>
          <w:b/>
          <w:sz w:val="21"/>
        </w:rPr>
        <w:t xml:space="preserve">Referencia: </w:t>
      </w:r>
      <w:r>
        <w:rPr>
          <w:rFonts w:ascii="Calibri" w:hAnsi="Calibri"/>
          <w:sz w:val="21"/>
        </w:rPr>
        <w:t>Journal of International Money and Finance, 30(1), 229-245 (ScienceDirect)</w:t>
      </w:r>
    </w:p>
    <w:p>
      <w:pPr>
        <w:spacing w:after="40"/>
        <w:ind w:left="454"/>
      </w:pPr>
      <w:r>
        <w:rPr>
          <w:rFonts w:ascii="Calibri" w:hAnsi="Calibri"/>
          <w:b/>
          <w:sz w:val="21"/>
        </w:rPr>
        <w:t xml:space="preserve">Paises: </w:t>
      </w:r>
      <w:r>
        <w:rPr>
          <w:rFonts w:ascii="Calibri" w:hAnsi="Calibri"/>
          <w:sz w:val="21"/>
        </w:rPr>
        <w:t>Brasil, Chile, Colombia, Mexico</w:t>
      </w:r>
    </w:p>
    <w:p>
      <w:pPr>
        <w:spacing w:after="40"/>
        <w:ind w:left="454"/>
      </w:pPr>
      <w:r>
        <w:rPr>
          <w:rFonts w:ascii="Calibri" w:hAnsi="Calibri"/>
          <w:b/>
          <w:sz w:val="21"/>
        </w:rPr>
        <w:t xml:space="preserve">Variables: </w:t>
      </w:r>
      <w:r>
        <w:rPr>
          <w:rFonts w:ascii="Calibri" w:hAnsi="Calibri"/>
          <w:sz w:val="21"/>
        </w:rPr>
        <w:t>TPM, inflacion esperada, brecha del producto</w:t>
      </w:r>
    </w:p>
    <w:p>
      <w:pPr>
        <w:spacing w:after="40"/>
        <w:ind w:left="454"/>
      </w:pPr>
      <w:r>
        <w:rPr>
          <w:rFonts w:ascii="Calibri" w:hAnsi="Calibri"/>
          <w:b/>
          <w:sz w:val="21"/>
        </w:rPr>
        <w:t xml:space="preserve">Metodologia: </w:t>
      </w:r>
      <w:r>
        <w:rPr>
          <w:rFonts w:ascii="Calibri" w:hAnsi="Calibri"/>
          <w:sz w:val="21"/>
        </w:rPr>
        <w:t>Modelo NK estructural + VAR irrestricto</w:t>
      </w:r>
    </w:p>
    <w:p>
      <w:pPr>
        <w:spacing w:after="40"/>
        <w:ind w:left="454"/>
      </w:pPr>
      <w:r>
        <w:rPr>
          <w:rFonts w:ascii="Calibri" w:hAnsi="Calibri"/>
          <w:b/>
          <w:sz w:val="21"/>
        </w:rPr>
        <w:t xml:space="preserve">Hallazgos: </w:t>
      </w:r>
      <w:r>
        <w:rPr>
          <w:rFonts w:ascii="Calibri" w:hAnsi="Calibri"/>
          <w:sz w:val="21"/>
        </w:rPr>
        <w:t>Chile y Brasil muestran respuesta mas fuerte de la TPM ante inflacion post-1999. El cambio al regimen de metas de inflacion no redujo aun la volatilidad del producto. La politica monetaria es mas contracíclica en Chile que en Colombia y Mexico.</w:t>
      </w:r>
    </w:p>
    <w:p>
      <w:pPr>
        <w:spacing w:after="40"/>
      </w:pPr>
    </w:p>
    <w:p>
      <w:pPr>
        <w:pStyle w:val="Heading3"/>
        <w:jc w:val="left"/>
      </w:pPr>
      <w:r>
        <w:rPr>
          <w:rFonts w:ascii="Calibri" w:hAnsi="Calibri"/>
          <w:color w:val="4472C4"/>
        </w:rPr>
        <w:t>Madeira &amp; Salazar (2023) – FAVAR para mercado laboral heterogeneo en Chile</w:t>
      </w:r>
    </w:p>
    <w:p>
      <w:pPr>
        <w:spacing w:after="40"/>
        <w:ind w:left="454"/>
      </w:pPr>
      <w:r>
        <w:rPr>
          <w:rFonts w:ascii="Calibri" w:hAnsi="Calibri"/>
          <w:b/>
          <w:sz w:val="21"/>
        </w:rPr>
        <w:t xml:space="preserve">Referencia: </w:t>
      </w:r>
      <w:r>
        <w:rPr>
          <w:rFonts w:ascii="Calibri" w:hAnsi="Calibri"/>
          <w:sz w:val="21"/>
        </w:rPr>
        <w:t>Latin American Journal of Central Banking, 4(2) (ScienceDirect)</w:t>
      </w:r>
    </w:p>
    <w:p>
      <w:pPr>
        <w:spacing w:after="40"/>
        <w:ind w:left="454"/>
      </w:pPr>
      <w:r>
        <w:rPr>
          <w:rFonts w:ascii="Calibri" w:hAnsi="Calibri"/>
          <w:b/>
          <w:sz w:val="21"/>
        </w:rPr>
        <w:t xml:space="preserve">Paises: </w:t>
      </w:r>
      <w:r>
        <w:rPr>
          <w:rFonts w:ascii="Calibri" w:hAnsi="Calibri"/>
          <w:sz w:val="21"/>
        </w:rPr>
        <w:t>Chile</w:t>
      </w:r>
    </w:p>
    <w:p>
      <w:pPr>
        <w:spacing w:after="40"/>
        <w:ind w:left="454"/>
      </w:pPr>
      <w:r>
        <w:rPr>
          <w:rFonts w:ascii="Calibri" w:hAnsi="Calibri"/>
          <w:b/>
          <w:sz w:val="21"/>
        </w:rPr>
        <w:t xml:space="preserve">Variables: </w:t>
      </w:r>
      <w:r>
        <w:rPr>
          <w:rFonts w:ascii="Calibri" w:hAnsi="Calibri"/>
          <w:sz w:val="21"/>
        </w:rPr>
        <w:t>TPM, inflacion, desempleo por grupo (edad, sector, quintil), salarios, tasa de separacion y busqueda laboral</w:t>
      </w:r>
    </w:p>
    <w:p>
      <w:pPr>
        <w:spacing w:after="40"/>
        <w:ind w:left="454"/>
      </w:pPr>
      <w:r>
        <w:rPr>
          <w:rFonts w:ascii="Calibri" w:hAnsi="Calibri"/>
          <w:b/>
          <w:sz w:val="21"/>
        </w:rPr>
        <w:t xml:space="preserve">Metodologia: </w:t>
      </w:r>
      <w:r>
        <w:rPr>
          <w:rFonts w:ascii="Calibri" w:hAnsi="Calibri"/>
          <w:sz w:val="21"/>
        </w:rPr>
        <w:t>FAVAR con factores latentes</w:t>
      </w:r>
    </w:p>
    <w:p>
      <w:pPr>
        <w:spacing w:after="40"/>
        <w:ind w:left="454"/>
      </w:pPr>
      <w:r>
        <w:rPr>
          <w:rFonts w:ascii="Calibri" w:hAnsi="Calibri"/>
          <w:b/>
          <w:sz w:val="21"/>
        </w:rPr>
        <w:t xml:space="preserve">Hallazgos: </w:t>
      </w:r>
      <w:r>
        <w:rPr>
          <w:rFonts w:ascii="Calibri" w:hAnsi="Calibri"/>
          <w:sz w:val="21"/>
        </w:rPr>
        <w:t>Un alza de la TPM aumenta la tasa de separacion laboral en la mayoria de grupos. La inflacion es negativamente correlacionada con el desempleo entre grupos. El sector primario (mineria) es el menos sensible a shocks monetarios en Chile.</w:t>
      </w:r>
    </w:p>
    <w:p>
      <w:pPr>
        <w:spacing w:after="40"/>
      </w:pPr>
    </w:p>
    <w:p>
      <w:pPr>
        <w:pStyle w:val="Heading3"/>
        <w:jc w:val="left"/>
      </w:pPr>
      <w:r>
        <w:rPr>
          <w:rFonts w:ascii="Calibri" w:hAnsi="Calibri"/>
          <w:color w:val="4472C4"/>
        </w:rPr>
        <w:t>Ginn &amp; Pourroy (2020) – Reaccion del BCCh ante inflacion de alimentos</w:t>
      </w:r>
    </w:p>
    <w:p>
      <w:pPr>
        <w:spacing w:after="40"/>
        <w:ind w:left="454"/>
      </w:pPr>
      <w:r>
        <w:rPr>
          <w:rFonts w:ascii="Calibri" w:hAnsi="Calibri"/>
          <w:b/>
          <w:sz w:val="21"/>
        </w:rPr>
        <w:t xml:space="preserve">Referencia: </w:t>
      </w:r>
      <w:r>
        <w:rPr>
          <w:rFonts w:ascii="Calibri" w:hAnsi="Calibri"/>
          <w:sz w:val="21"/>
        </w:rPr>
        <w:t>Economic Modelling, 90, 221-234 (ScienceDirect)</w:t>
      </w:r>
    </w:p>
    <w:p>
      <w:pPr>
        <w:spacing w:after="40"/>
        <w:ind w:left="454"/>
      </w:pPr>
      <w:r>
        <w:rPr>
          <w:rFonts w:ascii="Calibri" w:hAnsi="Calibri"/>
          <w:b/>
          <w:sz w:val="21"/>
        </w:rPr>
        <w:t xml:space="preserve">Paises: </w:t>
      </w:r>
      <w:r>
        <w:rPr>
          <w:rFonts w:ascii="Calibri" w:hAnsi="Calibri"/>
          <w:sz w:val="21"/>
        </w:rPr>
        <w:t>Chile</w:t>
      </w:r>
    </w:p>
    <w:p>
      <w:pPr>
        <w:spacing w:after="40"/>
        <w:ind w:left="454"/>
      </w:pPr>
      <w:r>
        <w:rPr>
          <w:rFonts w:ascii="Calibri" w:hAnsi="Calibri"/>
          <w:b/>
          <w:sz w:val="21"/>
        </w:rPr>
        <w:t xml:space="preserve">Variables: </w:t>
      </w:r>
      <w:r>
        <w:rPr>
          <w:rFonts w:ascii="Calibri" w:hAnsi="Calibri"/>
          <w:sz w:val="21"/>
        </w:rPr>
        <w:t>TPM, inflacion alimentos, inflacion core, PIB, sector exportador</w:t>
      </w:r>
    </w:p>
    <w:p>
      <w:pPr>
        <w:spacing w:after="40"/>
        <w:ind w:left="454"/>
      </w:pPr>
      <w:r>
        <w:rPr>
          <w:rFonts w:ascii="Calibri" w:hAnsi="Calibri"/>
          <w:b/>
          <w:sz w:val="21"/>
        </w:rPr>
        <w:t xml:space="preserve">Metodologia: </w:t>
      </w:r>
      <w:r>
        <w:rPr>
          <w:rFonts w:ascii="Calibri" w:hAnsi="Calibri"/>
          <w:sz w:val="21"/>
        </w:rPr>
        <w:t>DSGE Bayesiano para economia pequena y abierta</w:t>
      </w:r>
    </w:p>
    <w:p>
      <w:pPr>
        <w:spacing w:after="40"/>
        <w:ind w:left="454"/>
      </w:pPr>
      <w:r>
        <w:rPr>
          <w:rFonts w:ascii="Calibri" w:hAnsi="Calibri"/>
          <w:b/>
          <w:sz w:val="21"/>
        </w:rPr>
        <w:t xml:space="preserve">Hallazgos: </w:t>
      </w:r>
      <w:r>
        <w:rPr>
          <w:rFonts w:ascii="Calibri" w:hAnsi="Calibri"/>
          <w:sz w:val="21"/>
        </w:rPr>
        <w:t>La inflacion de alimentos tuvo rol no trivial en la politica monetaria de facto de Chile. El BCCh aumenta la TPM ante shocks de precios de alimentos. La meta de inflacion headline es superior al core desde el punto de vista del bienestar.</w:t>
      </w:r>
    </w:p>
    <w:p>
      <w:pPr>
        <w:spacing w:after="40"/>
      </w:pPr>
    </w:p>
    <w:p>
      <w:pPr>
        <w:pStyle w:val="Heading3"/>
        <w:jc w:val="left"/>
      </w:pPr>
      <w:r>
        <w:rPr>
          <w:rFonts w:ascii="Calibri" w:hAnsi="Calibri"/>
          <w:color w:val="4472C4"/>
        </w:rPr>
        <w:t>Naraidoo &amp; Paez-Farrell (2023) – Shocks de commodities y politica monetaria en EPAs</w:t>
      </w:r>
    </w:p>
    <w:p>
      <w:pPr>
        <w:spacing w:after="40"/>
        <w:ind w:left="454"/>
      </w:pPr>
      <w:r>
        <w:rPr>
          <w:rFonts w:ascii="Calibri" w:hAnsi="Calibri"/>
          <w:b/>
          <w:sz w:val="21"/>
        </w:rPr>
        <w:t xml:space="preserve">Referencia: </w:t>
      </w:r>
      <w:r>
        <w:rPr>
          <w:rFonts w:ascii="Calibri" w:hAnsi="Calibri"/>
          <w:sz w:val="21"/>
        </w:rPr>
        <w:t>Journal of Economic Dynamics and Control, 151(C) (ScienceDirect)</w:t>
      </w:r>
    </w:p>
    <w:p>
      <w:pPr>
        <w:spacing w:after="40"/>
        <w:ind w:left="454"/>
      </w:pPr>
      <w:r>
        <w:rPr>
          <w:rFonts w:ascii="Calibri" w:hAnsi="Calibri"/>
          <w:b/>
          <w:sz w:val="21"/>
        </w:rPr>
        <w:t xml:space="preserve">Paises: </w:t>
      </w:r>
      <w:r>
        <w:rPr>
          <w:rFonts w:ascii="Calibri" w:hAnsi="Calibri"/>
          <w:sz w:val="21"/>
        </w:rPr>
        <w:t>Economias exportadoras de commodities (aplicable a Chile)</w:t>
      </w:r>
    </w:p>
    <w:p>
      <w:pPr>
        <w:spacing w:after="40"/>
        <w:ind w:left="454"/>
      </w:pPr>
      <w:r>
        <w:rPr>
          <w:rFonts w:ascii="Calibri" w:hAnsi="Calibri"/>
          <w:b/>
          <w:sz w:val="21"/>
        </w:rPr>
        <w:t xml:space="preserve">Variables: </w:t>
      </w:r>
      <w:r>
        <w:rPr>
          <w:rFonts w:ascii="Calibri" w:hAnsi="Calibri"/>
          <w:sz w:val="21"/>
        </w:rPr>
        <w:t>Precios commodities, tipo de cambio real, PIB, inflacion, TPM, balanza comercial, desempleo</w:t>
      </w:r>
    </w:p>
    <w:p>
      <w:pPr>
        <w:spacing w:after="40"/>
        <w:ind w:left="454"/>
      </w:pPr>
      <w:r>
        <w:rPr>
          <w:rFonts w:ascii="Calibri" w:hAnsi="Calibri"/>
          <w:b/>
          <w:sz w:val="21"/>
        </w:rPr>
        <w:t xml:space="preserve">Metodologia: </w:t>
      </w:r>
      <w:r>
        <w:rPr>
          <w:rFonts w:ascii="Calibri" w:hAnsi="Calibri"/>
          <w:sz w:val="21"/>
        </w:rPr>
        <w:t>Panel VAR + DSGE con fricciones de mercado laboral</w:t>
      </w:r>
    </w:p>
    <w:p>
      <w:pPr>
        <w:spacing w:after="40"/>
        <w:ind w:left="454"/>
      </w:pPr>
      <w:r>
        <w:rPr>
          <w:rFonts w:ascii="Calibri" w:hAnsi="Calibri"/>
          <w:b/>
          <w:sz w:val="21"/>
        </w:rPr>
        <w:t xml:space="preserve">Hallazgos: </w:t>
      </w:r>
      <w:r>
        <w:rPr>
          <w:rFonts w:ascii="Calibri" w:hAnsi="Calibri"/>
          <w:sz w:val="21"/>
        </w:rPr>
        <w:t>Un shock positivo de precios del cobre genera: apreciacion real, mayor PIB, mayor inflacion, alza de TPM y mejora de balanza comercial. La respuesta de la TPM es clave: sin reaccion monetaria la inflacion es mayor y mas persistente.</w:t>
      </w:r>
    </w:p>
    <w:p>
      <w:pPr>
        <w:spacing w:after="40"/>
      </w:pPr>
    </w:p>
    <w:p>
      <w:pPr>
        <w:pStyle w:val="Heading3"/>
        <w:jc w:val="left"/>
      </w:pPr>
      <w:r>
        <w:rPr>
          <w:rFonts w:ascii="Calibri" w:hAnsi="Calibri"/>
          <w:color w:val="4472C4"/>
        </w:rPr>
        <w:t>Nadal De Simone (2024) – Transmision de politica de EE.UU. a EPAs incluyendo Chile</w:t>
      </w:r>
    </w:p>
    <w:p>
      <w:pPr>
        <w:spacing w:after="40"/>
        <w:ind w:left="454"/>
      </w:pPr>
      <w:r>
        <w:rPr>
          <w:rFonts w:ascii="Calibri" w:hAnsi="Calibri"/>
          <w:b/>
          <w:sz w:val="21"/>
        </w:rPr>
        <w:t xml:space="preserve">Referencia: </w:t>
      </w:r>
      <w:r>
        <w:rPr>
          <w:rFonts w:ascii="Calibri" w:hAnsi="Calibri"/>
          <w:sz w:val="21"/>
        </w:rPr>
        <w:t>Journal of International Money and Finance (ScienceDirect)</w:t>
      </w:r>
    </w:p>
    <w:p>
      <w:pPr>
        <w:spacing w:after="40"/>
        <w:ind w:left="454"/>
      </w:pPr>
      <w:r>
        <w:rPr>
          <w:rFonts w:ascii="Calibri" w:hAnsi="Calibri"/>
          <w:b/>
          <w:sz w:val="21"/>
        </w:rPr>
        <w:t xml:space="preserve">Paises: </w:t>
      </w:r>
      <w:r>
        <w:rPr>
          <w:rFonts w:ascii="Calibri" w:hAnsi="Calibri"/>
          <w:sz w:val="21"/>
        </w:rPr>
        <w:t>Canada, Chile, Mexico, Hungria, Noruega, Nueva Zelanda (2001Q4-2022Q2)</w:t>
      </w:r>
    </w:p>
    <w:p>
      <w:pPr>
        <w:spacing w:after="40"/>
        <w:ind w:left="454"/>
      </w:pPr>
      <w:r>
        <w:rPr>
          <w:rFonts w:ascii="Calibri" w:hAnsi="Calibri"/>
          <w:b/>
          <w:sz w:val="21"/>
        </w:rPr>
        <w:t xml:space="preserve">Variables: </w:t>
      </w:r>
      <w:r>
        <w:rPr>
          <w:rFonts w:ascii="Calibri" w:hAnsi="Calibri"/>
          <w:sz w:val="21"/>
        </w:rPr>
        <w:t>187 series: PIB, consumo, inversion, comercio, tipo de cambio nominal y real efectivo</w:t>
      </w:r>
    </w:p>
    <w:p>
      <w:pPr>
        <w:spacing w:after="40"/>
        <w:ind w:left="454"/>
      </w:pPr>
      <w:r>
        <w:rPr>
          <w:rFonts w:ascii="Calibri" w:hAnsi="Calibri"/>
          <w:b/>
          <w:sz w:val="21"/>
        </w:rPr>
        <w:t xml:space="preserve">Metodologia: </w:t>
      </w:r>
      <w:r>
        <w:rPr>
          <w:rFonts w:ascii="Calibri" w:hAnsi="Calibri"/>
          <w:sz w:val="21"/>
        </w:rPr>
        <w:t>SFAVAR (Structural Factor-Augmented VAR)</w:t>
      </w:r>
    </w:p>
    <w:p>
      <w:pPr>
        <w:spacing w:after="40"/>
        <w:ind w:left="454"/>
      </w:pPr>
      <w:r>
        <w:rPr>
          <w:rFonts w:ascii="Calibri" w:hAnsi="Calibri"/>
          <w:b/>
          <w:sz w:val="21"/>
        </w:rPr>
        <w:t xml:space="preserve">Hallazgos: </w:t>
      </w:r>
      <w:r>
        <w:rPr>
          <w:rFonts w:ascii="Calibri" w:hAnsi="Calibri"/>
          <w:sz w:val="21"/>
        </w:rPr>
        <w:t>La politica monetaria de EE.UU. se transmite a Chile principalmente via tipo de cambio y canal comercial. Chile, como EPA emergente, muestra mayor sensibilidad que las EPAs avanzadas ante shocks externos.</w:t>
      </w:r>
    </w:p>
    <w:p>
      <w:pPr>
        <w:spacing w:after="40"/>
      </w:pPr>
    </w:p>
    <w:p>
      <w:r>
        <w:br w:type="page"/>
      </w:r>
    </w:p>
    <w:p>
      <w:pPr>
        <w:pStyle w:val="Heading1"/>
        <w:jc w:val="left"/>
      </w:pPr>
      <w:r>
        <w:rPr>
          <w:rFonts w:ascii="Calibri" w:hAnsi="Calibri"/>
          <w:color w:val="003366"/>
        </w:rPr>
        <w:t>4. Borrador de Marco Teorico</w:t>
      </w:r>
    </w:p>
    <w:p>
      <w:r>
        <w:rPr>
          <w:rFonts w:ascii="Calibri" w:hAnsi="Calibri"/>
          <w:i/>
          <w:color w:val="505050"/>
          <w:sz w:val="20"/>
        </w:rPr>
        <w:t>[Borrador listo para incorporar a la investigacion. Adaptar referencias al estilo de citacion requerido (APA, Chicago, etc.)]</w:t>
      </w:r>
    </w:p>
    <w:p>
      <w:pPr>
        <w:spacing w:after="40"/>
      </w:pPr>
    </w:p>
    <w:p>
      <w:pPr>
        <w:spacing w:after="80"/>
      </w:pPr>
      <w:r>
        <w:rPr>
          <w:rFonts w:ascii="Calibri" w:hAnsi="Calibri"/>
          <w:b/>
          <w:color w:val="1F497D"/>
          <w:sz w:val="22"/>
        </w:rPr>
        <w:t>Parrafo 1 – Fundamentos teoricos de la transmision monetaria</w:t>
      </w:r>
    </w:p>
    <w:p>
      <w:pPr>
        <w:spacing w:after="200"/>
        <w:ind w:firstLine="567"/>
        <w:jc w:val="both"/>
      </w:pPr>
      <w:r>
        <w:rPr>
          <w:rFonts w:ascii="Calibri" w:hAnsi="Calibri"/>
          <w:sz w:val="22"/>
        </w:rPr>
        <w:t>La transmision de la politica monetaria refiere al conjunto de mecanismos a traves de los cuales las decisiones del banco central sobre la tasa de politica monetaria (TPM) se propagan hacia las variables macroeconomicas reales y nominales. La literatura identifica cinco canales principales: el canal de la tasa de interes, el canal del tipo de cambio, el canal del credito, el canal de expectativas y el canal del precio de activos (Mishkin, 1996; Bernanke y Gertler, 1995). En el marco Neo-Keynesiano estandar—que constituye el fundamento teorico del presente estudio— una contraccion monetaria eleva las tasas de interes reales, reduciendo la inversion y el consumo de bienes intertemporalmente sustituibles, a la vez que aprecia el tipo de cambio y comprime las exportaciones netas (Taylor, 1993; Woodford, 2003). La efectividad relativa de cada canal depende de las caracteristicas institucionales y estructurales de cada economia, lo que motiva el analisis empirico especifico para el caso chileno.</w:t>
      </w:r>
    </w:p>
    <w:p>
      <w:pPr>
        <w:spacing w:after="80"/>
      </w:pPr>
      <w:r>
        <w:rPr>
          <w:rFonts w:ascii="Calibri" w:hAnsi="Calibri"/>
          <w:b/>
          <w:color w:val="1F497D"/>
          <w:sz w:val="22"/>
        </w:rPr>
        <w:t>Parrafo 2 – Transmision en economias pequenas y abiertas</w:t>
      </w:r>
    </w:p>
    <w:p>
      <w:pPr>
        <w:spacing w:after="200"/>
        <w:ind w:firstLine="567"/>
        <w:jc w:val="both"/>
      </w:pPr>
      <w:r>
        <w:rPr>
          <w:rFonts w:ascii="Calibri" w:hAnsi="Calibri"/>
          <w:sz w:val="22"/>
        </w:rPr>
        <w:t>En el contexto de una economia pequena y abierta (EPA) como Chile, el canal del tipo de cambio adquiere una importancia central. Cushman y Zha (1997) demostraron que los modelos VAR que no incorporan explicitamente el bloque externo generan "puzzles" empiricos—respuestas de precios y tipo de cambio inconsistentes con la teoria—y propusieron el near-VAR estructural con variables externas exogenas como solucion. Esta metodologia es particularmente apropiada para Chile, cuyo ciclo economico esta fuertemente condicionado por el precio del cobre como principal variable exogena de terminos de intercambio (Naraidoo y Paez-Farrell, 2023). Beltran y Coble (2024) confirman, para el caso chileno, que un shock de politica monetaria puro genera una apreciacion inmediata del peso y efectos contractivos sobre la actividad economica, mientras que los shocks de informacion del banco central no producen necesariamente el mismo patron. A nivel regional, De Mello y Moccero (2011) documentan que Chile, junto a Brasil, muestra la respuesta mas fuerte y persistente de su TPM ante presiones inflacionarias tras la adopcion del regimen de metas de inflacion en 1999.</w:t>
      </w:r>
    </w:p>
    <w:p>
      <w:pPr>
        <w:spacing w:after="80"/>
      </w:pPr>
      <w:r>
        <w:rPr>
          <w:rFonts w:ascii="Calibri" w:hAnsi="Calibri"/>
          <w:b/>
          <w:color w:val="1F497D"/>
          <w:sz w:val="22"/>
        </w:rPr>
        <w:t>Parrafo 3 – Canal de credito y expectativas en Chile</w:t>
      </w:r>
    </w:p>
    <w:p>
      <w:pPr>
        <w:spacing w:after="200"/>
        <w:ind w:firstLine="567"/>
        <w:jc w:val="both"/>
      </w:pPr>
      <w:r>
        <w:rPr>
          <w:rFonts w:ascii="Calibri" w:hAnsi="Calibri"/>
          <w:sz w:val="22"/>
        </w:rPr>
        <w:t>Junto al canal cambiario, el canal del credito y el canal de expectativas completan el mecanismo de transmision en Chile. En la tradicion de Bernanke y Gertler (1995), el canal de credito amplifica los efectos de los cambios en la TPM a traves de las condiciones de acceso al financiamiento bancario. Arroyo Marioli, Becerra y Solorza (2022) cuantifican este mecanismo para Chile: el crecimiento del credito bancario explica en promedio 0.3 puntos porcentuales de la variacion del output gap y hasta 1.9 pp en episodios de estres, como la pandemia COVID-19. Pedersen (2018) anade que el traspaso de la TPM a las tasas activas es completo y simetrico en Chile en el corto plazo, con el riesgo crediticio como modulador de este pass-through. Por su parte, el canal de expectativas opera a traves de la credibilidad del Banco Central de Chile (Woodford, 2003): Quintero Otero (2024) demuestra asimetrias en la respuesta de las tasas bancarias a alzas y bajas de la TPM en Chile, consistentes con un banco central creible que ancla las expectativas de inflacion en torno al 3%.</w:t>
      </w:r>
    </w:p>
    <w:p>
      <w:pPr>
        <w:spacing w:after="80"/>
      </w:pPr>
      <w:r>
        <w:rPr>
          <w:rFonts w:ascii="Calibri" w:hAnsi="Calibri"/>
          <w:b/>
          <w:color w:val="1F497D"/>
          <w:sz w:val="22"/>
        </w:rPr>
        <w:t>Parrafo 4 – Los modelos VAR como herramienta empirica de referencia</w:t>
      </w:r>
    </w:p>
    <w:p>
      <w:pPr>
        <w:spacing w:after="200"/>
        <w:ind w:firstLine="567"/>
        <w:jc w:val="both"/>
      </w:pPr>
      <w:r>
        <w:rPr>
          <w:rFonts w:ascii="Calibri" w:hAnsi="Calibri"/>
          <w:sz w:val="22"/>
        </w:rPr>
        <w:t>La herramienta empirica predominante para estudiar la transmision monetaria es el modelo de Vectores Autoregresivos (VAR) en sus distintas variantes estructurales. Desde el trabajo seminal de Sims (1980), los VAR permiten capturar las dinamicas simultaneas entre variables macroeconomicas sin imponer restricciones teoricas excesivas. Las funciones impulso-respuesta (IRF) y la descomposicion de varianza (FEVD) son los instrumentos de analisis para cuantificar la magnitud y persistencia de cada canal de transmision. Ha, Kim, Kose y Prasad (2025) demuestran que incorporar expectativas forward-looking en el SVAR resuelve los puzzles clasicos de transmision en economias emergentes: ante un shock contractivo de 1 punto porcentual, el producto cae 0.9%, los precios 0.3%, el tipo de cambio se aprecia 0.6% y los precios de activos caen 2%, en linea con la teoria. Para economias que dependen de commodities como Chile, la inclusion del precio del cobre como variable exogena en el bloque externo del VAR es metodologicamente indispensable (Cushman y Zha, 1997; Nadal De Simone, 2024). Asimismo, variantes como el FAVAR (Madeira y Salazar, 2023) o el Proxy-SVAR (Beltran y Coble, 2024) permiten capturar dimensiones adicionales de la transmision—heterogeneidad sectorial e identificacion causal mas rigurosa, respectivamente.</w:t>
      </w:r>
    </w:p>
    <w:p>
      <w:pPr>
        <w:spacing w:after="80"/>
      </w:pPr>
      <w:r>
        <w:rPr>
          <w:rFonts w:ascii="Calibri" w:hAnsi="Calibri"/>
          <w:b/>
          <w:color w:val="1F497D"/>
          <w:sz w:val="22"/>
        </w:rPr>
        <w:t>Parrafo 5 – Sintesis: marco teorico para el modelo VAR de esta investigacion</w:t>
      </w:r>
    </w:p>
    <w:p>
      <w:pPr>
        <w:spacing w:after="200"/>
        <w:ind w:firstLine="567"/>
        <w:jc w:val="both"/>
      </w:pPr>
      <w:r>
        <w:rPr>
          <w:rFonts w:ascii="Calibri" w:hAnsi="Calibri"/>
          <w:sz w:val="22"/>
        </w:rPr>
        <w:t>En sintesis, el presente estudio se enmarca en la literatura de transmision monetaria para economias pequenas y abiertas, aplicada al caso chileno. El marco teorico integra: (i) el modelo Neo-Keynesiano como base para las relaciones entre TPM, inflacion y brecha del producto; (ii) el enfoque de economia abierta de Obstfeld y Rogoff (1995) para el canal cambiario; (iii) la teoria del canal de credito de Bernanke y Gertler (1995) para el sector financiero; y (iv) la literatura de expectativas de Woodford (2003) y Ha et al. (2025) para el papel de la credibilidad del banco central. La estrategia empirica sigue el enfoque de near-VAR de Cushman y Zha (1997) con un bloque externo exogeno que incluye el precio del cobre, consistent con la estructura exportadora de Chile. El modelo VAR base estimara las funciones impulso-respuesta de las cinco variables nucleares identificadas en la literatura—precio del cobre, IPC, PIB/IMACEC, TPM y tipo de cambio CLP/USD—para cuantificar la magnitud, velocidad y persistencia de los principales canales de transmision monetaria en la economia chilena.</w:t>
      </w:r>
    </w:p>
    <w:p>
      <w:r>
        <w:br w:type="page"/>
      </w:r>
    </w:p>
    <w:p>
      <w:pPr>
        <w:pStyle w:val="Heading1"/>
        <w:jc w:val="left"/>
      </w:pPr>
      <w:r>
        <w:rPr>
          <w:rFonts w:ascii="Calibri" w:hAnsi="Calibri"/>
          <w:color w:val="003366"/>
        </w:rPr>
        <w:t>5. Referencias</w:t>
      </w:r>
    </w:p>
    <w:p>
      <w:pPr>
        <w:spacing w:after="80"/>
        <w:ind w:left="454" w:hanging="454"/>
      </w:pPr>
      <w:r>
        <w:rPr>
          <w:rFonts w:ascii="Calibri" w:hAnsi="Calibri"/>
          <w:b/>
          <w:sz w:val="20"/>
        </w:rPr>
        <w:t xml:space="preserve">Arroyo Marioli, F., Becerra, J.S. &amp; Solorza, M. (2022). </w:t>
      </w:r>
      <w:r>
        <w:rPr>
          <w:rFonts w:ascii="Calibri" w:hAnsi="Calibri"/>
          <w:i/>
          <w:sz w:val="20"/>
        </w:rPr>
        <w:t xml:space="preserve">The credit channel in Chile through the lens of a semi-structural model. </w:t>
      </w:r>
      <w:r>
        <w:rPr>
          <w:rFonts w:ascii="Calibri" w:hAnsi="Calibri"/>
          <w:sz w:val="20"/>
        </w:rPr>
        <w:t xml:space="preserve">Latin American Journal of Central Banking, 3(2). </w:t>
      </w:r>
      <w:r>
        <w:rPr>
          <w:rFonts w:ascii="Calibri" w:hAnsi="Calibri"/>
          <w:color w:val="0046B4"/>
          <w:sz w:val="18"/>
        </w:rPr>
        <w:t>https://www.sciencedirect.com/science/article/pii/S2666143822000102</w:t>
      </w:r>
    </w:p>
    <w:p>
      <w:pPr>
        <w:spacing w:after="80"/>
        <w:ind w:left="454" w:hanging="454"/>
      </w:pPr>
      <w:r>
        <w:rPr>
          <w:rFonts w:ascii="Calibri" w:hAnsi="Calibri"/>
          <w:b/>
          <w:sz w:val="20"/>
        </w:rPr>
        <w:t xml:space="preserve">Beltran, F. &amp; Coble, D. (2024). </w:t>
      </w:r>
      <w:r>
        <w:rPr>
          <w:rFonts w:ascii="Calibri" w:hAnsi="Calibri"/>
          <w:i/>
          <w:sz w:val="20"/>
        </w:rPr>
        <w:t xml:space="preserve">Monetary policy surprises on the banking sector: The role of the information and pure monetary shocks. </w:t>
      </w:r>
      <w:r>
        <w:rPr>
          <w:rFonts w:ascii="Calibri" w:hAnsi="Calibri"/>
          <w:sz w:val="20"/>
        </w:rPr>
        <w:t xml:space="preserve">Latin American Journal of Central Banking, 5(3). </w:t>
      </w:r>
      <w:r>
        <w:rPr>
          <w:rFonts w:ascii="Calibri" w:hAnsi="Calibri"/>
          <w:color w:val="0046B4"/>
          <w:sz w:val="18"/>
        </w:rPr>
        <w:t>https://www.sciencedirect.com/science/article/pii/S2666143824000097</w:t>
      </w:r>
    </w:p>
    <w:p>
      <w:pPr>
        <w:spacing w:after="80"/>
        <w:ind w:left="454" w:hanging="454"/>
      </w:pPr>
      <w:r>
        <w:rPr>
          <w:rFonts w:ascii="Calibri" w:hAnsi="Calibri"/>
          <w:b/>
          <w:sz w:val="20"/>
        </w:rPr>
        <w:t xml:space="preserve">Bernanke, B.S. &amp; Gertler, M. (1995). </w:t>
      </w:r>
      <w:r>
        <w:rPr>
          <w:rFonts w:ascii="Calibri" w:hAnsi="Calibri"/>
          <w:i/>
          <w:sz w:val="20"/>
        </w:rPr>
        <w:t xml:space="preserve">Inside the Black Box: The Credit Channel of Monetary Policy Transmission. </w:t>
      </w:r>
      <w:r>
        <w:rPr>
          <w:rFonts w:ascii="Calibri" w:hAnsi="Calibri"/>
          <w:sz w:val="20"/>
        </w:rPr>
        <w:t xml:space="preserve">Journal of Economic Perspectives, 9(4), 27-48. </w:t>
      </w:r>
      <w:r>
        <w:rPr>
          <w:rFonts w:ascii="Calibri" w:hAnsi="Calibri"/>
          <w:color w:val="0046B4"/>
          <w:sz w:val="18"/>
        </w:rPr>
        <w:t>https://www.aeaweb.org/articles?id=10.1257/jep.9.4.27</w:t>
      </w:r>
    </w:p>
    <w:p>
      <w:pPr>
        <w:spacing w:after="80"/>
        <w:ind w:left="454" w:hanging="454"/>
      </w:pPr>
      <w:r>
        <w:rPr>
          <w:rFonts w:ascii="Calibri" w:hAnsi="Calibri"/>
          <w:b/>
          <w:sz w:val="20"/>
        </w:rPr>
        <w:t xml:space="preserve">Bjornland, H.C. &amp; Jacobsen, D.H. (2010). </w:t>
      </w:r>
      <w:r>
        <w:rPr>
          <w:rFonts w:ascii="Calibri" w:hAnsi="Calibri"/>
          <w:i/>
          <w:sz w:val="20"/>
        </w:rPr>
        <w:t xml:space="preserve">The role of house prices in the monetary policy transmission mechanism in small open economies. </w:t>
      </w:r>
      <w:r>
        <w:rPr>
          <w:rFonts w:ascii="Calibri" w:hAnsi="Calibri"/>
          <w:sz w:val="20"/>
        </w:rPr>
        <w:t xml:space="preserve">Journal of Financial Stability, 6(4). </w:t>
      </w:r>
      <w:r>
        <w:rPr>
          <w:rFonts w:ascii="Calibri" w:hAnsi="Calibri"/>
          <w:color w:val="0046B4"/>
          <w:sz w:val="18"/>
        </w:rPr>
        <w:t>https://www.sciencedirect.com/science/article/abs/pii/S1572308910000197</w:t>
      </w:r>
    </w:p>
    <w:p>
      <w:pPr>
        <w:spacing w:after="80"/>
        <w:ind w:left="454" w:hanging="454"/>
      </w:pPr>
      <w:r>
        <w:rPr>
          <w:rFonts w:ascii="Calibri" w:hAnsi="Calibri"/>
          <w:b/>
          <w:sz w:val="20"/>
        </w:rPr>
        <w:t xml:space="preserve">Cushman, D.O. &amp; Zha, T. (1997). </w:t>
      </w:r>
      <w:r>
        <w:rPr>
          <w:rFonts w:ascii="Calibri" w:hAnsi="Calibri"/>
          <w:i/>
          <w:sz w:val="20"/>
        </w:rPr>
        <w:t xml:space="preserve">Identifying monetary policy in a small open economy under flexible exchange rates. </w:t>
      </w:r>
      <w:r>
        <w:rPr>
          <w:rFonts w:ascii="Calibri" w:hAnsi="Calibri"/>
          <w:sz w:val="20"/>
        </w:rPr>
        <w:t xml:space="preserve">Journal of Monetary Economics, 39(3), 433-448. </w:t>
      </w:r>
      <w:r>
        <w:rPr>
          <w:rFonts w:ascii="Calibri" w:hAnsi="Calibri"/>
          <w:color w:val="0046B4"/>
          <w:sz w:val="18"/>
        </w:rPr>
        <w:t>https://www.sciencedirect.com/science/article/abs/pii/S0304393297000299</w:t>
      </w:r>
    </w:p>
    <w:p>
      <w:pPr>
        <w:spacing w:after="80"/>
        <w:ind w:left="454" w:hanging="454"/>
      </w:pPr>
      <w:r>
        <w:rPr>
          <w:rFonts w:ascii="Calibri" w:hAnsi="Calibri"/>
          <w:b/>
          <w:sz w:val="20"/>
        </w:rPr>
        <w:t xml:space="preserve">De Mello, L. &amp; Moccero, D. (2011). </w:t>
      </w:r>
      <w:r>
        <w:rPr>
          <w:rFonts w:ascii="Calibri" w:hAnsi="Calibri"/>
          <w:i/>
          <w:sz w:val="20"/>
        </w:rPr>
        <w:t xml:space="preserve">Monetary policy and macroeconomic stability in Latin America: The cases of Brazil, Chile, Colombia and Mexico. </w:t>
      </w:r>
      <w:r>
        <w:rPr>
          <w:rFonts w:ascii="Calibri" w:hAnsi="Calibri"/>
          <w:sz w:val="20"/>
        </w:rPr>
        <w:t xml:space="preserve">Journal of International Money and Finance, 30(1), 229-245. </w:t>
      </w:r>
      <w:r>
        <w:rPr>
          <w:rFonts w:ascii="Calibri" w:hAnsi="Calibri"/>
          <w:color w:val="0046B4"/>
          <w:sz w:val="18"/>
        </w:rPr>
        <w:t>https://www.sciencedirect.com/science/article/abs/pii/S0261560610001075</w:t>
      </w:r>
    </w:p>
    <w:p>
      <w:pPr>
        <w:spacing w:after="80"/>
        <w:ind w:left="454" w:hanging="454"/>
      </w:pPr>
      <w:r>
        <w:rPr>
          <w:rFonts w:ascii="Calibri" w:hAnsi="Calibri"/>
          <w:b/>
          <w:sz w:val="20"/>
        </w:rPr>
        <w:t xml:space="preserve">Diegel, M. &amp; Nautz, D. (2021). </w:t>
      </w:r>
      <w:r>
        <w:rPr>
          <w:rFonts w:ascii="Calibri" w:hAnsi="Calibri"/>
          <w:i/>
          <w:sz w:val="20"/>
        </w:rPr>
        <w:t xml:space="preserve">Long-term inflation expectations and the transmission of monetary policy shocks: Evidence from a SVAR analysis. </w:t>
      </w:r>
      <w:r>
        <w:rPr>
          <w:rFonts w:ascii="Calibri" w:hAnsi="Calibri"/>
          <w:sz w:val="20"/>
        </w:rPr>
        <w:t xml:space="preserve">Journal of Economic Dynamics and Control. </w:t>
      </w:r>
      <w:r>
        <w:rPr>
          <w:rFonts w:ascii="Calibri" w:hAnsi="Calibri"/>
          <w:color w:val="0046B4"/>
          <w:sz w:val="18"/>
        </w:rPr>
        <w:t>https://www.sciencedirect.com/science/article/abs/pii/S0165188921001275</w:t>
      </w:r>
    </w:p>
    <w:p>
      <w:pPr>
        <w:spacing w:after="80"/>
        <w:ind w:left="454" w:hanging="454"/>
      </w:pPr>
      <w:r>
        <w:rPr>
          <w:rFonts w:ascii="Calibri" w:hAnsi="Calibri"/>
          <w:b/>
          <w:sz w:val="20"/>
        </w:rPr>
        <w:t xml:space="preserve">Ginn, W. &amp; Pourroy, M. (2020). </w:t>
      </w:r>
      <w:r>
        <w:rPr>
          <w:rFonts w:ascii="Calibri" w:hAnsi="Calibri"/>
          <w:i/>
          <w:sz w:val="20"/>
        </w:rPr>
        <w:t xml:space="preserve">Should a central bank react to food inflation? Evidence from an estimated model for Chile. </w:t>
      </w:r>
      <w:r>
        <w:rPr>
          <w:rFonts w:ascii="Calibri" w:hAnsi="Calibri"/>
          <w:sz w:val="20"/>
        </w:rPr>
        <w:t xml:space="preserve">Economic Modelling, 90, 221-234. </w:t>
      </w:r>
      <w:r>
        <w:rPr>
          <w:rFonts w:ascii="Calibri" w:hAnsi="Calibri"/>
          <w:color w:val="0046B4"/>
          <w:sz w:val="18"/>
        </w:rPr>
        <w:t>https://www.sciencedirect.com/science/article/abs/pii/S0264999319318474</w:t>
      </w:r>
    </w:p>
    <w:p>
      <w:pPr>
        <w:spacing w:after="80"/>
        <w:ind w:left="454" w:hanging="454"/>
      </w:pPr>
      <w:r>
        <w:rPr>
          <w:rFonts w:ascii="Calibri" w:hAnsi="Calibri"/>
          <w:b/>
          <w:sz w:val="20"/>
        </w:rPr>
        <w:t xml:space="preserve">Ha, J., Kim, D., Kose, M.A. &amp; Prasad, E.S. (2025). </w:t>
      </w:r>
      <w:r>
        <w:rPr>
          <w:rFonts w:ascii="Calibri" w:hAnsi="Calibri"/>
          <w:i/>
          <w:sz w:val="20"/>
        </w:rPr>
        <w:t xml:space="preserve">Resolving puzzles of monetary policy transmission in emerging markets. </w:t>
      </w:r>
      <w:r>
        <w:rPr>
          <w:rFonts w:ascii="Calibri" w:hAnsi="Calibri"/>
          <w:sz w:val="20"/>
        </w:rPr>
        <w:t xml:space="preserve">European Economic Review, 173. </w:t>
      </w:r>
      <w:r>
        <w:rPr>
          <w:rFonts w:ascii="Calibri" w:hAnsi="Calibri"/>
          <w:color w:val="0046B4"/>
          <w:sz w:val="18"/>
        </w:rPr>
        <w:t>https://www.sciencedirect.com/science/article/abs/pii/S0014292125000078</w:t>
      </w:r>
    </w:p>
    <w:p>
      <w:pPr>
        <w:spacing w:after="80"/>
        <w:ind w:left="454" w:hanging="454"/>
      </w:pPr>
      <w:r>
        <w:rPr>
          <w:rFonts w:ascii="Calibri" w:hAnsi="Calibri"/>
          <w:b/>
          <w:sz w:val="20"/>
        </w:rPr>
        <w:t xml:space="preserve">Jara, A. &amp; Pina, M. (2023). </w:t>
      </w:r>
      <w:r>
        <w:rPr>
          <w:rFonts w:ascii="Calibri" w:hAnsi="Calibri"/>
          <w:i/>
          <w:sz w:val="20"/>
        </w:rPr>
        <w:t xml:space="preserve">Exchange rate volatility and the effectiveness of FX interventions: The case of Chile. </w:t>
      </w:r>
      <w:r>
        <w:rPr>
          <w:rFonts w:ascii="Calibri" w:hAnsi="Calibri"/>
          <w:sz w:val="20"/>
        </w:rPr>
        <w:t xml:space="preserve">Latin American Journal of Central Banking, 4(2). </w:t>
      </w:r>
      <w:r>
        <w:rPr>
          <w:rFonts w:ascii="Calibri" w:hAnsi="Calibri"/>
          <w:color w:val="0046B4"/>
          <w:sz w:val="18"/>
        </w:rPr>
        <w:t>https://www.sciencedirect.com/science/article/pii/S2666143823000030</w:t>
      </w:r>
    </w:p>
    <w:p>
      <w:pPr>
        <w:spacing w:after="80"/>
        <w:ind w:left="454" w:hanging="454"/>
      </w:pPr>
      <w:r>
        <w:rPr>
          <w:rFonts w:ascii="Calibri" w:hAnsi="Calibri"/>
          <w:b/>
          <w:sz w:val="20"/>
        </w:rPr>
        <w:t xml:space="preserve">Madeira, C. &amp; Salazar, L. (2023). </w:t>
      </w:r>
      <w:r>
        <w:rPr>
          <w:rFonts w:ascii="Calibri" w:hAnsi="Calibri"/>
          <w:i/>
          <w:sz w:val="20"/>
        </w:rPr>
        <w:t xml:space="preserve">The impact of monetary policy on a labor market with heterogeneous workers: The case of Chile. </w:t>
      </w:r>
      <w:r>
        <w:rPr>
          <w:rFonts w:ascii="Calibri" w:hAnsi="Calibri"/>
          <w:sz w:val="20"/>
        </w:rPr>
        <w:t xml:space="preserve">Latin American Journal of Central Banking, 4(2). </w:t>
      </w:r>
      <w:r>
        <w:rPr>
          <w:rFonts w:ascii="Calibri" w:hAnsi="Calibri"/>
          <w:color w:val="0046B4"/>
          <w:sz w:val="18"/>
        </w:rPr>
        <w:t>https://www.sciencedirect.com/science/article/pii/S2666143823000133</w:t>
      </w:r>
    </w:p>
    <w:p>
      <w:pPr>
        <w:spacing w:after="80"/>
        <w:ind w:left="454" w:hanging="454"/>
      </w:pPr>
      <w:r>
        <w:rPr>
          <w:rFonts w:ascii="Calibri" w:hAnsi="Calibri"/>
          <w:b/>
          <w:sz w:val="20"/>
        </w:rPr>
        <w:t xml:space="preserve">Mishkin, F.S. (1996). </w:t>
      </w:r>
      <w:r>
        <w:rPr>
          <w:rFonts w:ascii="Calibri" w:hAnsi="Calibri"/>
          <w:i/>
          <w:sz w:val="20"/>
        </w:rPr>
        <w:t xml:space="preserve">The channels of monetary transmission: Lessons for monetary policy. </w:t>
      </w:r>
      <w:r>
        <w:rPr>
          <w:rFonts w:ascii="Calibri" w:hAnsi="Calibri"/>
          <w:sz w:val="20"/>
        </w:rPr>
        <w:t xml:space="preserve">NBER Working Paper No. 5464. </w:t>
      </w:r>
      <w:r>
        <w:rPr>
          <w:rFonts w:ascii="Calibri" w:hAnsi="Calibri"/>
          <w:color w:val="0046B4"/>
          <w:sz w:val="18"/>
        </w:rPr>
        <w:t>https://www.nber.org/papers/w5464</w:t>
      </w:r>
    </w:p>
    <w:p>
      <w:pPr>
        <w:spacing w:after="80"/>
        <w:ind w:left="454" w:hanging="454"/>
      </w:pPr>
      <w:r>
        <w:rPr>
          <w:rFonts w:ascii="Calibri" w:hAnsi="Calibri"/>
          <w:b/>
          <w:sz w:val="20"/>
        </w:rPr>
        <w:t xml:space="preserve">Nadal De Simone, F. (2024). </w:t>
      </w:r>
      <w:r>
        <w:rPr>
          <w:rFonts w:ascii="Calibri" w:hAnsi="Calibri"/>
          <w:i/>
          <w:sz w:val="20"/>
        </w:rPr>
        <w:t xml:space="preserve">The transmission of U.S. monetary policy to small open economies. </w:t>
      </w:r>
      <w:r>
        <w:rPr>
          <w:rFonts w:ascii="Calibri" w:hAnsi="Calibri"/>
          <w:sz w:val="20"/>
        </w:rPr>
        <w:t xml:space="preserve">Journal of International Money and Finance. </w:t>
      </w:r>
      <w:r>
        <w:rPr>
          <w:rFonts w:ascii="Calibri" w:hAnsi="Calibri"/>
          <w:color w:val="0046B4"/>
          <w:sz w:val="18"/>
        </w:rPr>
        <w:t>https://www.sciencedirect.com/science/article/abs/pii/S0261560624000251</w:t>
      </w:r>
    </w:p>
    <w:p>
      <w:pPr>
        <w:spacing w:after="80"/>
        <w:ind w:left="454" w:hanging="454"/>
      </w:pPr>
      <w:r>
        <w:rPr>
          <w:rFonts w:ascii="Calibri" w:hAnsi="Calibri"/>
          <w:b/>
          <w:sz w:val="20"/>
        </w:rPr>
        <w:t xml:space="preserve">Naraidoo, R. &amp; Paez-Farrell, J. (2023). </w:t>
      </w:r>
      <w:r>
        <w:rPr>
          <w:rFonts w:ascii="Calibri" w:hAnsi="Calibri"/>
          <w:i/>
          <w:sz w:val="20"/>
        </w:rPr>
        <w:t xml:space="preserve">Commodity price shocks, labour market dynamics and monetary policy in small open economies. </w:t>
      </w:r>
      <w:r>
        <w:rPr>
          <w:rFonts w:ascii="Calibri" w:hAnsi="Calibri"/>
          <w:sz w:val="20"/>
        </w:rPr>
        <w:t xml:space="preserve">Journal of Economic Dynamics and Control, 151(C). </w:t>
      </w:r>
      <w:r>
        <w:rPr>
          <w:rFonts w:ascii="Calibri" w:hAnsi="Calibri"/>
          <w:color w:val="0046B4"/>
          <w:sz w:val="18"/>
        </w:rPr>
        <w:t>https://www.sciencedirect.com/science/article/pii/S016518892300060X</w:t>
      </w:r>
    </w:p>
    <w:p>
      <w:pPr>
        <w:spacing w:after="80"/>
        <w:ind w:left="454" w:hanging="454"/>
      </w:pPr>
      <w:r>
        <w:rPr>
          <w:rFonts w:ascii="Calibri" w:hAnsi="Calibri"/>
          <w:b/>
          <w:sz w:val="20"/>
        </w:rPr>
        <w:t xml:space="preserve">Pedersen, M. (2018). </w:t>
      </w:r>
      <w:r>
        <w:rPr>
          <w:rFonts w:ascii="Calibri" w:hAnsi="Calibri"/>
          <w:i/>
          <w:sz w:val="20"/>
        </w:rPr>
        <w:t xml:space="preserve">Credit risk and monetary pass-through - Evidence from Chile. </w:t>
      </w:r>
      <w:r>
        <w:rPr>
          <w:rFonts w:ascii="Calibri" w:hAnsi="Calibri"/>
          <w:sz w:val="20"/>
        </w:rPr>
        <w:t xml:space="preserve">Journal of Financial Stability, 36(C), 144-158. </w:t>
      </w:r>
      <w:r>
        <w:rPr>
          <w:rFonts w:ascii="Calibri" w:hAnsi="Calibri"/>
          <w:color w:val="0046B4"/>
          <w:sz w:val="18"/>
        </w:rPr>
        <w:t>https://www.sciencedirect.com/science/article/abs/pii/S1572308917301742</w:t>
      </w:r>
    </w:p>
    <w:p>
      <w:pPr>
        <w:spacing w:after="80"/>
        <w:ind w:left="454" w:hanging="454"/>
      </w:pPr>
      <w:r>
        <w:rPr>
          <w:rFonts w:ascii="Calibri" w:hAnsi="Calibri"/>
          <w:b/>
          <w:sz w:val="20"/>
        </w:rPr>
        <w:t xml:space="preserve">Quintero Otero, J.D. (2024). </w:t>
      </w:r>
      <w:r>
        <w:rPr>
          <w:rFonts w:ascii="Calibri" w:hAnsi="Calibri"/>
          <w:i/>
          <w:sz w:val="20"/>
        </w:rPr>
        <w:t xml:space="preserve">Asymmetries in the interest rate channel in inflation-targeting Latin American countries. </w:t>
      </w:r>
      <w:r>
        <w:rPr>
          <w:rFonts w:ascii="Calibri" w:hAnsi="Calibri"/>
          <w:sz w:val="20"/>
        </w:rPr>
        <w:t xml:space="preserve">Latin American Journal of Central Banking. </w:t>
      </w:r>
      <w:r>
        <w:rPr>
          <w:rFonts w:ascii="Calibri" w:hAnsi="Calibri"/>
          <w:color w:val="0046B4"/>
          <w:sz w:val="18"/>
        </w:rPr>
        <w:t>https://www.sciencedirect.com/science/article/abs/pii/S1703494924000197</w:t>
      </w:r>
    </w:p>
    <w:p>
      <w:pPr>
        <w:spacing w:after="80"/>
        <w:ind w:left="454" w:hanging="454"/>
      </w:pPr>
      <w:r>
        <w:rPr>
          <w:rFonts w:ascii="Calibri" w:hAnsi="Calibri"/>
          <w:b/>
          <w:sz w:val="20"/>
        </w:rPr>
        <w:t xml:space="preserve">Taylor, J.B. (1993). </w:t>
      </w:r>
      <w:r>
        <w:rPr>
          <w:rFonts w:ascii="Calibri" w:hAnsi="Calibri"/>
          <w:i/>
          <w:sz w:val="20"/>
        </w:rPr>
        <w:t xml:space="preserve">Discretion versus policy rules in practice. </w:t>
      </w:r>
      <w:r>
        <w:rPr>
          <w:rFonts w:ascii="Calibri" w:hAnsi="Calibri"/>
          <w:sz w:val="20"/>
        </w:rPr>
        <w:t xml:space="preserve">Carnegie-Rochester Conference Series on Public Policy, 39, 195-214. </w:t>
      </w:r>
    </w:p>
    <w:p>
      <w:pPr>
        <w:spacing w:after="80"/>
        <w:ind w:left="454" w:hanging="454"/>
      </w:pPr>
      <w:r>
        <w:rPr>
          <w:rFonts w:ascii="Calibri" w:hAnsi="Calibri"/>
          <w:b/>
          <w:sz w:val="20"/>
        </w:rPr>
        <w:t xml:space="preserve">Woodford, M. (2003). </w:t>
      </w:r>
      <w:r>
        <w:rPr>
          <w:rFonts w:ascii="Calibri" w:hAnsi="Calibri"/>
          <w:i/>
          <w:sz w:val="20"/>
        </w:rPr>
        <w:t xml:space="preserve">Interest and Prices: Foundations of a Theory of Monetary Policy. </w:t>
      </w:r>
      <w:r>
        <w:rPr>
          <w:rFonts w:ascii="Calibri" w:hAnsi="Calibri"/>
          <w:sz w:val="20"/>
        </w:rPr>
        <w:t xml:space="preserve">Princeton University Press.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