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003366"/>
        </w:rPr>
        <w:t>Revision de Literatura: Transmision de Politica Monetaria en Chile</w:t>
      </w:r>
    </w:p>
    <w:p>
      <w:pPr>
        <w:jc w:val="center"/>
      </w:pPr>
      <w:r>
        <w:rPr>
          <w:rFonts w:ascii="Calibri" w:hAnsi="Calibri"/>
          <w:b/>
          <w:color w:val="4472C4"/>
          <w:sz w:val="24"/>
        </w:rPr>
        <w:t>Variables para la Construccion de un Modelo VAR</w:t>
      </w:r>
    </w:p>
    <w:p>
      <w:pPr>
        <w:jc w:val="both"/>
      </w:pPr>
      <w:r>
        <w:rPr>
          <w:rFonts w:ascii="Calibri" w:hAnsi="Calibri"/>
          <w:color w:val="505050"/>
          <w:sz w:val="20"/>
        </w:rPr>
        <w:t>Busqueda realizada exclusivamente en ScienceDirect (sciencedirect.com). Se priorizan papers sobre mecanismos de transmision monetaria, modelos VAR aplicados a economias pequenas y abiertas, y evidencia para Chile y Latinoamerica.</w:t>
      </w:r>
    </w:p>
    <w:p/>
    <w:p>
      <w:pPr>
        <w:pStyle w:val="Heading1"/>
        <w:jc w:val="left"/>
      </w:pPr>
      <w:r>
        <w:rPr>
          <w:rFonts w:ascii="Calibri" w:hAnsi="Calibri"/>
          <w:color w:val="00467F"/>
        </w:rPr>
        <w:t>1. Papers encontrados en ScienceDirect</w:t>
      </w:r>
    </w:p>
    <w:p>
      <w:pPr>
        <w:pStyle w:val="Heading2"/>
        <w:jc w:val="left"/>
      </w:pPr>
      <w:r>
        <w:rPr>
          <w:rFonts w:ascii="Calibri" w:hAnsi="Calibri"/>
          <w:color w:val="1F497D"/>
        </w:rPr>
        <w:t>Paper 1</w:t>
      </w:r>
    </w:p>
    <w:p>
      <w:pPr>
        <w:spacing w:after="60"/>
        <w:ind w:left="454"/>
      </w:pPr>
      <w:r>
        <w:rPr>
          <w:rFonts w:ascii="Calibri" w:hAnsi="Calibri"/>
          <w:b/>
          <w:sz w:val="21"/>
        </w:rPr>
        <w:t xml:space="preserve">Titulo: </w:t>
      </w:r>
      <w:r>
        <w:rPr>
          <w:rFonts w:ascii="Calibri" w:hAnsi="Calibri"/>
          <w:sz w:val="21"/>
        </w:rPr>
        <w:t>Monetary policy surprises on the banking sector: The role of the information and pure monetary shocks</w:t>
      </w:r>
    </w:p>
    <w:p>
      <w:pPr>
        <w:spacing w:after="60"/>
        <w:ind w:left="454"/>
      </w:pPr>
      <w:r>
        <w:rPr>
          <w:rFonts w:ascii="Calibri" w:hAnsi="Calibri"/>
          <w:b/>
          <w:sz w:val="21"/>
        </w:rPr>
        <w:t xml:space="preserve">Autores: </w:t>
      </w:r>
      <w:r>
        <w:rPr>
          <w:rFonts w:ascii="Calibri" w:hAnsi="Calibri"/>
          <w:sz w:val="21"/>
        </w:rPr>
        <w:t>Felipe Beltran &amp; David Coble</w:t>
      </w:r>
    </w:p>
    <w:p>
      <w:pPr>
        <w:spacing w:after="60"/>
        <w:ind w:left="454"/>
      </w:pPr>
      <w:r>
        <w:rPr>
          <w:rFonts w:ascii="Calibri" w:hAnsi="Calibri"/>
          <w:b/>
          <w:sz w:val="21"/>
        </w:rPr>
        <w:t xml:space="preserve">Ano: </w:t>
      </w:r>
      <w:r>
        <w:rPr>
          <w:rFonts w:ascii="Calibri" w:hAnsi="Calibri"/>
          <w:sz w:val="21"/>
        </w:rPr>
        <w:t>2024</w:t>
      </w:r>
    </w:p>
    <w:p>
      <w:pPr>
        <w:spacing w:after="60"/>
        <w:ind w:left="454"/>
      </w:pPr>
      <w:r>
        <w:rPr>
          <w:rFonts w:ascii="Calibri" w:hAnsi="Calibri"/>
          <w:b/>
          <w:sz w:val="21"/>
        </w:rPr>
        <w:t xml:space="preserve">Revista: </w:t>
      </w:r>
      <w:r>
        <w:rPr>
          <w:rFonts w:ascii="Calibri" w:hAnsi="Calibri"/>
          <w:sz w:val="21"/>
        </w:rPr>
        <w:t>Latin American Journal of Central Banking, Vol. 5(3)</w:t>
      </w:r>
    </w:p>
    <w:p>
      <w:pPr>
        <w:spacing w:after="60"/>
        <w:ind w:left="454"/>
      </w:pPr>
      <w:r>
        <w:rPr>
          <w:rFonts w:ascii="Calibri" w:hAnsi="Calibri"/>
          <w:b/>
          <w:sz w:val="21"/>
        </w:rPr>
        <w:t xml:space="preserve">Metodologia: </w:t>
      </w:r>
      <w:r>
        <w:rPr>
          <w:rFonts w:ascii="Calibri" w:hAnsi="Calibri"/>
          <w:sz w:val="21"/>
        </w:rPr>
        <w:t>External VAR (VAR con instrumentos)</w:t>
      </w:r>
    </w:p>
    <w:p>
      <w:pPr>
        <w:spacing w:after="60"/>
        <w:ind w:left="454"/>
      </w:pPr>
      <w:r>
        <w:rPr>
          <w:rFonts w:ascii="Calibri" w:hAnsi="Calibri"/>
          <w:b/>
          <w:sz w:val="21"/>
        </w:rPr>
        <w:t xml:space="preserve">URL: </w:t>
      </w:r>
      <w:r>
        <w:rPr>
          <w:rFonts w:ascii="Calibri" w:hAnsi="Calibri"/>
          <w:sz w:val="21"/>
        </w:rPr>
        <w:t>https://www.sciencedirect.com/science/article/pii/S2666143824000097</w:t>
      </w:r>
    </w:p>
    <w:p>
      <w:r>
        <w:rPr>
          <w:rFonts w:ascii="Calibri" w:hAnsi="Calibri"/>
          <w:b/>
          <w:sz w:val="21"/>
        </w:rPr>
        <w:t>Variables del modelo:</w:t>
      </w:r>
    </w:p>
    <w:p>
      <w:pPr>
        <w:pStyle w:val="ListBullet"/>
        <w:spacing w:after="40"/>
        <w:ind w:left="680"/>
      </w:pPr>
      <w:r>
        <w:rPr>
          <w:rFonts w:ascii="Calibri" w:hAnsi="Calibri"/>
          <w:sz w:val="21"/>
        </w:rPr>
        <w:t>Futuros de tasa de interes (movimientos intra-dia como proxy de sorpresas de politica)</w:t>
      </w:r>
    </w:p>
    <w:p>
      <w:pPr>
        <w:pStyle w:val="ListBullet"/>
        <w:spacing w:after="40"/>
        <w:ind w:left="680"/>
      </w:pPr>
      <w:r>
        <w:rPr>
          <w:rFonts w:ascii="Calibri" w:hAnsi="Calibri"/>
          <w:sz w:val="21"/>
        </w:rPr>
        <w:t>Tipo de cambio nominal</w:t>
      </w:r>
    </w:p>
    <w:p>
      <w:pPr>
        <w:pStyle w:val="ListBullet"/>
        <w:spacing w:after="40"/>
        <w:ind w:left="680"/>
      </w:pPr>
      <w:r>
        <w:rPr>
          <w:rFonts w:ascii="Calibri" w:hAnsi="Calibri"/>
          <w:sz w:val="21"/>
        </w:rPr>
        <w:t>Indicadores de actividad economica</w:t>
      </w:r>
    </w:p>
    <w:p>
      <w:pPr>
        <w:pStyle w:val="ListBullet"/>
        <w:spacing w:after="40"/>
        <w:ind w:left="680"/>
      </w:pPr>
      <w:r>
        <w:rPr>
          <w:rFonts w:ascii="Calibri" w:hAnsi="Calibri"/>
          <w:sz w:val="21"/>
        </w:rPr>
        <w:t>Variables del sector bancario (credito, tasas activas)</w:t>
      </w:r>
    </w:p>
    <w:p>
      <w:r>
        <w:rPr>
          <w:rFonts w:ascii="Calibri" w:hAnsi="Calibri"/>
          <w:b/>
          <w:sz w:val="21"/>
        </w:rPr>
        <w:t>Principales hallazgos:</w:t>
      </w:r>
    </w:p>
    <w:p>
      <w:pPr>
        <w:ind w:left="454"/>
      </w:pPr>
      <w:r>
        <w:rPr>
          <w:rFonts w:ascii="Calibri" w:hAnsi="Calibri"/>
          <w:b w:val="0"/>
          <w:sz w:val="21"/>
        </w:rPr>
        <w:t>Separa el shock monetario "puro" del shock de informacion. Un shock monetario puro contractivo genera apreciacion del tipo de cambio nominal y efectos contractivos en la economia. El shock de informacion no produce necesariamente efectos adversos. Es el paper mas directamente aplicable a Chile con metodologia VAR moderna.</w:t>
      </w:r>
    </w:p>
    <w:p/>
    <w:p>
      <w:pPr>
        <w:pStyle w:val="Heading2"/>
        <w:jc w:val="left"/>
      </w:pPr>
      <w:r>
        <w:rPr>
          <w:rFonts w:ascii="Calibri" w:hAnsi="Calibri"/>
          <w:color w:val="1F497D"/>
        </w:rPr>
        <w:t>Paper 2</w:t>
      </w:r>
    </w:p>
    <w:p>
      <w:pPr>
        <w:spacing w:after="60"/>
        <w:ind w:left="454"/>
      </w:pPr>
      <w:r>
        <w:rPr>
          <w:rFonts w:ascii="Calibri" w:hAnsi="Calibri"/>
          <w:b/>
          <w:sz w:val="21"/>
        </w:rPr>
        <w:t xml:space="preserve">Titulo: </w:t>
      </w:r>
      <w:r>
        <w:rPr>
          <w:rFonts w:ascii="Calibri" w:hAnsi="Calibri"/>
          <w:sz w:val="21"/>
        </w:rPr>
        <w:t>The impact of monetary policy on a labor market with heterogeneous workers: The case of Chile</w:t>
      </w:r>
    </w:p>
    <w:p>
      <w:pPr>
        <w:spacing w:after="60"/>
        <w:ind w:left="454"/>
      </w:pPr>
      <w:r>
        <w:rPr>
          <w:rFonts w:ascii="Calibri" w:hAnsi="Calibri"/>
          <w:b/>
          <w:sz w:val="21"/>
        </w:rPr>
        <w:t xml:space="preserve">Autores: </w:t>
      </w:r>
      <w:r>
        <w:rPr>
          <w:rFonts w:ascii="Calibri" w:hAnsi="Calibri"/>
          <w:sz w:val="21"/>
        </w:rPr>
        <w:t>Carlos Madeira &amp; Leonardo Salazar</w:t>
      </w:r>
    </w:p>
    <w:p>
      <w:pPr>
        <w:spacing w:after="60"/>
        <w:ind w:left="454"/>
      </w:pPr>
      <w:r>
        <w:rPr>
          <w:rFonts w:ascii="Calibri" w:hAnsi="Calibri"/>
          <w:b/>
          <w:sz w:val="21"/>
        </w:rPr>
        <w:t xml:space="preserve">Ano: </w:t>
      </w:r>
      <w:r>
        <w:rPr>
          <w:rFonts w:ascii="Calibri" w:hAnsi="Calibri"/>
          <w:sz w:val="21"/>
        </w:rPr>
        <w:t>2023</w:t>
      </w:r>
    </w:p>
    <w:p>
      <w:pPr>
        <w:spacing w:after="60"/>
        <w:ind w:left="454"/>
      </w:pPr>
      <w:r>
        <w:rPr>
          <w:rFonts w:ascii="Calibri" w:hAnsi="Calibri"/>
          <w:b/>
          <w:sz w:val="21"/>
        </w:rPr>
        <w:t xml:space="preserve">Revista: </w:t>
      </w:r>
      <w:r>
        <w:rPr>
          <w:rFonts w:ascii="Calibri" w:hAnsi="Calibri"/>
          <w:sz w:val="21"/>
        </w:rPr>
        <w:t>Latin American Journal of Central Banking, Vol. 4(2)</w:t>
      </w:r>
    </w:p>
    <w:p>
      <w:pPr>
        <w:spacing w:after="60"/>
        <w:ind w:left="454"/>
      </w:pPr>
      <w:r>
        <w:rPr>
          <w:rFonts w:ascii="Calibri" w:hAnsi="Calibri"/>
          <w:b/>
          <w:sz w:val="21"/>
        </w:rPr>
        <w:t xml:space="preserve">Metodologia: </w:t>
      </w:r>
      <w:r>
        <w:rPr>
          <w:rFonts w:ascii="Calibri" w:hAnsi="Calibri"/>
          <w:sz w:val="21"/>
        </w:rPr>
        <w:t>FAVAR (Factor-Augmented VAR)</w:t>
      </w:r>
    </w:p>
    <w:p>
      <w:pPr>
        <w:spacing w:after="60"/>
        <w:ind w:left="454"/>
      </w:pPr>
      <w:r>
        <w:rPr>
          <w:rFonts w:ascii="Calibri" w:hAnsi="Calibri"/>
          <w:b/>
          <w:sz w:val="21"/>
        </w:rPr>
        <w:t xml:space="preserve">URL: </w:t>
      </w:r>
      <w:r>
        <w:rPr>
          <w:rFonts w:ascii="Calibri" w:hAnsi="Calibri"/>
          <w:sz w:val="21"/>
        </w:rPr>
        <w:t>https://www.sciencedirect.com/science/article/pii/S2666143823000133</w:t>
      </w:r>
    </w:p>
    <w:p>
      <w:r>
        <w:rPr>
          <w:rFonts w:ascii="Calibri" w:hAnsi="Calibri"/>
          <w:b/>
          <w:sz w:val="21"/>
        </w:rPr>
        <w:t>Variables del modelo:</w:t>
      </w:r>
    </w:p>
    <w:p>
      <w:pPr>
        <w:pStyle w:val="ListBullet"/>
        <w:spacing w:after="40"/>
        <w:ind w:left="680"/>
      </w:pPr>
      <w:r>
        <w:rPr>
          <w:rFonts w:ascii="Calibri" w:hAnsi="Calibri"/>
          <w:sz w:val="21"/>
        </w:rPr>
        <w:t>Tasa de politica monetaria (TPM)</w:t>
      </w:r>
    </w:p>
    <w:p>
      <w:pPr>
        <w:pStyle w:val="ListBullet"/>
        <w:spacing w:after="40"/>
        <w:ind w:left="680"/>
      </w:pPr>
      <w:r>
        <w:rPr>
          <w:rFonts w:ascii="Calibri" w:hAnsi="Calibri"/>
          <w:sz w:val="21"/>
        </w:rPr>
        <w:t>Inflacion</w:t>
      </w:r>
    </w:p>
    <w:p>
      <w:pPr>
        <w:pStyle w:val="ListBullet"/>
        <w:spacing w:after="40"/>
        <w:ind w:left="680"/>
      </w:pPr>
      <w:r>
        <w:rPr>
          <w:rFonts w:ascii="Calibri" w:hAnsi="Calibri"/>
          <w:sz w:val="21"/>
        </w:rPr>
        <w:t>Tasas de desempleo por grupo (edad, industria, quintil de ingreso)</w:t>
      </w:r>
    </w:p>
    <w:p>
      <w:pPr>
        <w:pStyle w:val="ListBullet"/>
        <w:spacing w:after="40"/>
        <w:ind w:left="680"/>
      </w:pPr>
      <w:r>
        <w:rPr>
          <w:rFonts w:ascii="Calibri" w:hAnsi="Calibri"/>
          <w:sz w:val="21"/>
        </w:rPr>
        <w:t>Salarios</w:t>
      </w:r>
    </w:p>
    <w:p>
      <w:pPr>
        <w:pStyle w:val="ListBullet"/>
        <w:spacing w:after="40"/>
        <w:ind w:left="680"/>
      </w:pPr>
      <w:r>
        <w:rPr>
          <w:rFonts w:ascii="Calibri" w:hAnsi="Calibri"/>
          <w:sz w:val="21"/>
        </w:rPr>
        <w:t>Tasa de separacion laboral (job-separation rate)</w:t>
      </w:r>
    </w:p>
    <w:p>
      <w:pPr>
        <w:pStyle w:val="ListBullet"/>
        <w:spacing w:after="40"/>
        <w:ind w:left="680"/>
      </w:pPr>
      <w:r>
        <w:rPr>
          <w:rFonts w:ascii="Calibri" w:hAnsi="Calibri"/>
          <w:sz w:val="21"/>
        </w:rPr>
        <w:t>Tasa de busqueda de empleo (job-finding rate)</w:t>
      </w:r>
    </w:p>
    <w:p>
      <w:r>
        <w:rPr>
          <w:rFonts w:ascii="Calibri" w:hAnsi="Calibri"/>
          <w:b/>
          <w:sz w:val="21"/>
        </w:rPr>
        <w:t>Principales hallazgos:</w:t>
      </w:r>
    </w:p>
    <w:p>
      <w:pPr>
        <w:ind w:left="454"/>
      </w:pPr>
      <w:r>
        <w:rPr>
          <w:rFonts w:ascii="Calibri" w:hAnsi="Calibri"/>
          <w:b w:val="0"/>
          <w:sz w:val="21"/>
        </w:rPr>
        <w:t>La inflacion esta negativamente correlacionada con el desempleo entre grupos. Tras un alza de tasa, la tasa de separacion laboral y la volatilidad salarial aumentan en la mayoria de los grupos. El mercado laboral del sector primario es el menos sensible a shocks monetarios.</w:t>
      </w:r>
    </w:p>
    <w:p/>
    <w:p>
      <w:pPr>
        <w:pStyle w:val="Heading2"/>
        <w:jc w:val="left"/>
      </w:pPr>
      <w:r>
        <w:rPr>
          <w:rFonts w:ascii="Calibri" w:hAnsi="Calibri"/>
          <w:color w:val="1F497D"/>
        </w:rPr>
        <w:t>Paper 3</w:t>
      </w:r>
    </w:p>
    <w:p>
      <w:pPr>
        <w:spacing w:after="60"/>
        <w:ind w:left="454"/>
      </w:pPr>
      <w:r>
        <w:rPr>
          <w:rFonts w:ascii="Calibri" w:hAnsi="Calibri"/>
          <w:b/>
          <w:sz w:val="21"/>
        </w:rPr>
        <w:t xml:space="preserve">Titulo: </w:t>
      </w:r>
      <w:r>
        <w:rPr>
          <w:rFonts w:ascii="Calibri" w:hAnsi="Calibri"/>
          <w:sz w:val="21"/>
        </w:rPr>
        <w:t>Monetary policy and macroeconomic stability in Latin America: The cases of Brazil, Chile, Colombia and Mexico</w:t>
      </w:r>
    </w:p>
    <w:p>
      <w:pPr>
        <w:spacing w:after="60"/>
        <w:ind w:left="454"/>
      </w:pPr>
      <w:r>
        <w:rPr>
          <w:rFonts w:ascii="Calibri" w:hAnsi="Calibri"/>
          <w:b/>
          <w:sz w:val="21"/>
        </w:rPr>
        <w:t xml:space="preserve">Autores: </w:t>
      </w:r>
      <w:r>
        <w:rPr>
          <w:rFonts w:ascii="Calibri" w:hAnsi="Calibri"/>
          <w:sz w:val="21"/>
        </w:rPr>
        <w:t>Luiz de Mello &amp; Diego Moccero</w:t>
      </w:r>
    </w:p>
    <w:p>
      <w:pPr>
        <w:spacing w:after="60"/>
        <w:ind w:left="454"/>
      </w:pPr>
      <w:r>
        <w:rPr>
          <w:rFonts w:ascii="Calibri" w:hAnsi="Calibri"/>
          <w:b/>
          <w:sz w:val="21"/>
        </w:rPr>
        <w:t xml:space="preserve">Ano: </w:t>
      </w:r>
      <w:r>
        <w:rPr>
          <w:rFonts w:ascii="Calibri" w:hAnsi="Calibri"/>
          <w:sz w:val="21"/>
        </w:rPr>
        <w:t>2011</w:t>
      </w:r>
    </w:p>
    <w:p>
      <w:pPr>
        <w:spacing w:after="60"/>
        <w:ind w:left="454"/>
      </w:pPr>
      <w:r>
        <w:rPr>
          <w:rFonts w:ascii="Calibri" w:hAnsi="Calibri"/>
          <w:b/>
          <w:sz w:val="21"/>
        </w:rPr>
        <w:t xml:space="preserve">Revista: </w:t>
      </w:r>
      <w:r>
        <w:rPr>
          <w:rFonts w:ascii="Calibri" w:hAnsi="Calibri"/>
          <w:sz w:val="21"/>
        </w:rPr>
        <w:t>Journal of International Money and Finance, Vol. 30(1), pp. 229-245</w:t>
      </w:r>
    </w:p>
    <w:p>
      <w:pPr>
        <w:spacing w:after="60"/>
        <w:ind w:left="454"/>
      </w:pPr>
      <w:r>
        <w:rPr>
          <w:rFonts w:ascii="Calibri" w:hAnsi="Calibri"/>
          <w:b/>
          <w:sz w:val="21"/>
        </w:rPr>
        <w:t xml:space="preserve">Metodologia: </w:t>
      </w:r>
      <w:r>
        <w:rPr>
          <w:rFonts w:ascii="Calibri" w:hAnsi="Calibri"/>
          <w:sz w:val="21"/>
        </w:rPr>
        <w:t>Modelo Nuevo Keynesiano estructural + VAR irrestricto</w:t>
      </w:r>
    </w:p>
    <w:p>
      <w:pPr>
        <w:spacing w:after="60"/>
        <w:ind w:left="454"/>
      </w:pPr>
      <w:r>
        <w:rPr>
          <w:rFonts w:ascii="Calibri" w:hAnsi="Calibri"/>
          <w:b/>
          <w:sz w:val="21"/>
        </w:rPr>
        <w:t xml:space="preserve">URL: </w:t>
      </w:r>
      <w:r>
        <w:rPr>
          <w:rFonts w:ascii="Calibri" w:hAnsi="Calibri"/>
          <w:sz w:val="21"/>
        </w:rPr>
        <w:t>https://www.sciencedirect.com/science/article/abs/pii/S0261560610001075</w:t>
      </w:r>
    </w:p>
    <w:p>
      <w:r>
        <w:rPr>
          <w:rFonts w:ascii="Calibri" w:hAnsi="Calibri"/>
          <w:b/>
          <w:sz w:val="21"/>
        </w:rPr>
        <w:t>Variables del modelo:</w:t>
      </w:r>
    </w:p>
    <w:p>
      <w:pPr>
        <w:pStyle w:val="ListBullet"/>
        <w:spacing w:after="40"/>
        <w:ind w:left="680"/>
      </w:pPr>
      <w:r>
        <w:rPr>
          <w:rFonts w:ascii="Calibri" w:hAnsi="Calibri"/>
          <w:sz w:val="21"/>
        </w:rPr>
        <w:t>Tasa de interes de politica monetaria</w:t>
      </w:r>
    </w:p>
    <w:p>
      <w:pPr>
        <w:pStyle w:val="ListBullet"/>
        <w:spacing w:after="40"/>
        <w:ind w:left="680"/>
      </w:pPr>
      <w:r>
        <w:rPr>
          <w:rFonts w:ascii="Calibri" w:hAnsi="Calibri"/>
          <w:sz w:val="21"/>
        </w:rPr>
        <w:t>Inflacion (esperada)</w:t>
      </w:r>
    </w:p>
    <w:p>
      <w:pPr>
        <w:pStyle w:val="ListBullet"/>
        <w:spacing w:after="40"/>
        <w:ind w:left="680"/>
      </w:pPr>
      <w:r>
        <w:rPr>
          <w:rFonts w:ascii="Calibri" w:hAnsi="Calibri"/>
          <w:sz w:val="21"/>
        </w:rPr>
        <w:t>Brecha del producto (output gap)</w:t>
      </w:r>
    </w:p>
    <w:p>
      <w:r>
        <w:rPr>
          <w:rFonts w:ascii="Calibri" w:hAnsi="Calibri"/>
          <w:b/>
          <w:sz w:val="21"/>
        </w:rPr>
        <w:t>Principales hallazgos:</w:t>
      </w:r>
    </w:p>
    <w:p>
      <w:pPr>
        <w:ind w:left="454"/>
      </w:pPr>
      <w:r>
        <w:rPr>
          <w:rFonts w:ascii="Calibri" w:hAnsi="Calibri"/>
          <w:b w:val="0"/>
          <w:sz w:val="21"/>
        </w:rPr>
        <w:t>El regimen post-1999 (metas de inflacion + tipo de cambio flexible) esta asociado con respuestas mas fuertes y persistentes de la autoridad monetaria ante cambios en la inflacion esperada en Brasil y Chile. El cambio de regimen no ha reducido la volatilidad del producto. Referencia clasica para comparar regimenes en la region.</w:t>
      </w:r>
    </w:p>
    <w:p/>
    <w:p>
      <w:pPr>
        <w:pStyle w:val="Heading2"/>
        <w:jc w:val="left"/>
      </w:pPr>
      <w:r>
        <w:rPr>
          <w:rFonts w:ascii="Calibri" w:hAnsi="Calibri"/>
          <w:color w:val="1F497D"/>
        </w:rPr>
        <w:t>Paper 4</w:t>
      </w:r>
    </w:p>
    <w:p>
      <w:pPr>
        <w:spacing w:after="60"/>
        <w:ind w:left="454"/>
      </w:pPr>
      <w:r>
        <w:rPr>
          <w:rFonts w:ascii="Calibri" w:hAnsi="Calibri"/>
          <w:b/>
          <w:sz w:val="21"/>
        </w:rPr>
        <w:t xml:space="preserve">Titulo: </w:t>
      </w:r>
      <w:r>
        <w:rPr>
          <w:rFonts w:ascii="Calibri" w:hAnsi="Calibri"/>
          <w:sz w:val="21"/>
        </w:rPr>
        <w:t>Resolving puzzles of monetary policy transmission in emerging markets</w:t>
      </w:r>
    </w:p>
    <w:p>
      <w:pPr>
        <w:spacing w:after="60"/>
        <w:ind w:left="454"/>
      </w:pPr>
      <w:r>
        <w:rPr>
          <w:rFonts w:ascii="Calibri" w:hAnsi="Calibri"/>
          <w:b/>
          <w:sz w:val="21"/>
        </w:rPr>
        <w:t xml:space="preserve">Autores: </w:t>
      </w:r>
      <w:r>
        <w:rPr>
          <w:rFonts w:ascii="Calibri" w:hAnsi="Calibri"/>
          <w:sz w:val="21"/>
        </w:rPr>
        <w:t>Jongrim Ha, Dohan Kim, M. Ayhan Kose &amp; Eswar S. Prasad</w:t>
      </w:r>
    </w:p>
    <w:p>
      <w:pPr>
        <w:spacing w:after="60"/>
        <w:ind w:left="454"/>
      </w:pPr>
      <w:r>
        <w:rPr>
          <w:rFonts w:ascii="Calibri" w:hAnsi="Calibri"/>
          <w:b/>
          <w:sz w:val="21"/>
        </w:rPr>
        <w:t xml:space="preserve">Ano: </w:t>
      </w:r>
      <w:r>
        <w:rPr>
          <w:rFonts w:ascii="Calibri" w:hAnsi="Calibri"/>
          <w:sz w:val="21"/>
        </w:rPr>
        <w:t>2025</w:t>
      </w:r>
    </w:p>
    <w:p>
      <w:pPr>
        <w:spacing w:after="60"/>
        <w:ind w:left="454"/>
      </w:pPr>
      <w:r>
        <w:rPr>
          <w:rFonts w:ascii="Calibri" w:hAnsi="Calibri"/>
          <w:b/>
          <w:sz w:val="21"/>
        </w:rPr>
        <w:t xml:space="preserve">Revista: </w:t>
      </w:r>
      <w:r>
        <w:rPr>
          <w:rFonts w:ascii="Calibri" w:hAnsi="Calibri"/>
          <w:sz w:val="21"/>
        </w:rPr>
        <w:t>European Economic Review, Vol. 173</w:t>
      </w:r>
    </w:p>
    <w:p>
      <w:pPr>
        <w:spacing w:after="60"/>
        <w:ind w:left="454"/>
      </w:pPr>
      <w:r>
        <w:rPr>
          <w:rFonts w:ascii="Calibri" w:hAnsi="Calibri"/>
          <w:b/>
          <w:sz w:val="21"/>
        </w:rPr>
        <w:t xml:space="preserve">Metodologia: </w:t>
      </w:r>
      <w:r>
        <w:rPr>
          <w:rFonts w:ascii="Calibri" w:hAnsi="Calibri"/>
          <w:sz w:val="21"/>
        </w:rPr>
        <w:t>SVAR de economia abierta con expectativas forward-looking</w:t>
      </w:r>
    </w:p>
    <w:p>
      <w:pPr>
        <w:spacing w:after="60"/>
        <w:ind w:left="454"/>
      </w:pPr>
      <w:r>
        <w:rPr>
          <w:rFonts w:ascii="Calibri" w:hAnsi="Calibri"/>
          <w:b/>
          <w:sz w:val="21"/>
        </w:rPr>
        <w:t xml:space="preserve">URL: </w:t>
      </w:r>
      <w:r>
        <w:rPr>
          <w:rFonts w:ascii="Calibri" w:hAnsi="Calibri"/>
          <w:sz w:val="21"/>
        </w:rPr>
        <w:t>https://www.sciencedirect.com/science/article/abs/pii/S0014292125000078</w:t>
      </w:r>
    </w:p>
    <w:p>
      <w:r>
        <w:rPr>
          <w:rFonts w:ascii="Calibri" w:hAnsi="Calibri"/>
          <w:b/>
          <w:sz w:val="21"/>
        </w:rPr>
        <w:t>Variables del modelo:</w:t>
      </w:r>
    </w:p>
    <w:p>
      <w:pPr>
        <w:pStyle w:val="ListBullet"/>
        <w:spacing w:after="40"/>
        <w:ind w:left="680"/>
      </w:pPr>
      <w:r>
        <w:rPr>
          <w:rFonts w:ascii="Calibri" w:hAnsi="Calibri"/>
          <w:sz w:val="21"/>
        </w:rPr>
        <w:t>Producto (output)</w:t>
      </w:r>
    </w:p>
    <w:p>
      <w:pPr>
        <w:pStyle w:val="ListBullet"/>
        <w:spacing w:after="40"/>
        <w:ind w:left="680"/>
      </w:pPr>
      <w:r>
        <w:rPr>
          <w:rFonts w:ascii="Calibri" w:hAnsi="Calibri"/>
          <w:sz w:val="21"/>
        </w:rPr>
        <w:t>Nivel de precios (IPC)</w:t>
      </w:r>
    </w:p>
    <w:p>
      <w:pPr>
        <w:pStyle w:val="ListBullet"/>
        <w:spacing w:after="40"/>
        <w:ind w:left="680"/>
      </w:pPr>
      <w:r>
        <w:rPr>
          <w:rFonts w:ascii="Calibri" w:hAnsi="Calibri"/>
          <w:sz w:val="21"/>
        </w:rPr>
        <w:t>Tasa de interes de corto plazo</w:t>
      </w:r>
    </w:p>
    <w:p>
      <w:pPr>
        <w:pStyle w:val="ListBullet"/>
        <w:spacing w:after="40"/>
        <w:ind w:left="680"/>
      </w:pPr>
      <w:r>
        <w:rPr>
          <w:rFonts w:ascii="Calibri" w:hAnsi="Calibri"/>
          <w:sz w:val="21"/>
        </w:rPr>
        <w:t>Tipo de cambio</w:t>
      </w:r>
    </w:p>
    <w:p>
      <w:pPr>
        <w:pStyle w:val="ListBullet"/>
        <w:spacing w:after="40"/>
        <w:ind w:left="680"/>
      </w:pPr>
      <w:r>
        <w:rPr>
          <w:rFonts w:ascii="Calibri" w:hAnsi="Calibri"/>
          <w:sz w:val="21"/>
        </w:rPr>
        <w:t>Precios de activos (indice bursatil)</w:t>
      </w:r>
    </w:p>
    <w:p>
      <w:pPr>
        <w:pStyle w:val="ListBullet"/>
        <w:spacing w:after="40"/>
        <w:ind w:left="680"/>
      </w:pPr>
      <w:r>
        <w:rPr>
          <w:rFonts w:ascii="Calibri" w:hAnsi="Calibri"/>
          <w:sz w:val="21"/>
        </w:rPr>
        <w:t>Expectativas de inflacion (encuestas de consumidores, empresas y profesionales)</w:t>
      </w:r>
    </w:p>
    <w:p>
      <w:r>
        <w:rPr>
          <w:rFonts w:ascii="Calibri" w:hAnsi="Calibri"/>
          <w:b/>
          <w:sz w:val="21"/>
        </w:rPr>
        <w:t>Principales hallazgos:</w:t>
      </w:r>
    </w:p>
    <w:p>
      <w:pPr>
        <w:ind w:left="454"/>
      </w:pPr>
      <w:r>
        <w:rPr>
          <w:rFonts w:ascii="Calibri" w:hAnsi="Calibri"/>
          <w:b w:val="0"/>
          <w:sz w:val="21"/>
        </w:rPr>
        <w:t>Incorporar expectativas forward-looking al SVAR estandar resuelve el "price puzzle" y el "FX puzzle" en economias emergentes. Un shock contractivo de 1 pp genera: caida del producto -0.9%, caida de precios -0.3%, alza de tasa corta +0.5-0.6 pp, apreciacion cambiaria 0.6%, caida de acciones -2%. Relevante metodologicamente para VARs en economias emergentes.</w:t>
      </w:r>
    </w:p>
    <w:p/>
    <w:p>
      <w:pPr>
        <w:pStyle w:val="Heading2"/>
        <w:jc w:val="left"/>
      </w:pPr>
      <w:r>
        <w:rPr>
          <w:rFonts w:ascii="Calibri" w:hAnsi="Calibri"/>
          <w:color w:val="1F497D"/>
        </w:rPr>
        <w:t>Paper 5</w:t>
      </w:r>
    </w:p>
    <w:p>
      <w:pPr>
        <w:spacing w:after="60"/>
        <w:ind w:left="454"/>
      </w:pPr>
      <w:r>
        <w:rPr>
          <w:rFonts w:ascii="Calibri" w:hAnsi="Calibri"/>
          <w:b/>
          <w:sz w:val="21"/>
        </w:rPr>
        <w:t xml:space="preserve">Titulo: </w:t>
      </w:r>
      <w:r>
        <w:rPr>
          <w:rFonts w:ascii="Calibri" w:hAnsi="Calibri"/>
          <w:sz w:val="21"/>
        </w:rPr>
        <w:t>Should a central bank react to food inflation? Evidence from an estimated model for Chile</w:t>
      </w:r>
    </w:p>
    <w:p>
      <w:pPr>
        <w:spacing w:after="60"/>
        <w:ind w:left="454"/>
      </w:pPr>
      <w:r>
        <w:rPr>
          <w:rFonts w:ascii="Calibri" w:hAnsi="Calibri"/>
          <w:b/>
          <w:sz w:val="21"/>
        </w:rPr>
        <w:t xml:space="preserve">Autores: </w:t>
      </w:r>
      <w:r>
        <w:rPr>
          <w:rFonts w:ascii="Calibri" w:hAnsi="Calibri"/>
          <w:sz w:val="21"/>
        </w:rPr>
        <w:t>William Ginn &amp; Marc Pourroy</w:t>
      </w:r>
    </w:p>
    <w:p>
      <w:pPr>
        <w:spacing w:after="60"/>
        <w:ind w:left="454"/>
      </w:pPr>
      <w:r>
        <w:rPr>
          <w:rFonts w:ascii="Calibri" w:hAnsi="Calibri"/>
          <w:b/>
          <w:sz w:val="21"/>
        </w:rPr>
        <w:t xml:space="preserve">Ano: </w:t>
      </w:r>
      <w:r>
        <w:rPr>
          <w:rFonts w:ascii="Calibri" w:hAnsi="Calibri"/>
          <w:sz w:val="21"/>
        </w:rPr>
        <w:t>2020</w:t>
      </w:r>
    </w:p>
    <w:p>
      <w:pPr>
        <w:spacing w:after="60"/>
        <w:ind w:left="454"/>
      </w:pPr>
      <w:r>
        <w:rPr>
          <w:rFonts w:ascii="Calibri" w:hAnsi="Calibri"/>
          <w:b/>
          <w:sz w:val="21"/>
        </w:rPr>
        <w:t xml:space="preserve">Revista: </w:t>
      </w:r>
      <w:r>
        <w:rPr>
          <w:rFonts w:ascii="Calibri" w:hAnsi="Calibri"/>
          <w:sz w:val="21"/>
        </w:rPr>
        <w:t>Economic Modelling, Vol. 90, pp. 221-234</w:t>
      </w:r>
    </w:p>
    <w:p>
      <w:pPr>
        <w:spacing w:after="60"/>
        <w:ind w:left="454"/>
      </w:pPr>
      <w:r>
        <w:rPr>
          <w:rFonts w:ascii="Calibri" w:hAnsi="Calibri"/>
          <w:b/>
          <w:sz w:val="21"/>
        </w:rPr>
        <w:t xml:space="preserve">Metodologia: </w:t>
      </w:r>
      <w:r>
        <w:rPr>
          <w:rFonts w:ascii="Calibri" w:hAnsi="Calibri"/>
          <w:sz w:val="21"/>
        </w:rPr>
        <w:t>DSGE Bayesiano, economia pequena y abierta</w:t>
      </w:r>
    </w:p>
    <w:p>
      <w:pPr>
        <w:spacing w:after="60"/>
        <w:ind w:left="454"/>
      </w:pPr>
      <w:r>
        <w:rPr>
          <w:rFonts w:ascii="Calibri" w:hAnsi="Calibri"/>
          <w:b/>
          <w:sz w:val="21"/>
        </w:rPr>
        <w:t xml:space="preserve">URL: </w:t>
      </w:r>
      <w:r>
        <w:rPr>
          <w:rFonts w:ascii="Calibri" w:hAnsi="Calibri"/>
          <w:sz w:val="21"/>
        </w:rPr>
        <w:t>https://www.sciencedirect.com/science/article/abs/pii/S0264999319318474</w:t>
      </w:r>
    </w:p>
    <w:p>
      <w:r>
        <w:rPr>
          <w:rFonts w:ascii="Calibri" w:hAnsi="Calibri"/>
          <w:b/>
          <w:sz w:val="21"/>
        </w:rPr>
        <w:t>Variables del modelo:</w:t>
      </w:r>
    </w:p>
    <w:p>
      <w:pPr>
        <w:pStyle w:val="ListBullet"/>
        <w:spacing w:after="40"/>
        <w:ind w:left="680"/>
      </w:pPr>
      <w:r>
        <w:rPr>
          <w:rFonts w:ascii="Calibri" w:hAnsi="Calibri"/>
          <w:sz w:val="21"/>
        </w:rPr>
        <w:t>Tasa de politica monetaria</w:t>
      </w:r>
    </w:p>
    <w:p>
      <w:pPr>
        <w:pStyle w:val="ListBullet"/>
        <w:spacing w:after="40"/>
        <w:ind w:left="680"/>
      </w:pPr>
      <w:r>
        <w:rPr>
          <w:rFonts w:ascii="Calibri" w:hAnsi="Calibri"/>
          <w:sz w:val="21"/>
        </w:rPr>
        <w:t>Inflacion de alimentos</w:t>
      </w:r>
    </w:p>
    <w:p>
      <w:pPr>
        <w:pStyle w:val="ListBullet"/>
        <w:spacing w:after="40"/>
        <w:ind w:left="680"/>
      </w:pPr>
      <w:r>
        <w:rPr>
          <w:rFonts w:ascii="Calibri" w:hAnsi="Calibri"/>
          <w:sz w:val="21"/>
        </w:rPr>
        <w:t>Inflacion no-alimentos / core inflation</w:t>
      </w:r>
    </w:p>
    <w:p>
      <w:pPr>
        <w:pStyle w:val="ListBullet"/>
        <w:spacing w:after="40"/>
        <w:ind w:left="680"/>
      </w:pPr>
      <w:r>
        <w:rPr>
          <w:rFonts w:ascii="Calibri" w:hAnsi="Calibri"/>
          <w:sz w:val="21"/>
        </w:rPr>
        <w:t>Producto / PIB</w:t>
      </w:r>
    </w:p>
    <w:p>
      <w:pPr>
        <w:pStyle w:val="ListBullet"/>
        <w:spacing w:after="40"/>
        <w:ind w:left="680"/>
      </w:pPr>
      <w:r>
        <w:rPr>
          <w:rFonts w:ascii="Calibri" w:hAnsi="Calibri"/>
          <w:sz w:val="21"/>
        </w:rPr>
        <w:t>Sector exportador de alimentos (economia abierta)</w:t>
      </w:r>
    </w:p>
    <w:p>
      <w:r>
        <w:rPr>
          <w:rFonts w:ascii="Calibri" w:hAnsi="Calibri"/>
          <w:b/>
          <w:sz w:val="21"/>
        </w:rPr>
        <w:t>Principales hallazgos:</w:t>
      </w:r>
    </w:p>
    <w:p>
      <w:pPr>
        <w:ind w:left="454"/>
      </w:pPr>
      <w:r>
        <w:rPr>
          <w:rFonts w:ascii="Calibri" w:hAnsi="Calibri"/>
          <w:b w:val="0"/>
          <w:sz w:val="21"/>
        </w:rPr>
        <w:t>La inflacion de alimentos jugo un rol no trivial en las acciones de politica monetaria de facto en Chile. El Banco Central aumenta la TPM en reaccion a la inflacion alimentaria. La focalizacion en inflacion headline es bienestarista. Provee las variables canonicas para un modelo de economia abierta chilena.</w:t>
      </w:r>
    </w:p>
    <w:p/>
    <w:p>
      <w:pPr>
        <w:pStyle w:val="Heading2"/>
        <w:jc w:val="left"/>
      </w:pPr>
      <w:r>
        <w:rPr>
          <w:rFonts w:ascii="Calibri" w:hAnsi="Calibri"/>
          <w:color w:val="1F497D"/>
        </w:rPr>
        <w:t>Paper 6</w:t>
      </w:r>
    </w:p>
    <w:p>
      <w:pPr>
        <w:spacing w:after="60"/>
        <w:ind w:left="454"/>
      </w:pPr>
      <w:r>
        <w:rPr>
          <w:rFonts w:ascii="Calibri" w:hAnsi="Calibri"/>
          <w:b/>
          <w:sz w:val="21"/>
        </w:rPr>
        <w:t xml:space="preserve">Titulo: </w:t>
      </w:r>
      <w:r>
        <w:rPr>
          <w:rFonts w:ascii="Calibri" w:hAnsi="Calibri"/>
          <w:sz w:val="21"/>
        </w:rPr>
        <w:t>The credit channel in Chile through the lens of a semi-structural model</w:t>
      </w:r>
    </w:p>
    <w:p>
      <w:pPr>
        <w:spacing w:after="60"/>
        <w:ind w:left="454"/>
      </w:pPr>
      <w:r>
        <w:rPr>
          <w:rFonts w:ascii="Calibri" w:hAnsi="Calibri"/>
          <w:b/>
          <w:sz w:val="21"/>
        </w:rPr>
        <w:t xml:space="preserve">Autores: </w:t>
      </w:r>
      <w:r>
        <w:rPr>
          <w:rFonts w:ascii="Calibri" w:hAnsi="Calibri"/>
          <w:sz w:val="21"/>
        </w:rPr>
        <w:t>Francisco Arroyo Marioli, Juan Sebastian Becerra &amp; Matias Solorza</w:t>
      </w:r>
    </w:p>
    <w:p>
      <w:pPr>
        <w:spacing w:after="60"/>
        <w:ind w:left="454"/>
      </w:pPr>
      <w:r>
        <w:rPr>
          <w:rFonts w:ascii="Calibri" w:hAnsi="Calibri"/>
          <w:b/>
          <w:sz w:val="21"/>
        </w:rPr>
        <w:t xml:space="preserve">Ano: </w:t>
      </w:r>
      <w:r>
        <w:rPr>
          <w:rFonts w:ascii="Calibri" w:hAnsi="Calibri"/>
          <w:sz w:val="21"/>
        </w:rPr>
        <w:t>2022</w:t>
      </w:r>
    </w:p>
    <w:p>
      <w:pPr>
        <w:spacing w:after="60"/>
        <w:ind w:left="454"/>
      </w:pPr>
      <w:r>
        <w:rPr>
          <w:rFonts w:ascii="Calibri" w:hAnsi="Calibri"/>
          <w:b/>
          <w:sz w:val="21"/>
        </w:rPr>
        <w:t xml:space="preserve">Revista: </w:t>
      </w:r>
      <w:r>
        <w:rPr>
          <w:rFonts w:ascii="Calibri" w:hAnsi="Calibri"/>
          <w:sz w:val="21"/>
        </w:rPr>
        <w:t>Latin American Journal of Central Banking, Vol. 3(2)</w:t>
      </w:r>
    </w:p>
    <w:p>
      <w:pPr>
        <w:spacing w:after="60"/>
        <w:ind w:left="454"/>
      </w:pPr>
      <w:r>
        <w:rPr>
          <w:rFonts w:ascii="Calibri" w:hAnsi="Calibri"/>
          <w:b/>
          <w:sz w:val="21"/>
        </w:rPr>
        <w:t xml:space="preserve">Metodologia: </w:t>
      </w:r>
      <w:r>
        <w:rPr>
          <w:rFonts w:ascii="Calibri" w:hAnsi="Calibri"/>
          <w:sz w:val="21"/>
        </w:rPr>
        <w:t>Modelo semi-estructural (extension del modelo MSEP del Banco Central de Chile)</w:t>
      </w:r>
    </w:p>
    <w:p>
      <w:pPr>
        <w:spacing w:after="60"/>
        <w:ind w:left="454"/>
      </w:pPr>
      <w:r>
        <w:rPr>
          <w:rFonts w:ascii="Calibri" w:hAnsi="Calibri"/>
          <w:b/>
          <w:sz w:val="21"/>
        </w:rPr>
        <w:t xml:space="preserve">URL: </w:t>
      </w:r>
      <w:r>
        <w:rPr>
          <w:rFonts w:ascii="Calibri" w:hAnsi="Calibri"/>
          <w:sz w:val="21"/>
        </w:rPr>
        <w:t>https://www.sciencedirect.com/science/article/pii/S2666143822000102</w:t>
      </w:r>
    </w:p>
    <w:p>
      <w:r>
        <w:rPr>
          <w:rFonts w:ascii="Calibri" w:hAnsi="Calibri"/>
          <w:b/>
          <w:sz w:val="21"/>
        </w:rPr>
        <w:t>Variables del modelo:</w:t>
      </w:r>
    </w:p>
    <w:p>
      <w:pPr>
        <w:pStyle w:val="ListBullet"/>
        <w:spacing w:after="40"/>
        <w:ind w:left="680"/>
      </w:pPr>
      <w:r>
        <w:rPr>
          <w:rFonts w:ascii="Calibri" w:hAnsi="Calibri"/>
          <w:sz w:val="21"/>
        </w:rPr>
        <w:t>Brecha del producto (output gap)</w:t>
      </w:r>
    </w:p>
    <w:p>
      <w:pPr>
        <w:pStyle w:val="ListBullet"/>
        <w:spacing w:after="40"/>
        <w:ind w:left="680"/>
      </w:pPr>
      <w:r>
        <w:rPr>
          <w:rFonts w:ascii="Calibri" w:hAnsi="Calibri"/>
          <w:sz w:val="21"/>
        </w:rPr>
        <w:t>Credito bancario</w:t>
      </w:r>
    </w:p>
    <w:p>
      <w:pPr>
        <w:pStyle w:val="ListBullet"/>
        <w:spacing w:after="40"/>
        <w:ind w:left="680"/>
      </w:pPr>
      <w:r>
        <w:rPr>
          <w:rFonts w:ascii="Calibri" w:hAnsi="Calibri"/>
          <w:sz w:val="21"/>
        </w:rPr>
        <w:t>Spreads de tasas de interes (spread credito-TPM)</w:t>
      </w:r>
    </w:p>
    <w:p>
      <w:pPr>
        <w:pStyle w:val="ListBullet"/>
        <w:spacing w:after="40"/>
        <w:ind w:left="680"/>
      </w:pPr>
      <w:r>
        <w:rPr>
          <w:rFonts w:ascii="Calibri" w:hAnsi="Calibri"/>
          <w:sz w:val="21"/>
        </w:rPr>
        <w:t>Provisiones por riesgo crediticio (loan-loss provisions)</w:t>
      </w:r>
    </w:p>
    <w:p>
      <w:pPr>
        <w:pStyle w:val="ListBullet"/>
        <w:spacing w:after="40"/>
        <w:ind w:left="680"/>
      </w:pPr>
      <w:r>
        <w:rPr>
          <w:rFonts w:ascii="Calibri" w:hAnsi="Calibri"/>
          <w:sz w:val="21"/>
        </w:rPr>
        <w:t>Tasa de politica monetaria (TPM)</w:t>
      </w:r>
    </w:p>
    <w:p>
      <w:r>
        <w:rPr>
          <w:rFonts w:ascii="Calibri" w:hAnsi="Calibri"/>
          <w:b/>
          <w:sz w:val="21"/>
        </w:rPr>
        <w:t>Principales hallazgos:</w:t>
      </w:r>
    </w:p>
    <w:p>
      <w:pPr>
        <w:ind w:left="454"/>
      </w:pPr>
      <w:r>
        <w:rPr>
          <w:rFonts w:ascii="Calibri" w:hAnsi="Calibri"/>
          <w:b w:val="0"/>
          <w:sz w:val="21"/>
        </w:rPr>
        <w:t>El sector bancario acelera el ciclo economico via spreads bajos y oferta de credito prociclica. El crecimiento del credito explica en promedio 0.3 pp de la variacion del output gap; en episodios de estres severo (COVID-19), este rol crece a 1.9 pp. Evidencia directa del canal de credito en Chile.</w:t>
      </w:r>
    </w:p>
    <w:p/>
    <w:p>
      <w:pPr>
        <w:pStyle w:val="Heading2"/>
        <w:jc w:val="left"/>
      </w:pPr>
      <w:r>
        <w:rPr>
          <w:rFonts w:ascii="Calibri" w:hAnsi="Calibri"/>
          <w:color w:val="1F497D"/>
        </w:rPr>
        <w:t>Paper 7</w:t>
      </w:r>
    </w:p>
    <w:p>
      <w:pPr>
        <w:spacing w:after="60"/>
        <w:ind w:left="454"/>
      </w:pPr>
      <w:r>
        <w:rPr>
          <w:rFonts w:ascii="Calibri" w:hAnsi="Calibri"/>
          <w:b/>
          <w:sz w:val="21"/>
        </w:rPr>
        <w:t xml:space="preserve">Titulo: </w:t>
      </w:r>
      <w:r>
        <w:rPr>
          <w:rFonts w:ascii="Calibri" w:hAnsi="Calibri"/>
          <w:sz w:val="21"/>
        </w:rPr>
        <w:t>Credit risk and monetary pass-through - Evidence from Chile</w:t>
      </w:r>
    </w:p>
    <w:p>
      <w:pPr>
        <w:spacing w:after="60"/>
        <w:ind w:left="454"/>
      </w:pPr>
      <w:r>
        <w:rPr>
          <w:rFonts w:ascii="Calibri" w:hAnsi="Calibri"/>
          <w:b/>
          <w:sz w:val="21"/>
        </w:rPr>
        <w:t xml:space="preserve">Autor: </w:t>
      </w:r>
      <w:r>
        <w:rPr>
          <w:rFonts w:ascii="Calibri" w:hAnsi="Calibri"/>
          <w:sz w:val="21"/>
        </w:rPr>
        <w:t>Michael Pedersen</w:t>
      </w:r>
    </w:p>
    <w:p>
      <w:pPr>
        <w:spacing w:after="60"/>
        <w:ind w:left="454"/>
      </w:pPr>
      <w:r>
        <w:rPr>
          <w:rFonts w:ascii="Calibri" w:hAnsi="Calibri"/>
          <w:b/>
          <w:sz w:val="21"/>
        </w:rPr>
        <w:t xml:space="preserve">Ano: </w:t>
      </w:r>
      <w:r>
        <w:rPr>
          <w:rFonts w:ascii="Calibri" w:hAnsi="Calibri"/>
          <w:sz w:val="21"/>
        </w:rPr>
        <w:t>2018</w:t>
      </w:r>
    </w:p>
    <w:p>
      <w:pPr>
        <w:spacing w:after="60"/>
        <w:ind w:left="454"/>
      </w:pPr>
      <w:r>
        <w:rPr>
          <w:rFonts w:ascii="Calibri" w:hAnsi="Calibri"/>
          <w:b/>
          <w:sz w:val="21"/>
        </w:rPr>
        <w:t xml:space="preserve">Revista: </w:t>
      </w:r>
      <w:r>
        <w:rPr>
          <w:rFonts w:ascii="Calibri" w:hAnsi="Calibri"/>
          <w:sz w:val="21"/>
        </w:rPr>
        <w:t>Journal of Financial Stability, Vol. 36(C), pp. 144-158</w:t>
      </w:r>
    </w:p>
    <w:p>
      <w:pPr>
        <w:spacing w:after="60"/>
        <w:ind w:left="454"/>
      </w:pPr>
      <w:r>
        <w:rPr>
          <w:rFonts w:ascii="Calibri" w:hAnsi="Calibri"/>
          <w:b/>
          <w:sz w:val="21"/>
        </w:rPr>
        <w:t xml:space="preserve">Metodologia: </w:t>
      </w:r>
      <w:r>
        <w:rPr>
          <w:rFonts w:ascii="Calibri" w:hAnsi="Calibri"/>
          <w:sz w:val="21"/>
        </w:rPr>
        <w:t>Modelo de pass-through (ARDL / series de tiempo)</w:t>
      </w:r>
    </w:p>
    <w:p>
      <w:pPr>
        <w:spacing w:after="60"/>
        <w:ind w:left="454"/>
      </w:pPr>
      <w:r>
        <w:rPr>
          <w:rFonts w:ascii="Calibri" w:hAnsi="Calibri"/>
          <w:b/>
          <w:sz w:val="21"/>
        </w:rPr>
        <w:t xml:space="preserve">URL: </w:t>
      </w:r>
      <w:r>
        <w:rPr>
          <w:rFonts w:ascii="Calibri" w:hAnsi="Calibri"/>
          <w:sz w:val="21"/>
        </w:rPr>
        <w:t>https://www.sciencedirect.com/science/article/abs/pii/S1572308917301742</w:t>
      </w:r>
    </w:p>
    <w:p>
      <w:r>
        <w:rPr>
          <w:rFonts w:ascii="Calibri" w:hAnsi="Calibri"/>
          <w:b/>
          <w:sz w:val="21"/>
        </w:rPr>
        <w:t>Variables del modelo:</w:t>
      </w:r>
    </w:p>
    <w:p>
      <w:pPr>
        <w:pStyle w:val="ListBullet"/>
        <w:spacing w:after="40"/>
        <w:ind w:left="680"/>
      </w:pPr>
      <w:r>
        <w:rPr>
          <w:rFonts w:ascii="Calibri" w:hAnsi="Calibri"/>
          <w:sz w:val="21"/>
        </w:rPr>
        <w:t>Tasa de politica monetaria (MPR/TPM)</w:t>
      </w:r>
    </w:p>
    <w:p>
      <w:pPr>
        <w:pStyle w:val="ListBullet"/>
        <w:spacing w:after="40"/>
        <w:ind w:left="680"/>
      </w:pPr>
      <w:r>
        <w:rPr>
          <w:rFonts w:ascii="Calibri" w:hAnsi="Calibri"/>
          <w:sz w:val="21"/>
        </w:rPr>
        <w:t>Tasas de prestamos bancarios a empresas</w:t>
      </w:r>
    </w:p>
    <w:p>
      <w:pPr>
        <w:pStyle w:val="ListBullet"/>
        <w:spacing w:after="40"/>
        <w:ind w:left="680"/>
      </w:pPr>
      <w:r>
        <w:rPr>
          <w:rFonts w:ascii="Calibri" w:hAnsi="Calibri"/>
          <w:sz w:val="21"/>
        </w:rPr>
        <w:t>Medidas de riesgo crediticio (momentos de orden superior de la distribucion de tasas)</w:t>
      </w:r>
    </w:p>
    <w:p>
      <w:pPr>
        <w:pStyle w:val="ListBullet"/>
        <w:spacing w:after="40"/>
        <w:ind w:left="680"/>
      </w:pPr>
      <w:r>
        <w:rPr>
          <w:rFonts w:ascii="Calibri" w:hAnsi="Calibri"/>
          <w:sz w:val="21"/>
        </w:rPr>
        <w:t>Madurez de los prestamos</w:t>
      </w:r>
    </w:p>
    <w:p>
      <w:r>
        <w:rPr>
          <w:rFonts w:ascii="Calibri" w:hAnsi="Calibri"/>
          <w:b/>
          <w:sz w:val="21"/>
        </w:rPr>
        <w:t>Principales hallazgos:</w:t>
      </w:r>
    </w:p>
    <w:p>
      <w:pPr>
        <w:ind w:left="454"/>
      </w:pPr>
      <w:r>
        <w:rPr>
          <w:rFonts w:ascii="Calibri" w:hAnsi="Calibri"/>
          <w:b w:val="0"/>
          <w:sz w:val="21"/>
        </w:rPr>
        <w:t>El pass-through de la TPM a las tasas activas es simetrico y completo en el corto plazo en Chile. Las medidas de riesgo crediticio son estadisticamente significativas. No hay evidencia de que las expectativas de cambios en la TPM afecten las tasas bancarias. Fundamental para entender el canal de credito en Chile.</w:t>
      </w:r>
    </w:p>
    <w:p/>
    <w:p>
      <w:pPr>
        <w:pStyle w:val="Heading2"/>
        <w:jc w:val="left"/>
      </w:pPr>
      <w:r>
        <w:rPr>
          <w:rFonts w:ascii="Calibri" w:hAnsi="Calibri"/>
          <w:color w:val="1F497D"/>
        </w:rPr>
        <w:t>Paper 8</w:t>
      </w:r>
    </w:p>
    <w:p>
      <w:pPr>
        <w:spacing w:after="60"/>
        <w:ind w:left="454"/>
      </w:pPr>
      <w:r>
        <w:rPr>
          <w:rFonts w:ascii="Calibri" w:hAnsi="Calibri"/>
          <w:b/>
          <w:sz w:val="21"/>
        </w:rPr>
        <w:t xml:space="preserve">Titulo: </w:t>
      </w:r>
      <w:r>
        <w:rPr>
          <w:rFonts w:ascii="Calibri" w:hAnsi="Calibri"/>
          <w:sz w:val="21"/>
        </w:rPr>
        <w:t>Asymmetries in the interest rate channel in inflation-targeting Latin American countries</w:t>
      </w:r>
    </w:p>
    <w:p>
      <w:pPr>
        <w:spacing w:after="60"/>
        <w:ind w:left="454"/>
      </w:pPr>
      <w:r>
        <w:rPr>
          <w:rFonts w:ascii="Calibri" w:hAnsi="Calibri"/>
          <w:b/>
          <w:sz w:val="21"/>
        </w:rPr>
        <w:t xml:space="preserve">Autor: </w:t>
      </w:r>
      <w:r>
        <w:rPr>
          <w:rFonts w:ascii="Calibri" w:hAnsi="Calibri"/>
          <w:sz w:val="21"/>
        </w:rPr>
        <w:t>Jorge David Quintero Otero</w:t>
      </w:r>
    </w:p>
    <w:p>
      <w:pPr>
        <w:spacing w:after="60"/>
        <w:ind w:left="454"/>
      </w:pPr>
      <w:r>
        <w:rPr>
          <w:rFonts w:ascii="Calibri" w:hAnsi="Calibri"/>
          <w:b/>
          <w:sz w:val="21"/>
        </w:rPr>
        <w:t xml:space="preserve">Ano: </w:t>
      </w:r>
      <w:r>
        <w:rPr>
          <w:rFonts w:ascii="Calibri" w:hAnsi="Calibri"/>
          <w:sz w:val="21"/>
        </w:rPr>
        <w:t>2024</w:t>
      </w:r>
    </w:p>
    <w:p>
      <w:pPr>
        <w:spacing w:after="60"/>
        <w:ind w:left="454"/>
      </w:pPr>
      <w:r>
        <w:rPr>
          <w:rFonts w:ascii="Calibri" w:hAnsi="Calibri"/>
          <w:b/>
          <w:sz w:val="21"/>
        </w:rPr>
        <w:t xml:space="preserve">Paises: </w:t>
      </w:r>
      <w:r>
        <w:rPr>
          <w:rFonts w:ascii="Calibri" w:hAnsi="Calibri"/>
          <w:sz w:val="21"/>
        </w:rPr>
        <w:t>Brasil, Chile, Colombia, Peru</w:t>
      </w:r>
    </w:p>
    <w:p>
      <w:pPr>
        <w:spacing w:after="60"/>
        <w:ind w:left="454"/>
      </w:pPr>
      <w:r>
        <w:rPr>
          <w:rFonts w:ascii="Calibri" w:hAnsi="Calibri"/>
          <w:b/>
          <w:sz w:val="21"/>
        </w:rPr>
        <w:t xml:space="preserve">Metodologia: </w:t>
      </w:r>
      <w:r>
        <w:rPr>
          <w:rFonts w:ascii="Calibri" w:hAnsi="Calibri"/>
          <w:sz w:val="21"/>
        </w:rPr>
        <w:t>NARDL (Nonlinear Autoregressive Distributed Lag)</w:t>
      </w:r>
    </w:p>
    <w:p>
      <w:pPr>
        <w:spacing w:after="60"/>
        <w:ind w:left="454"/>
      </w:pPr>
      <w:r>
        <w:rPr>
          <w:rFonts w:ascii="Calibri" w:hAnsi="Calibri"/>
          <w:b/>
          <w:sz w:val="21"/>
        </w:rPr>
        <w:t xml:space="preserve">URL: </w:t>
      </w:r>
      <w:r>
        <w:rPr>
          <w:rFonts w:ascii="Calibri" w:hAnsi="Calibri"/>
          <w:sz w:val="21"/>
        </w:rPr>
        <w:t>https://www.sciencedirect.com/science/article/abs/pii/S1703494924000197</w:t>
      </w:r>
    </w:p>
    <w:p>
      <w:r>
        <w:rPr>
          <w:rFonts w:ascii="Calibri" w:hAnsi="Calibri"/>
          <w:b/>
          <w:sz w:val="21"/>
        </w:rPr>
        <w:t>Variables del modelo:</w:t>
      </w:r>
    </w:p>
    <w:p>
      <w:pPr>
        <w:pStyle w:val="ListBullet"/>
        <w:spacing w:after="40"/>
        <w:ind w:left="680"/>
      </w:pPr>
      <w:r>
        <w:rPr>
          <w:rFonts w:ascii="Calibri" w:hAnsi="Calibri"/>
          <w:sz w:val="21"/>
        </w:rPr>
        <w:t>Tasa de politica monetaria (MPR)</w:t>
      </w:r>
    </w:p>
    <w:p>
      <w:pPr>
        <w:pStyle w:val="ListBullet"/>
        <w:spacing w:after="40"/>
        <w:ind w:left="680"/>
      </w:pPr>
      <w:r>
        <w:rPr>
          <w:rFonts w:ascii="Calibri" w:hAnsi="Calibri"/>
          <w:sz w:val="21"/>
        </w:rPr>
        <w:t>Tasas de interes de prestamos al consumo</w:t>
      </w:r>
    </w:p>
    <w:p>
      <w:pPr>
        <w:pStyle w:val="ListBullet"/>
        <w:spacing w:after="40"/>
        <w:ind w:left="680"/>
      </w:pPr>
      <w:r>
        <w:rPr>
          <w:rFonts w:ascii="Calibri" w:hAnsi="Calibri"/>
          <w:sz w:val="21"/>
        </w:rPr>
        <w:t>Tasas de interes de prestamos comerciales</w:t>
      </w:r>
    </w:p>
    <w:p>
      <w:r>
        <w:rPr>
          <w:rFonts w:ascii="Calibri" w:hAnsi="Calibri"/>
          <w:b/>
          <w:sz w:val="21"/>
        </w:rPr>
        <w:t>Principales hallazgos:</w:t>
      </w:r>
    </w:p>
    <w:p>
      <w:pPr>
        <w:ind w:left="454"/>
      </w:pPr>
      <w:r>
        <w:rPr>
          <w:rFonts w:ascii="Calibri" w:hAnsi="Calibri"/>
          <w:b w:val="0"/>
          <w:sz w:val="21"/>
        </w:rPr>
        <w:t>En Chile, Colombia y Peru, los bancos responden mas ante alzas que ante bajas de la TPM (asimetria positiva). La respuesta de largo plazo de la tasa al consumo es mayor que la comercial. Evidencia de asimetria en el canal de tasa de interes, relevante para calibrar el mecanismo de transmision en el VAR.</w:t>
      </w:r>
    </w:p>
    <w:p/>
    <w:p>
      <w:pPr>
        <w:pStyle w:val="Heading2"/>
        <w:jc w:val="left"/>
      </w:pPr>
      <w:r>
        <w:rPr>
          <w:rFonts w:ascii="Calibri" w:hAnsi="Calibri"/>
          <w:color w:val="1F497D"/>
        </w:rPr>
        <w:t>Paper 9</w:t>
      </w:r>
    </w:p>
    <w:p>
      <w:pPr>
        <w:spacing w:after="60"/>
        <w:ind w:left="454"/>
      </w:pPr>
      <w:r>
        <w:rPr>
          <w:rFonts w:ascii="Calibri" w:hAnsi="Calibri"/>
          <w:b/>
          <w:sz w:val="21"/>
        </w:rPr>
        <w:t xml:space="preserve">Titulo: </w:t>
      </w:r>
      <w:r>
        <w:rPr>
          <w:rFonts w:ascii="Calibri" w:hAnsi="Calibri"/>
          <w:sz w:val="21"/>
        </w:rPr>
        <w:t>Exchange rate volatility and the effectiveness of FX interventions: The case of Chile</w:t>
      </w:r>
    </w:p>
    <w:p>
      <w:pPr>
        <w:spacing w:after="60"/>
        <w:ind w:left="454"/>
      </w:pPr>
      <w:r>
        <w:rPr>
          <w:rFonts w:ascii="Calibri" w:hAnsi="Calibri"/>
          <w:b/>
          <w:sz w:val="21"/>
        </w:rPr>
        <w:t xml:space="preserve">Autores: </w:t>
      </w:r>
      <w:r>
        <w:rPr>
          <w:rFonts w:ascii="Calibri" w:hAnsi="Calibri"/>
          <w:sz w:val="21"/>
        </w:rPr>
        <w:t>Alejandro Jara &amp; Marco Pina</w:t>
      </w:r>
    </w:p>
    <w:p>
      <w:pPr>
        <w:spacing w:after="60"/>
        <w:ind w:left="454"/>
      </w:pPr>
      <w:r>
        <w:rPr>
          <w:rFonts w:ascii="Calibri" w:hAnsi="Calibri"/>
          <w:b/>
          <w:sz w:val="21"/>
        </w:rPr>
        <w:t xml:space="preserve">Ano: </w:t>
      </w:r>
      <w:r>
        <w:rPr>
          <w:rFonts w:ascii="Calibri" w:hAnsi="Calibri"/>
          <w:sz w:val="21"/>
        </w:rPr>
        <w:t>2023</w:t>
      </w:r>
    </w:p>
    <w:p>
      <w:pPr>
        <w:spacing w:after="60"/>
        <w:ind w:left="454"/>
      </w:pPr>
      <w:r>
        <w:rPr>
          <w:rFonts w:ascii="Calibri" w:hAnsi="Calibri"/>
          <w:b/>
          <w:sz w:val="21"/>
        </w:rPr>
        <w:t xml:space="preserve">Revista: </w:t>
      </w:r>
      <w:r>
        <w:rPr>
          <w:rFonts w:ascii="Calibri" w:hAnsi="Calibri"/>
          <w:sz w:val="21"/>
        </w:rPr>
        <w:t>Latin American Journal of Central Banking, Vol. 4(2)</w:t>
      </w:r>
    </w:p>
    <w:p>
      <w:pPr>
        <w:spacing w:after="60"/>
        <w:ind w:left="454"/>
      </w:pPr>
      <w:r>
        <w:rPr>
          <w:rFonts w:ascii="Calibri" w:hAnsi="Calibri"/>
          <w:b/>
          <w:sz w:val="21"/>
        </w:rPr>
        <w:t xml:space="preserve">Metodologia: </w:t>
      </w:r>
      <w:r>
        <w:rPr>
          <w:rFonts w:ascii="Calibri" w:hAnsi="Calibri"/>
          <w:sz w:val="21"/>
        </w:rPr>
        <w:t>GARCH(1,1) + Markov-Switching + VAR</w:t>
      </w:r>
    </w:p>
    <w:p>
      <w:pPr>
        <w:spacing w:after="60"/>
        <w:ind w:left="454"/>
      </w:pPr>
      <w:r>
        <w:rPr>
          <w:rFonts w:ascii="Calibri" w:hAnsi="Calibri"/>
          <w:b/>
          <w:sz w:val="21"/>
        </w:rPr>
        <w:t xml:space="preserve">URL: </w:t>
      </w:r>
      <w:r>
        <w:rPr>
          <w:rFonts w:ascii="Calibri" w:hAnsi="Calibri"/>
          <w:sz w:val="21"/>
        </w:rPr>
        <w:t>https://www.sciencedirect.com/science/article/pii/S2666143823000030</w:t>
      </w:r>
    </w:p>
    <w:p>
      <w:r>
        <w:rPr>
          <w:rFonts w:ascii="Calibri" w:hAnsi="Calibri"/>
          <w:b/>
          <w:sz w:val="21"/>
        </w:rPr>
        <w:t>Variables del modelo:</w:t>
      </w:r>
    </w:p>
    <w:p>
      <w:pPr>
        <w:pStyle w:val="ListBullet"/>
        <w:spacing w:after="40"/>
        <w:ind w:left="680"/>
      </w:pPr>
      <w:r>
        <w:rPr>
          <w:rFonts w:ascii="Calibri" w:hAnsi="Calibri"/>
          <w:sz w:val="21"/>
        </w:rPr>
        <w:t>Retorno diario del tipo de cambio (CLP/USD)</w:t>
      </w:r>
    </w:p>
    <w:p>
      <w:pPr>
        <w:pStyle w:val="ListBullet"/>
        <w:spacing w:after="40"/>
        <w:ind w:left="680"/>
      </w:pPr>
      <w:r>
        <w:rPr>
          <w:rFonts w:ascii="Calibri" w:hAnsi="Calibri"/>
          <w:sz w:val="21"/>
        </w:rPr>
        <w:t>Volatilidad del tipo de cambio</w:t>
      </w:r>
    </w:p>
    <w:p>
      <w:pPr>
        <w:pStyle w:val="ListBullet"/>
        <w:spacing w:after="40"/>
        <w:ind w:left="680"/>
      </w:pPr>
      <w:r>
        <w:rPr>
          <w:rFonts w:ascii="Calibri" w:hAnsi="Calibri"/>
          <w:sz w:val="21"/>
        </w:rPr>
        <w:t>Intervenciones cambiarias (monto y frecuencia)</w:t>
      </w:r>
    </w:p>
    <w:p>
      <w:pPr>
        <w:pStyle w:val="ListBullet"/>
        <w:spacing w:after="40"/>
        <w:ind w:left="680"/>
      </w:pPr>
      <w:r>
        <w:rPr>
          <w:rFonts w:ascii="Calibri" w:hAnsi="Calibri"/>
          <w:sz w:val="21"/>
        </w:rPr>
        <w:t>Factores financieros internos y externos</w:t>
      </w:r>
    </w:p>
    <w:p>
      <w:r>
        <w:rPr>
          <w:rFonts w:ascii="Calibri" w:hAnsi="Calibri"/>
          <w:b/>
          <w:sz w:val="21"/>
        </w:rPr>
        <w:t>Principales hallazgos:</w:t>
      </w:r>
    </w:p>
    <w:p>
      <w:pPr>
        <w:ind w:left="454"/>
      </w:pPr>
      <w:r>
        <w:rPr>
          <w:rFonts w:ascii="Calibri" w:hAnsi="Calibri"/>
          <w:b w:val="0"/>
          <w:sz w:val="21"/>
        </w:rPr>
        <w:t>Las intervenciones cambiarias de Chile ocurren durante periodos de alta volatilidad correlacionados con factores financieros domesticos y externos. La intervencion de 2019 redujo efectivamente la volatilidad del tipo de cambio y la probabilidad de estar en un estado de alta volatilidad. Evidencia sobre el canal cambiario en Chile.</w:t>
      </w:r>
    </w:p>
    <w:p/>
    <w:p>
      <w:pPr>
        <w:pStyle w:val="Heading2"/>
        <w:jc w:val="left"/>
      </w:pPr>
      <w:r>
        <w:rPr>
          <w:rFonts w:ascii="Calibri" w:hAnsi="Calibri"/>
          <w:color w:val="1F497D"/>
        </w:rPr>
        <w:t>Paper 10</w:t>
      </w:r>
    </w:p>
    <w:p>
      <w:pPr>
        <w:spacing w:after="60"/>
        <w:ind w:left="454"/>
      </w:pPr>
      <w:r>
        <w:rPr>
          <w:rFonts w:ascii="Calibri" w:hAnsi="Calibri"/>
          <w:b/>
          <w:sz w:val="21"/>
        </w:rPr>
        <w:t xml:space="preserve">Titulo: </w:t>
      </w:r>
      <w:r>
        <w:rPr>
          <w:rFonts w:ascii="Calibri" w:hAnsi="Calibri"/>
          <w:sz w:val="21"/>
        </w:rPr>
        <w:t>The transmission of U.S. monetary policy to small open economies</w:t>
      </w:r>
    </w:p>
    <w:p>
      <w:pPr>
        <w:spacing w:after="60"/>
        <w:ind w:left="454"/>
      </w:pPr>
      <w:r>
        <w:rPr>
          <w:rFonts w:ascii="Calibri" w:hAnsi="Calibri"/>
          <w:b/>
          <w:sz w:val="21"/>
        </w:rPr>
        <w:t xml:space="preserve">Autor: </w:t>
      </w:r>
      <w:r>
        <w:rPr>
          <w:rFonts w:ascii="Calibri" w:hAnsi="Calibri"/>
          <w:sz w:val="21"/>
        </w:rPr>
        <w:t>Francisco Nadal De Simone</w:t>
      </w:r>
    </w:p>
    <w:p>
      <w:pPr>
        <w:spacing w:after="60"/>
        <w:ind w:left="454"/>
      </w:pPr>
      <w:r>
        <w:rPr>
          <w:rFonts w:ascii="Calibri" w:hAnsi="Calibri"/>
          <w:b/>
          <w:sz w:val="21"/>
        </w:rPr>
        <w:t xml:space="preserve">Ano: </w:t>
      </w:r>
      <w:r>
        <w:rPr>
          <w:rFonts w:ascii="Calibri" w:hAnsi="Calibri"/>
          <w:sz w:val="21"/>
        </w:rPr>
        <w:t>2024</w:t>
      </w:r>
    </w:p>
    <w:p>
      <w:pPr>
        <w:spacing w:after="60"/>
        <w:ind w:left="454"/>
      </w:pPr>
      <w:r>
        <w:rPr>
          <w:rFonts w:ascii="Calibri" w:hAnsi="Calibri"/>
          <w:b/>
          <w:sz w:val="21"/>
        </w:rPr>
        <w:t xml:space="preserve">Revista: </w:t>
      </w:r>
      <w:r>
        <w:rPr>
          <w:rFonts w:ascii="Calibri" w:hAnsi="Calibri"/>
          <w:sz w:val="21"/>
        </w:rPr>
        <w:t>Journal of International Money and Finance</w:t>
      </w:r>
    </w:p>
    <w:p>
      <w:pPr>
        <w:spacing w:after="60"/>
        <w:ind w:left="454"/>
      </w:pPr>
      <w:r>
        <w:rPr>
          <w:rFonts w:ascii="Calibri" w:hAnsi="Calibri"/>
          <w:b/>
          <w:sz w:val="21"/>
        </w:rPr>
        <w:t xml:space="preserve">Paises: </w:t>
      </w:r>
      <w:r>
        <w:rPr>
          <w:rFonts w:ascii="Calibri" w:hAnsi="Calibri"/>
          <w:sz w:val="21"/>
        </w:rPr>
        <w:t>Canada, Hungria, Nueva Zelanda, Noruega, Chile, Mexico (entre otros)</w:t>
      </w:r>
    </w:p>
    <w:p>
      <w:pPr>
        <w:spacing w:after="60"/>
        <w:ind w:left="454"/>
      </w:pPr>
      <w:r>
        <w:rPr>
          <w:rFonts w:ascii="Calibri" w:hAnsi="Calibri"/>
          <w:b/>
          <w:sz w:val="21"/>
        </w:rPr>
        <w:t xml:space="preserve">Datos: </w:t>
      </w:r>
      <w:r>
        <w:rPr>
          <w:rFonts w:ascii="Calibri" w:hAnsi="Calibri"/>
          <w:sz w:val="21"/>
        </w:rPr>
        <w:t>187 series de tiempo, periodo 2001Q4-2022Q2</w:t>
      </w:r>
    </w:p>
    <w:p>
      <w:pPr>
        <w:spacing w:after="60"/>
        <w:ind w:left="454"/>
      </w:pPr>
      <w:r>
        <w:rPr>
          <w:rFonts w:ascii="Calibri" w:hAnsi="Calibri"/>
          <w:b/>
          <w:sz w:val="21"/>
        </w:rPr>
        <w:t xml:space="preserve">Metodologia: </w:t>
      </w:r>
      <w:r>
        <w:rPr>
          <w:rFonts w:ascii="Calibri" w:hAnsi="Calibri"/>
          <w:sz w:val="21"/>
        </w:rPr>
        <w:t>SFAVAR (Structural Factor-Augmented VAR)</w:t>
      </w:r>
    </w:p>
    <w:p>
      <w:pPr>
        <w:spacing w:after="60"/>
        <w:ind w:left="454"/>
      </w:pPr>
      <w:r>
        <w:rPr>
          <w:rFonts w:ascii="Calibri" w:hAnsi="Calibri"/>
          <w:b/>
          <w:sz w:val="21"/>
        </w:rPr>
        <w:t xml:space="preserve">URL: </w:t>
      </w:r>
      <w:r>
        <w:rPr>
          <w:rFonts w:ascii="Calibri" w:hAnsi="Calibri"/>
          <w:sz w:val="21"/>
        </w:rPr>
        <w:t>https://www.sciencedirect.com/science/article/abs/pii/S0261560624000251</w:t>
      </w:r>
    </w:p>
    <w:p>
      <w:r>
        <w:rPr>
          <w:rFonts w:ascii="Calibri" w:hAnsi="Calibri"/>
          <w:b/>
          <w:sz w:val="21"/>
        </w:rPr>
        <w:t>Variables del modelo:</w:t>
      </w:r>
    </w:p>
    <w:p>
      <w:pPr>
        <w:pStyle w:val="ListBullet"/>
        <w:spacing w:after="40"/>
        <w:ind w:left="680"/>
      </w:pPr>
      <w:r>
        <w:rPr>
          <w:rFonts w:ascii="Calibri" w:hAnsi="Calibri"/>
          <w:sz w:val="21"/>
        </w:rPr>
        <w:t>PIB real, consumo, inversion</w:t>
      </w:r>
    </w:p>
    <w:p>
      <w:pPr>
        <w:pStyle w:val="ListBullet"/>
        <w:spacing w:after="40"/>
        <w:ind w:left="680"/>
      </w:pPr>
      <w:r>
        <w:rPr>
          <w:rFonts w:ascii="Calibri" w:hAnsi="Calibri"/>
          <w:sz w:val="21"/>
        </w:rPr>
        <w:t>Comercio de bienes y servicios</w:t>
      </w:r>
    </w:p>
    <w:p>
      <w:pPr>
        <w:pStyle w:val="ListBullet"/>
        <w:spacing w:after="40"/>
        <w:ind w:left="680"/>
      </w:pPr>
      <w:r>
        <w:rPr>
          <w:rFonts w:ascii="Calibri" w:hAnsi="Calibri"/>
          <w:sz w:val="21"/>
        </w:rPr>
        <w:t>Tipo de cambio nominal y real efectivo</w:t>
      </w:r>
    </w:p>
    <w:p>
      <w:pPr>
        <w:pStyle w:val="ListBullet"/>
        <w:spacing w:after="40"/>
        <w:ind w:left="680"/>
      </w:pPr>
      <w:r>
        <w:rPr>
          <w:rFonts w:ascii="Calibri" w:hAnsi="Calibri"/>
          <w:sz w:val="21"/>
        </w:rPr>
        <w:t>Tasas de interes domesticas</w:t>
      </w:r>
    </w:p>
    <w:p>
      <w:pPr>
        <w:pStyle w:val="ListBullet"/>
        <w:spacing w:after="40"/>
        <w:ind w:left="680"/>
      </w:pPr>
      <w:r>
        <w:rPr>
          <w:rFonts w:ascii="Calibri" w:hAnsi="Calibri"/>
          <w:sz w:val="21"/>
        </w:rPr>
        <w:t>Variables financieras (187 series en total)</w:t>
      </w:r>
    </w:p>
    <w:p>
      <w:r>
        <w:rPr>
          <w:rFonts w:ascii="Calibri" w:hAnsi="Calibri"/>
          <w:b/>
          <w:sz w:val="21"/>
        </w:rPr>
        <w:t>Principales hallazgos:</w:t>
      </w:r>
    </w:p>
    <w:p>
      <w:pPr>
        <w:ind w:left="454"/>
      </w:pPr>
      <w:r>
        <w:rPr>
          <w:rFonts w:ascii="Calibri" w:hAnsi="Calibri"/>
          <w:b w:val="0"/>
          <w:sz w:val="21"/>
        </w:rPr>
        <w:t>La politica monetaria de EE.UU. se transmite a pequenas economias abiertas principalmente a traves del tipo de cambio y el canal comercial. Chile esta explicitamente incluido como economia emergente de la muestra. Metodologicamente relevante para VARs de economias pequenas y abiertas.</w:t>
      </w:r>
    </w:p>
    <w:p/>
    <w:p>
      <w:pPr>
        <w:pStyle w:val="Heading2"/>
        <w:jc w:val="left"/>
      </w:pPr>
      <w:r>
        <w:rPr>
          <w:rFonts w:ascii="Calibri" w:hAnsi="Calibri"/>
          <w:color w:val="1F497D"/>
        </w:rPr>
        <w:t>Paper 11</w:t>
      </w:r>
    </w:p>
    <w:p>
      <w:pPr>
        <w:spacing w:after="60"/>
        <w:ind w:left="454"/>
      </w:pPr>
      <w:r>
        <w:rPr>
          <w:rFonts w:ascii="Calibri" w:hAnsi="Calibri"/>
          <w:b/>
          <w:sz w:val="21"/>
        </w:rPr>
        <w:t xml:space="preserve">Titulo: </w:t>
      </w:r>
      <w:r>
        <w:rPr>
          <w:rFonts w:ascii="Calibri" w:hAnsi="Calibri"/>
          <w:sz w:val="21"/>
        </w:rPr>
        <w:t>Commodity price shocks, labour market dynamics and monetary policy in small open economies</w:t>
      </w:r>
    </w:p>
    <w:p>
      <w:pPr>
        <w:spacing w:after="60"/>
        <w:ind w:left="454"/>
      </w:pPr>
      <w:r>
        <w:rPr>
          <w:rFonts w:ascii="Calibri" w:hAnsi="Calibri"/>
          <w:b/>
          <w:sz w:val="21"/>
        </w:rPr>
        <w:t xml:space="preserve">Autores: </w:t>
      </w:r>
      <w:r>
        <w:rPr>
          <w:rFonts w:ascii="Calibri" w:hAnsi="Calibri"/>
          <w:sz w:val="21"/>
        </w:rPr>
        <w:t>Ruthira Naraidoo &amp; Juan Paez-Farrell</w:t>
      </w:r>
    </w:p>
    <w:p>
      <w:pPr>
        <w:spacing w:after="60"/>
        <w:ind w:left="454"/>
      </w:pPr>
      <w:r>
        <w:rPr>
          <w:rFonts w:ascii="Calibri" w:hAnsi="Calibri"/>
          <w:b/>
          <w:sz w:val="21"/>
        </w:rPr>
        <w:t xml:space="preserve">Ano: </w:t>
      </w:r>
      <w:r>
        <w:rPr>
          <w:rFonts w:ascii="Calibri" w:hAnsi="Calibri"/>
          <w:sz w:val="21"/>
        </w:rPr>
        <w:t>2023</w:t>
      </w:r>
    </w:p>
    <w:p>
      <w:pPr>
        <w:spacing w:after="60"/>
        <w:ind w:left="454"/>
      </w:pPr>
      <w:r>
        <w:rPr>
          <w:rFonts w:ascii="Calibri" w:hAnsi="Calibri"/>
          <w:b/>
          <w:sz w:val="21"/>
        </w:rPr>
        <w:t xml:space="preserve">Revista: </w:t>
      </w:r>
      <w:r>
        <w:rPr>
          <w:rFonts w:ascii="Calibri" w:hAnsi="Calibri"/>
          <w:sz w:val="21"/>
        </w:rPr>
        <w:t>Journal of Economic Dynamics and Control, Vol. 151(C)</w:t>
      </w:r>
    </w:p>
    <w:p>
      <w:pPr>
        <w:spacing w:after="60"/>
        <w:ind w:left="454"/>
      </w:pPr>
      <w:r>
        <w:rPr>
          <w:rFonts w:ascii="Calibri" w:hAnsi="Calibri"/>
          <w:b/>
          <w:sz w:val="21"/>
        </w:rPr>
        <w:t xml:space="preserve">Metodologia: </w:t>
      </w:r>
      <w:r>
        <w:rPr>
          <w:rFonts w:ascii="Calibri" w:hAnsi="Calibri"/>
          <w:sz w:val="21"/>
        </w:rPr>
        <w:t>Panel VAR + DSGE con fricciones de mercado laboral</w:t>
      </w:r>
    </w:p>
    <w:p>
      <w:pPr>
        <w:spacing w:after="60"/>
        <w:ind w:left="454"/>
      </w:pPr>
      <w:r>
        <w:rPr>
          <w:rFonts w:ascii="Calibri" w:hAnsi="Calibri"/>
          <w:b/>
          <w:sz w:val="21"/>
        </w:rPr>
        <w:t xml:space="preserve">URL: </w:t>
      </w:r>
      <w:r>
        <w:rPr>
          <w:rFonts w:ascii="Calibri" w:hAnsi="Calibri"/>
          <w:sz w:val="21"/>
        </w:rPr>
        <w:t>https://www.sciencedirect.com/science/article/pii/S016518892300060X</w:t>
      </w:r>
    </w:p>
    <w:p>
      <w:r>
        <w:rPr>
          <w:rFonts w:ascii="Calibri" w:hAnsi="Calibri"/>
          <w:b/>
          <w:sz w:val="21"/>
        </w:rPr>
        <w:t>Variables del modelo:</w:t>
      </w:r>
    </w:p>
    <w:p>
      <w:pPr>
        <w:pStyle w:val="ListBullet"/>
        <w:spacing w:after="40"/>
        <w:ind w:left="680"/>
      </w:pPr>
      <w:r>
        <w:rPr>
          <w:rFonts w:ascii="Calibri" w:hAnsi="Calibri"/>
          <w:sz w:val="21"/>
        </w:rPr>
        <w:t>Precios de commodities (cobre, en contexto de economias exportadoras)</w:t>
      </w:r>
    </w:p>
    <w:p>
      <w:pPr>
        <w:pStyle w:val="ListBullet"/>
        <w:spacing w:after="40"/>
        <w:ind w:left="680"/>
      </w:pPr>
      <w:r>
        <w:rPr>
          <w:rFonts w:ascii="Calibri" w:hAnsi="Calibri"/>
          <w:sz w:val="21"/>
        </w:rPr>
        <w:t>Tipo de cambio real</w:t>
      </w:r>
    </w:p>
    <w:p>
      <w:pPr>
        <w:pStyle w:val="ListBullet"/>
        <w:spacing w:after="40"/>
        <w:ind w:left="680"/>
      </w:pPr>
      <w:r>
        <w:rPr>
          <w:rFonts w:ascii="Calibri" w:hAnsi="Calibri"/>
          <w:sz w:val="21"/>
        </w:rPr>
        <w:t>Producto / PIB</w:t>
      </w:r>
    </w:p>
    <w:p>
      <w:pPr>
        <w:pStyle w:val="ListBullet"/>
        <w:spacing w:after="40"/>
        <w:ind w:left="680"/>
      </w:pPr>
      <w:r>
        <w:rPr>
          <w:rFonts w:ascii="Calibri" w:hAnsi="Calibri"/>
          <w:sz w:val="21"/>
        </w:rPr>
        <w:t>Inflacion</w:t>
      </w:r>
    </w:p>
    <w:p>
      <w:pPr>
        <w:pStyle w:val="ListBullet"/>
        <w:spacing w:after="40"/>
        <w:ind w:left="680"/>
      </w:pPr>
      <w:r>
        <w:rPr>
          <w:rFonts w:ascii="Calibri" w:hAnsi="Calibri"/>
          <w:sz w:val="21"/>
        </w:rPr>
        <w:t>Tasa de interes nominal</w:t>
      </w:r>
    </w:p>
    <w:p>
      <w:pPr>
        <w:pStyle w:val="ListBullet"/>
        <w:spacing w:after="40"/>
        <w:ind w:left="680"/>
      </w:pPr>
      <w:r>
        <w:rPr>
          <w:rFonts w:ascii="Calibri" w:hAnsi="Calibri"/>
          <w:sz w:val="21"/>
        </w:rPr>
        <w:t>Balanza comercial</w:t>
      </w:r>
    </w:p>
    <w:p>
      <w:pPr>
        <w:pStyle w:val="ListBullet"/>
        <w:spacing w:after="40"/>
        <w:ind w:left="680"/>
      </w:pPr>
      <w:r>
        <w:rPr>
          <w:rFonts w:ascii="Calibri" w:hAnsi="Calibri"/>
          <w:sz w:val="21"/>
        </w:rPr>
        <w:t>Tasa de desempleo</w:t>
      </w:r>
    </w:p>
    <w:p>
      <w:r>
        <w:rPr>
          <w:rFonts w:ascii="Calibri" w:hAnsi="Calibri"/>
          <w:b/>
          <w:sz w:val="21"/>
        </w:rPr>
        <w:t>Principales hallazgos:</w:t>
      </w:r>
    </w:p>
    <w:p>
      <w:pPr>
        <w:ind w:left="454"/>
      </w:pPr>
      <w:r>
        <w:rPr>
          <w:rFonts w:ascii="Calibri" w:hAnsi="Calibri"/>
          <w:b w:val="0"/>
          <w:sz w:val="21"/>
        </w:rPr>
        <w:t>Para una economia exportadora de commodities, un shock de precios genera: apreciacion del tipo de cambio real, aumentos en producto, inflacion, tasa nominal y balanza comercial, y caida del desempleo. La respuesta de la politica monetaria es clave para la dinamica macroeconomica. Directamente aplicable a Chile como exportador de cobre.</w:t>
      </w:r>
    </w:p>
    <w:p/>
    <w:p>
      <w:r>
        <w:br w:type="page"/>
      </w:r>
    </w:p>
    <w:p>
      <w:pPr>
        <w:pStyle w:val="Heading1"/>
        <w:jc w:val="left"/>
      </w:pPr>
      <w:r>
        <w:rPr>
          <w:rFonts w:ascii="Calibri" w:hAnsi="Calibri"/>
          <w:color w:val="00467F"/>
        </w:rPr>
        <w:t>2. Tabla Resumen: Variables Mas Usadas en la Literatura</w:t>
      </w:r>
    </w:p>
    <w:p>
      <w:pPr>
        <w:jc w:val="both"/>
      </w:pPr>
      <w:r>
        <w:rPr>
          <w:rFonts w:ascii="Calibri" w:hAnsi="Calibri"/>
          <w:sz w:val="21"/>
        </w:rPr>
        <w:t>La siguiente tabla consolida las variables identificadas en los 11 papers revisados, indicando en cuales aparecen, su rol en el modelo VAR y su prioridad para la construccion de un VAR para Chile.</w:t>
      </w:r>
    </w:p>
    <w:p/>
    <w:tbl>
      <w:tblPr>
        <w:tblStyle w:val="TableGrid"/>
        <w:tblW w:type="auto" w:w="0"/>
        <w:tblLayout w:type="fixed"/>
        <w:tblLook w:firstColumn="1" w:firstRow="1" w:lastColumn="0" w:lastRow="0" w:noHBand="0" w:noVBand="1" w:val="04A0"/>
      </w:tblPr>
      <w:tblGrid>
        <w:gridCol w:w="2280"/>
        <w:gridCol w:w="2280"/>
        <w:gridCol w:w="2280"/>
        <w:gridCol w:w="2280"/>
      </w:tblGrid>
      <w:tr>
        <w:tc>
          <w:tcPr>
            <w:tcW w:type="dxa" w:w="2948"/>
            <w:shd w:val="clear" w:color="auto" w:fill="1F497D"/>
            <w:vAlign w:val="center"/>
          </w:tcPr>
          <w:p>
            <w:pPr>
              <w:jc w:val="center"/>
            </w:pPr>
            <w:r>
              <w:rPr>
                <w:rFonts w:ascii="Calibri" w:hAnsi="Calibri"/>
                <w:b/>
                <w:color w:val="FFFFFF"/>
                <w:sz w:val="20"/>
              </w:rPr>
              <w:t>Variable</w:t>
            </w:r>
          </w:p>
        </w:tc>
        <w:tc>
          <w:tcPr>
            <w:tcW w:type="dxa" w:w="2041"/>
            <w:shd w:val="clear" w:color="auto" w:fill="1F497D"/>
            <w:vAlign w:val="center"/>
          </w:tcPr>
          <w:p>
            <w:pPr>
              <w:jc w:val="center"/>
            </w:pPr>
            <w:r>
              <w:rPr>
                <w:rFonts w:ascii="Calibri" w:hAnsi="Calibri"/>
                <w:b/>
                <w:color w:val="FFFFFF"/>
                <w:sz w:val="20"/>
              </w:rPr>
              <w:t>Papers que la usan</w:t>
            </w:r>
          </w:p>
        </w:tc>
        <w:tc>
          <w:tcPr>
            <w:tcW w:type="dxa" w:w="3685"/>
            <w:shd w:val="clear" w:color="auto" w:fill="1F497D"/>
            <w:vAlign w:val="center"/>
          </w:tcPr>
          <w:p>
            <w:pPr>
              <w:jc w:val="center"/>
            </w:pPr>
            <w:r>
              <w:rPr>
                <w:rFonts w:ascii="Calibri" w:hAnsi="Calibri"/>
                <w:b/>
                <w:color w:val="FFFFFF"/>
                <w:sz w:val="20"/>
              </w:rPr>
              <w:t>Rol en el VAR</w:t>
            </w:r>
          </w:p>
        </w:tc>
        <w:tc>
          <w:tcPr>
            <w:tcW w:type="dxa" w:w="1587"/>
            <w:shd w:val="clear" w:color="auto" w:fill="1F497D"/>
            <w:vAlign w:val="center"/>
          </w:tcPr>
          <w:p>
            <w:pPr>
              <w:jc w:val="center"/>
            </w:pPr>
            <w:r>
              <w:rPr>
                <w:rFonts w:ascii="Calibri" w:hAnsi="Calibri"/>
                <w:b/>
                <w:color w:val="FFFFFF"/>
                <w:sz w:val="20"/>
              </w:rPr>
              <w:t>Prioridad</w:t>
            </w:r>
          </w:p>
        </w:tc>
      </w:tr>
      <w:tr>
        <w:tc>
          <w:tcPr>
            <w:tcW w:type="dxa" w:w="2948"/>
            <w:shd w:val="clear" w:color="auto" w:fill="DCE6F1"/>
            <w:vAlign w:val="center"/>
          </w:tcPr>
          <w:p>
            <w:pPr>
              <w:jc w:val="left"/>
            </w:pPr>
            <w:r>
              <w:rPr>
                <w:rFonts w:ascii="Calibri" w:hAnsi="Calibri"/>
                <w:sz w:val="20"/>
              </w:rPr>
              <w:t>Tasa de politica monetaria (TPM / MPR)</w:t>
            </w:r>
          </w:p>
        </w:tc>
        <w:tc>
          <w:tcPr>
            <w:tcW w:type="dxa" w:w="2041"/>
            <w:shd w:val="clear" w:color="auto" w:fill="DCE6F1"/>
            <w:vAlign w:val="center"/>
          </w:tcPr>
          <w:p>
            <w:pPr>
              <w:jc w:val="left"/>
            </w:pPr>
            <w:r>
              <w:rPr>
                <w:rFonts w:ascii="Calibri" w:hAnsi="Calibri"/>
                <w:sz w:val="20"/>
              </w:rPr>
              <w:t>1, 2, 3, 4, 5, 6, 7, 8</w:t>
            </w:r>
          </w:p>
        </w:tc>
        <w:tc>
          <w:tcPr>
            <w:tcW w:type="dxa" w:w="3685"/>
            <w:shd w:val="clear" w:color="auto" w:fill="DCE6F1"/>
            <w:vAlign w:val="center"/>
          </w:tcPr>
          <w:p>
            <w:pPr>
              <w:jc w:val="left"/>
            </w:pPr>
            <w:r>
              <w:rPr>
                <w:rFonts w:ascii="Calibri" w:hAnsi="Calibri"/>
                <w:sz w:val="20"/>
              </w:rPr>
              <w:t>Variable de politica monetaria (endogena o exogena segun identificacion)</w:t>
            </w:r>
          </w:p>
        </w:tc>
        <w:tc>
          <w:tcPr>
            <w:tcW w:type="dxa" w:w="1587"/>
            <w:shd w:val="clear" w:color="auto" w:fill="DCE6F1"/>
            <w:vAlign w:val="center"/>
          </w:tcPr>
          <w:p>
            <w:pPr>
              <w:jc w:val="center"/>
            </w:pPr>
            <w:r>
              <w:rPr>
                <w:rFonts w:ascii="Calibri" w:hAnsi="Calibri"/>
                <w:b/>
                <w:color w:val="007000"/>
                <w:sz w:val="20"/>
              </w:rPr>
              <w:t>ALTA</w:t>
            </w:r>
          </w:p>
        </w:tc>
      </w:tr>
      <w:tr>
        <w:tc>
          <w:tcPr>
            <w:tcW w:type="dxa" w:w="2948"/>
            <w:shd w:val="clear" w:color="auto" w:fill="FFFFFF"/>
            <w:vAlign w:val="center"/>
          </w:tcPr>
          <w:p>
            <w:pPr>
              <w:jc w:val="left"/>
            </w:pPr>
            <w:r>
              <w:rPr>
                <w:rFonts w:ascii="Calibri" w:hAnsi="Calibri"/>
                <w:sz w:val="20"/>
              </w:rPr>
              <w:t>Inflacion / IPC</w:t>
            </w:r>
          </w:p>
        </w:tc>
        <w:tc>
          <w:tcPr>
            <w:tcW w:type="dxa" w:w="2041"/>
            <w:shd w:val="clear" w:color="auto" w:fill="FFFFFF"/>
            <w:vAlign w:val="center"/>
          </w:tcPr>
          <w:p>
            <w:pPr>
              <w:jc w:val="left"/>
            </w:pPr>
            <w:r>
              <w:rPr>
                <w:rFonts w:ascii="Calibri" w:hAnsi="Calibri"/>
                <w:sz w:val="20"/>
              </w:rPr>
              <w:t>1, 2, 3, 4, 5, 8, 11</w:t>
            </w:r>
          </w:p>
        </w:tc>
        <w:tc>
          <w:tcPr>
            <w:tcW w:type="dxa" w:w="3685"/>
            <w:shd w:val="clear" w:color="auto" w:fill="FFFFFF"/>
            <w:vAlign w:val="center"/>
          </w:tcPr>
          <w:p>
            <w:pPr>
              <w:jc w:val="left"/>
            </w:pPr>
            <w:r>
              <w:rPr>
                <w:rFonts w:ascii="Calibri" w:hAnsi="Calibri"/>
                <w:sz w:val="20"/>
              </w:rPr>
              <w:t>Variable objetivo; captura el mecanismo de precios</w:t>
            </w:r>
          </w:p>
        </w:tc>
        <w:tc>
          <w:tcPr>
            <w:tcW w:type="dxa" w:w="1587"/>
            <w:shd w:val="clear" w:color="auto" w:fill="FFFFFF"/>
            <w:vAlign w:val="center"/>
          </w:tcPr>
          <w:p>
            <w:pPr>
              <w:jc w:val="center"/>
            </w:pPr>
            <w:r>
              <w:rPr>
                <w:rFonts w:ascii="Calibri" w:hAnsi="Calibri"/>
                <w:b/>
                <w:color w:val="007000"/>
                <w:sz w:val="20"/>
              </w:rPr>
              <w:t>ALTA</w:t>
            </w:r>
          </w:p>
        </w:tc>
      </w:tr>
      <w:tr>
        <w:tc>
          <w:tcPr>
            <w:tcW w:type="dxa" w:w="2948"/>
            <w:shd w:val="clear" w:color="auto" w:fill="DCE6F1"/>
            <w:vAlign w:val="center"/>
          </w:tcPr>
          <w:p>
            <w:pPr>
              <w:jc w:val="left"/>
            </w:pPr>
            <w:r>
              <w:rPr>
                <w:rFonts w:ascii="Calibri" w:hAnsi="Calibri"/>
                <w:sz w:val="20"/>
              </w:rPr>
              <w:t>Producto / PIB (o brecha del producto)</w:t>
            </w:r>
          </w:p>
        </w:tc>
        <w:tc>
          <w:tcPr>
            <w:tcW w:type="dxa" w:w="2041"/>
            <w:shd w:val="clear" w:color="auto" w:fill="DCE6F1"/>
            <w:vAlign w:val="center"/>
          </w:tcPr>
          <w:p>
            <w:pPr>
              <w:jc w:val="left"/>
            </w:pPr>
            <w:r>
              <w:rPr>
                <w:rFonts w:ascii="Calibri" w:hAnsi="Calibri"/>
                <w:sz w:val="20"/>
              </w:rPr>
              <w:t>2, 3, 4, 5, 6, 10, 11</w:t>
            </w:r>
          </w:p>
        </w:tc>
        <w:tc>
          <w:tcPr>
            <w:tcW w:type="dxa" w:w="3685"/>
            <w:shd w:val="clear" w:color="auto" w:fill="DCE6F1"/>
            <w:vAlign w:val="center"/>
          </w:tcPr>
          <w:p>
            <w:pPr>
              <w:jc w:val="left"/>
            </w:pPr>
            <w:r>
              <w:rPr>
                <w:rFonts w:ascii="Calibri" w:hAnsi="Calibri"/>
                <w:sz w:val="20"/>
              </w:rPr>
              <w:t>Variable real; mide efectos sobre actividad economica</w:t>
            </w:r>
          </w:p>
        </w:tc>
        <w:tc>
          <w:tcPr>
            <w:tcW w:type="dxa" w:w="1587"/>
            <w:shd w:val="clear" w:color="auto" w:fill="DCE6F1"/>
            <w:vAlign w:val="center"/>
          </w:tcPr>
          <w:p>
            <w:pPr>
              <w:jc w:val="center"/>
            </w:pPr>
            <w:r>
              <w:rPr>
                <w:rFonts w:ascii="Calibri" w:hAnsi="Calibri"/>
                <w:b/>
                <w:color w:val="007000"/>
                <w:sz w:val="20"/>
              </w:rPr>
              <w:t>ALTA</w:t>
            </w:r>
          </w:p>
        </w:tc>
      </w:tr>
      <w:tr>
        <w:tc>
          <w:tcPr>
            <w:tcW w:type="dxa" w:w="2948"/>
            <w:shd w:val="clear" w:color="auto" w:fill="FFFFFF"/>
            <w:vAlign w:val="center"/>
          </w:tcPr>
          <w:p>
            <w:pPr>
              <w:jc w:val="left"/>
            </w:pPr>
            <w:r>
              <w:rPr>
                <w:rFonts w:ascii="Calibri" w:hAnsi="Calibri"/>
                <w:sz w:val="20"/>
              </w:rPr>
              <w:t>Tipo de cambio nominal (CLP/USD)</w:t>
            </w:r>
          </w:p>
        </w:tc>
        <w:tc>
          <w:tcPr>
            <w:tcW w:type="dxa" w:w="2041"/>
            <w:shd w:val="clear" w:color="auto" w:fill="FFFFFF"/>
            <w:vAlign w:val="center"/>
          </w:tcPr>
          <w:p>
            <w:pPr>
              <w:jc w:val="left"/>
            </w:pPr>
            <w:r>
              <w:rPr>
                <w:rFonts w:ascii="Calibri" w:hAnsi="Calibri"/>
                <w:sz w:val="20"/>
              </w:rPr>
              <w:t>1, 4, 8, 9, 10, 11</w:t>
            </w:r>
          </w:p>
        </w:tc>
        <w:tc>
          <w:tcPr>
            <w:tcW w:type="dxa" w:w="3685"/>
            <w:shd w:val="clear" w:color="auto" w:fill="FFFFFF"/>
            <w:vAlign w:val="center"/>
          </w:tcPr>
          <w:p>
            <w:pPr>
              <w:jc w:val="left"/>
            </w:pPr>
            <w:r>
              <w:rPr>
                <w:rFonts w:ascii="Calibri" w:hAnsi="Calibri"/>
                <w:sz w:val="20"/>
              </w:rPr>
              <w:t>Canal cambiario; fundamental en economia abierta</w:t>
            </w:r>
          </w:p>
        </w:tc>
        <w:tc>
          <w:tcPr>
            <w:tcW w:type="dxa" w:w="1587"/>
            <w:shd w:val="clear" w:color="auto" w:fill="FFFFFF"/>
            <w:vAlign w:val="center"/>
          </w:tcPr>
          <w:p>
            <w:pPr>
              <w:jc w:val="center"/>
            </w:pPr>
            <w:r>
              <w:rPr>
                <w:rFonts w:ascii="Calibri" w:hAnsi="Calibri"/>
                <w:b/>
                <w:color w:val="007000"/>
                <w:sz w:val="20"/>
              </w:rPr>
              <w:t>ALTA</w:t>
            </w:r>
          </w:p>
        </w:tc>
      </w:tr>
      <w:tr>
        <w:tc>
          <w:tcPr>
            <w:tcW w:type="dxa" w:w="2948"/>
            <w:shd w:val="clear" w:color="auto" w:fill="DCE6F1"/>
            <w:vAlign w:val="center"/>
          </w:tcPr>
          <w:p>
            <w:pPr>
              <w:jc w:val="left"/>
            </w:pPr>
            <w:r>
              <w:rPr>
                <w:rFonts w:ascii="Calibri" w:hAnsi="Calibri"/>
                <w:sz w:val="20"/>
              </w:rPr>
              <w:t>Credito bancario</w:t>
            </w:r>
          </w:p>
        </w:tc>
        <w:tc>
          <w:tcPr>
            <w:tcW w:type="dxa" w:w="2041"/>
            <w:shd w:val="clear" w:color="auto" w:fill="DCE6F1"/>
            <w:vAlign w:val="center"/>
          </w:tcPr>
          <w:p>
            <w:pPr>
              <w:jc w:val="left"/>
            </w:pPr>
            <w:r>
              <w:rPr>
                <w:rFonts w:ascii="Calibri" w:hAnsi="Calibri"/>
                <w:sz w:val="20"/>
              </w:rPr>
              <w:t>6, 7</w:t>
            </w:r>
          </w:p>
        </w:tc>
        <w:tc>
          <w:tcPr>
            <w:tcW w:type="dxa" w:w="3685"/>
            <w:shd w:val="clear" w:color="auto" w:fill="DCE6F1"/>
            <w:vAlign w:val="center"/>
          </w:tcPr>
          <w:p>
            <w:pPr>
              <w:jc w:val="left"/>
            </w:pPr>
            <w:r>
              <w:rPr>
                <w:rFonts w:ascii="Calibri" w:hAnsi="Calibri"/>
                <w:sz w:val="20"/>
              </w:rPr>
              <w:t>Canal de credito; captura el mecanismo financiero</w:t>
            </w:r>
          </w:p>
        </w:tc>
        <w:tc>
          <w:tcPr>
            <w:tcW w:type="dxa" w:w="1587"/>
            <w:shd w:val="clear" w:color="auto" w:fill="DCE6F1"/>
            <w:vAlign w:val="center"/>
          </w:tcPr>
          <w:p>
            <w:pPr>
              <w:jc w:val="center"/>
            </w:pPr>
            <w:r>
              <w:rPr>
                <w:rFonts w:ascii="Calibri" w:hAnsi="Calibri"/>
                <w:b/>
                <w:color w:val="C55A11"/>
                <w:sz w:val="20"/>
              </w:rPr>
              <w:t>MEDIA</w:t>
            </w:r>
          </w:p>
        </w:tc>
      </w:tr>
      <w:tr>
        <w:tc>
          <w:tcPr>
            <w:tcW w:type="dxa" w:w="2948"/>
            <w:shd w:val="clear" w:color="auto" w:fill="FFFFFF"/>
            <w:vAlign w:val="center"/>
          </w:tcPr>
          <w:p>
            <w:pPr>
              <w:jc w:val="left"/>
            </w:pPr>
            <w:r>
              <w:rPr>
                <w:rFonts w:ascii="Calibri" w:hAnsi="Calibri"/>
                <w:sz w:val="20"/>
              </w:rPr>
              <w:t>Spread credito-TPM</w:t>
            </w:r>
          </w:p>
        </w:tc>
        <w:tc>
          <w:tcPr>
            <w:tcW w:type="dxa" w:w="2041"/>
            <w:shd w:val="clear" w:color="auto" w:fill="FFFFFF"/>
            <w:vAlign w:val="center"/>
          </w:tcPr>
          <w:p>
            <w:pPr>
              <w:jc w:val="left"/>
            </w:pPr>
            <w:r>
              <w:rPr>
                <w:rFonts w:ascii="Calibri" w:hAnsi="Calibri"/>
                <w:sz w:val="20"/>
              </w:rPr>
              <w:t>6, 7, 8</w:t>
            </w:r>
          </w:p>
        </w:tc>
        <w:tc>
          <w:tcPr>
            <w:tcW w:type="dxa" w:w="3685"/>
            <w:shd w:val="clear" w:color="auto" w:fill="FFFFFF"/>
            <w:vAlign w:val="center"/>
          </w:tcPr>
          <w:p>
            <w:pPr>
              <w:jc w:val="left"/>
            </w:pPr>
            <w:r>
              <w:rPr>
                <w:rFonts w:ascii="Calibri" w:hAnsi="Calibri"/>
                <w:sz w:val="20"/>
              </w:rPr>
              <w:t>Canal bancario; refleja condiciones de financiamiento</w:t>
            </w:r>
          </w:p>
        </w:tc>
        <w:tc>
          <w:tcPr>
            <w:tcW w:type="dxa" w:w="1587"/>
            <w:shd w:val="clear" w:color="auto" w:fill="FFFFFF"/>
            <w:vAlign w:val="center"/>
          </w:tcPr>
          <w:p>
            <w:pPr>
              <w:jc w:val="center"/>
            </w:pPr>
            <w:r>
              <w:rPr>
                <w:rFonts w:ascii="Calibri" w:hAnsi="Calibri"/>
                <w:b/>
                <w:color w:val="C55A11"/>
                <w:sz w:val="20"/>
              </w:rPr>
              <w:t>MEDIA</w:t>
            </w:r>
          </w:p>
        </w:tc>
      </w:tr>
      <w:tr>
        <w:tc>
          <w:tcPr>
            <w:tcW w:type="dxa" w:w="2948"/>
            <w:shd w:val="clear" w:color="auto" w:fill="DCE6F1"/>
            <w:vAlign w:val="center"/>
          </w:tcPr>
          <w:p>
            <w:pPr>
              <w:jc w:val="left"/>
            </w:pPr>
            <w:r>
              <w:rPr>
                <w:rFonts w:ascii="Calibri" w:hAnsi="Calibri"/>
                <w:sz w:val="20"/>
              </w:rPr>
              <w:t>Tipo de cambio real</w:t>
            </w:r>
          </w:p>
        </w:tc>
        <w:tc>
          <w:tcPr>
            <w:tcW w:type="dxa" w:w="2041"/>
            <w:shd w:val="clear" w:color="auto" w:fill="DCE6F1"/>
            <w:vAlign w:val="center"/>
          </w:tcPr>
          <w:p>
            <w:pPr>
              <w:jc w:val="left"/>
            </w:pPr>
            <w:r>
              <w:rPr>
                <w:rFonts w:ascii="Calibri" w:hAnsi="Calibri"/>
                <w:sz w:val="20"/>
              </w:rPr>
              <w:t>4, 10, 11</w:t>
            </w:r>
          </w:p>
        </w:tc>
        <w:tc>
          <w:tcPr>
            <w:tcW w:type="dxa" w:w="3685"/>
            <w:shd w:val="clear" w:color="auto" w:fill="DCE6F1"/>
            <w:vAlign w:val="center"/>
          </w:tcPr>
          <w:p>
            <w:pPr>
              <w:jc w:val="left"/>
            </w:pPr>
            <w:r>
              <w:rPr>
                <w:rFonts w:ascii="Calibri" w:hAnsi="Calibri"/>
                <w:sz w:val="20"/>
              </w:rPr>
              <w:t>Canal de competitividad; relevante para economia abierta</w:t>
            </w:r>
          </w:p>
        </w:tc>
        <w:tc>
          <w:tcPr>
            <w:tcW w:type="dxa" w:w="1587"/>
            <w:shd w:val="clear" w:color="auto" w:fill="DCE6F1"/>
            <w:vAlign w:val="center"/>
          </w:tcPr>
          <w:p>
            <w:pPr>
              <w:jc w:val="center"/>
            </w:pPr>
            <w:r>
              <w:rPr>
                <w:rFonts w:ascii="Calibri" w:hAnsi="Calibri"/>
                <w:b/>
                <w:color w:val="C55A11"/>
                <w:sz w:val="20"/>
              </w:rPr>
              <w:t>MEDIA</w:t>
            </w:r>
          </w:p>
        </w:tc>
      </w:tr>
      <w:tr>
        <w:tc>
          <w:tcPr>
            <w:tcW w:type="dxa" w:w="2948"/>
            <w:shd w:val="clear" w:color="auto" w:fill="FFFFFF"/>
            <w:vAlign w:val="center"/>
          </w:tcPr>
          <w:p>
            <w:pPr>
              <w:jc w:val="left"/>
            </w:pPr>
            <w:r>
              <w:rPr>
                <w:rFonts w:ascii="Calibri" w:hAnsi="Calibri"/>
                <w:sz w:val="20"/>
              </w:rPr>
              <w:t>Precios de commodities (cobre)</w:t>
            </w:r>
          </w:p>
        </w:tc>
        <w:tc>
          <w:tcPr>
            <w:tcW w:type="dxa" w:w="2041"/>
            <w:shd w:val="clear" w:color="auto" w:fill="FFFFFF"/>
            <w:vAlign w:val="center"/>
          </w:tcPr>
          <w:p>
            <w:pPr>
              <w:jc w:val="left"/>
            </w:pPr>
            <w:r>
              <w:rPr>
                <w:rFonts w:ascii="Calibri" w:hAnsi="Calibri"/>
                <w:sz w:val="20"/>
              </w:rPr>
              <w:t>11</w:t>
            </w:r>
          </w:p>
        </w:tc>
        <w:tc>
          <w:tcPr>
            <w:tcW w:type="dxa" w:w="3685"/>
            <w:shd w:val="clear" w:color="auto" w:fill="FFFFFF"/>
            <w:vAlign w:val="center"/>
          </w:tcPr>
          <w:p>
            <w:pPr>
              <w:jc w:val="left"/>
            </w:pPr>
            <w:r>
              <w:rPr>
                <w:rFonts w:ascii="Calibri" w:hAnsi="Calibri"/>
                <w:sz w:val="20"/>
              </w:rPr>
              <w:t>Variable exogena clave para Chile como exportador de cobre</w:t>
            </w:r>
          </w:p>
        </w:tc>
        <w:tc>
          <w:tcPr>
            <w:tcW w:type="dxa" w:w="1587"/>
            <w:shd w:val="clear" w:color="auto" w:fill="FFFFFF"/>
            <w:vAlign w:val="center"/>
          </w:tcPr>
          <w:p>
            <w:pPr>
              <w:jc w:val="center"/>
            </w:pPr>
            <w:r>
              <w:rPr>
                <w:rFonts w:ascii="Calibri" w:hAnsi="Calibri"/>
                <w:b/>
                <w:color w:val="C55A11"/>
                <w:sz w:val="20"/>
              </w:rPr>
              <w:t>MEDIA</w:t>
            </w:r>
          </w:p>
        </w:tc>
      </w:tr>
      <w:tr>
        <w:tc>
          <w:tcPr>
            <w:tcW w:type="dxa" w:w="2948"/>
            <w:shd w:val="clear" w:color="auto" w:fill="DCE6F1"/>
            <w:vAlign w:val="center"/>
          </w:tcPr>
          <w:p>
            <w:pPr>
              <w:jc w:val="left"/>
            </w:pPr>
            <w:r>
              <w:rPr>
                <w:rFonts w:ascii="Calibri" w:hAnsi="Calibri"/>
                <w:sz w:val="20"/>
              </w:rPr>
              <w:t>Expectativas de inflacion</w:t>
            </w:r>
          </w:p>
        </w:tc>
        <w:tc>
          <w:tcPr>
            <w:tcW w:type="dxa" w:w="2041"/>
            <w:shd w:val="clear" w:color="auto" w:fill="DCE6F1"/>
            <w:vAlign w:val="center"/>
          </w:tcPr>
          <w:p>
            <w:pPr>
              <w:jc w:val="left"/>
            </w:pPr>
            <w:r>
              <w:rPr>
                <w:rFonts w:ascii="Calibri" w:hAnsi="Calibri"/>
                <w:sz w:val="20"/>
              </w:rPr>
              <w:t>4</w:t>
            </w:r>
          </w:p>
        </w:tc>
        <w:tc>
          <w:tcPr>
            <w:tcW w:type="dxa" w:w="3685"/>
            <w:shd w:val="clear" w:color="auto" w:fill="DCE6F1"/>
            <w:vAlign w:val="center"/>
          </w:tcPr>
          <w:p>
            <w:pPr>
              <w:jc w:val="left"/>
            </w:pPr>
            <w:r>
              <w:rPr>
                <w:rFonts w:ascii="Calibri" w:hAnsi="Calibri"/>
                <w:sz w:val="20"/>
              </w:rPr>
              <w:t>Mejora identificacion; resuelve el price puzzle en VARs</w:t>
            </w:r>
          </w:p>
        </w:tc>
        <w:tc>
          <w:tcPr>
            <w:tcW w:type="dxa" w:w="1587"/>
            <w:shd w:val="clear" w:color="auto" w:fill="DCE6F1"/>
            <w:vAlign w:val="center"/>
          </w:tcPr>
          <w:p>
            <w:pPr>
              <w:jc w:val="center"/>
            </w:pPr>
            <w:r>
              <w:rPr>
                <w:rFonts w:ascii="Calibri" w:hAnsi="Calibri"/>
                <w:b/>
                <w:color w:val="C55A11"/>
                <w:sz w:val="20"/>
              </w:rPr>
              <w:t>MEDIA</w:t>
            </w:r>
          </w:p>
        </w:tc>
      </w:tr>
      <w:tr>
        <w:tc>
          <w:tcPr>
            <w:tcW w:type="dxa" w:w="2948"/>
            <w:shd w:val="clear" w:color="auto" w:fill="FFFFFF"/>
            <w:vAlign w:val="center"/>
          </w:tcPr>
          <w:p>
            <w:pPr>
              <w:jc w:val="left"/>
            </w:pPr>
            <w:r>
              <w:rPr>
                <w:rFonts w:ascii="Calibri" w:hAnsi="Calibri"/>
                <w:sz w:val="20"/>
              </w:rPr>
              <w:t>Desempleo / mercado laboral</w:t>
            </w:r>
          </w:p>
        </w:tc>
        <w:tc>
          <w:tcPr>
            <w:tcW w:type="dxa" w:w="2041"/>
            <w:shd w:val="clear" w:color="auto" w:fill="FFFFFF"/>
            <w:vAlign w:val="center"/>
          </w:tcPr>
          <w:p>
            <w:pPr>
              <w:jc w:val="left"/>
            </w:pPr>
            <w:r>
              <w:rPr>
                <w:rFonts w:ascii="Calibri" w:hAnsi="Calibri"/>
                <w:sz w:val="20"/>
              </w:rPr>
              <w:t>2, 11</w:t>
            </w:r>
          </w:p>
        </w:tc>
        <w:tc>
          <w:tcPr>
            <w:tcW w:type="dxa" w:w="3685"/>
            <w:shd w:val="clear" w:color="auto" w:fill="FFFFFF"/>
            <w:vAlign w:val="center"/>
          </w:tcPr>
          <w:p>
            <w:pPr>
              <w:jc w:val="left"/>
            </w:pPr>
            <w:r>
              <w:rPr>
                <w:rFonts w:ascii="Calibri" w:hAnsi="Calibri"/>
                <w:sz w:val="20"/>
              </w:rPr>
              <w:t>Canal de transmision real; efectos distributivos de la PM</w:t>
            </w:r>
          </w:p>
        </w:tc>
        <w:tc>
          <w:tcPr>
            <w:tcW w:type="dxa" w:w="1587"/>
            <w:shd w:val="clear" w:color="auto" w:fill="FFFFFF"/>
            <w:vAlign w:val="center"/>
          </w:tcPr>
          <w:p>
            <w:pPr>
              <w:jc w:val="center"/>
            </w:pPr>
            <w:r>
              <w:rPr>
                <w:rFonts w:ascii="Calibri" w:hAnsi="Calibri"/>
                <w:color w:val="646464"/>
                <w:sz w:val="20"/>
              </w:rPr>
              <w:t>OPCIONAL</w:t>
            </w:r>
          </w:p>
        </w:tc>
      </w:tr>
      <w:tr>
        <w:tc>
          <w:tcPr>
            <w:tcW w:type="dxa" w:w="2948"/>
            <w:shd w:val="clear" w:color="auto" w:fill="DCE6F1"/>
            <w:vAlign w:val="center"/>
          </w:tcPr>
          <w:p>
            <w:pPr>
              <w:jc w:val="left"/>
            </w:pPr>
            <w:r>
              <w:rPr>
                <w:rFonts w:ascii="Calibri" w:hAnsi="Calibri"/>
                <w:sz w:val="20"/>
              </w:rPr>
              <w:t>Tasas activas bancarias (consumo y comercial)</w:t>
            </w:r>
          </w:p>
        </w:tc>
        <w:tc>
          <w:tcPr>
            <w:tcW w:type="dxa" w:w="2041"/>
            <w:shd w:val="clear" w:color="auto" w:fill="DCE6F1"/>
            <w:vAlign w:val="center"/>
          </w:tcPr>
          <w:p>
            <w:pPr>
              <w:jc w:val="left"/>
            </w:pPr>
            <w:r>
              <w:rPr>
                <w:rFonts w:ascii="Calibri" w:hAnsi="Calibri"/>
                <w:sz w:val="20"/>
              </w:rPr>
              <w:t>7, 8</w:t>
            </w:r>
          </w:p>
        </w:tc>
        <w:tc>
          <w:tcPr>
            <w:tcW w:type="dxa" w:w="3685"/>
            <w:shd w:val="clear" w:color="auto" w:fill="DCE6F1"/>
            <w:vAlign w:val="center"/>
          </w:tcPr>
          <w:p>
            <w:pPr>
              <w:jc w:val="left"/>
            </w:pPr>
            <w:r>
              <w:rPr>
                <w:rFonts w:ascii="Calibri" w:hAnsi="Calibri"/>
                <w:sz w:val="20"/>
              </w:rPr>
              <w:t>Pass-through del canal de tasas al sector privado</w:t>
            </w:r>
          </w:p>
        </w:tc>
        <w:tc>
          <w:tcPr>
            <w:tcW w:type="dxa" w:w="1587"/>
            <w:shd w:val="clear" w:color="auto" w:fill="DCE6F1"/>
            <w:vAlign w:val="center"/>
          </w:tcPr>
          <w:p>
            <w:pPr>
              <w:jc w:val="center"/>
            </w:pPr>
            <w:r>
              <w:rPr>
                <w:rFonts w:ascii="Calibri" w:hAnsi="Calibri"/>
                <w:color w:val="646464"/>
                <w:sz w:val="20"/>
              </w:rPr>
              <w:t>OPCIONAL</w:t>
            </w:r>
          </w:p>
        </w:tc>
      </w:tr>
      <w:tr>
        <w:tc>
          <w:tcPr>
            <w:tcW w:type="dxa" w:w="2948"/>
            <w:shd w:val="clear" w:color="auto" w:fill="FFFFFF"/>
            <w:vAlign w:val="center"/>
          </w:tcPr>
          <w:p>
            <w:pPr>
              <w:jc w:val="left"/>
            </w:pPr>
            <w:r>
              <w:rPr>
                <w:rFonts w:ascii="Calibri" w:hAnsi="Calibri"/>
                <w:sz w:val="20"/>
              </w:rPr>
              <w:t>Balanza comercial / exportaciones</w:t>
            </w:r>
          </w:p>
        </w:tc>
        <w:tc>
          <w:tcPr>
            <w:tcW w:type="dxa" w:w="2041"/>
            <w:shd w:val="clear" w:color="auto" w:fill="FFFFFF"/>
            <w:vAlign w:val="center"/>
          </w:tcPr>
          <w:p>
            <w:pPr>
              <w:jc w:val="left"/>
            </w:pPr>
            <w:r>
              <w:rPr>
                <w:rFonts w:ascii="Calibri" w:hAnsi="Calibri"/>
                <w:sz w:val="20"/>
              </w:rPr>
              <w:t>10, 11</w:t>
            </w:r>
          </w:p>
        </w:tc>
        <w:tc>
          <w:tcPr>
            <w:tcW w:type="dxa" w:w="3685"/>
            <w:shd w:val="clear" w:color="auto" w:fill="FFFFFF"/>
            <w:vAlign w:val="center"/>
          </w:tcPr>
          <w:p>
            <w:pPr>
              <w:jc w:val="left"/>
            </w:pPr>
            <w:r>
              <w:rPr>
                <w:rFonts w:ascii="Calibri" w:hAnsi="Calibri"/>
                <w:sz w:val="20"/>
              </w:rPr>
              <w:t>Canal externo; relevante para economia pequena y abierta</w:t>
            </w:r>
          </w:p>
        </w:tc>
        <w:tc>
          <w:tcPr>
            <w:tcW w:type="dxa" w:w="1587"/>
            <w:shd w:val="clear" w:color="auto" w:fill="FFFFFF"/>
            <w:vAlign w:val="center"/>
          </w:tcPr>
          <w:p>
            <w:pPr>
              <w:jc w:val="center"/>
            </w:pPr>
            <w:r>
              <w:rPr>
                <w:rFonts w:ascii="Calibri" w:hAnsi="Calibri"/>
                <w:color w:val="646464"/>
                <w:sz w:val="20"/>
              </w:rPr>
              <w:t>OPCIONAL</w:t>
            </w:r>
          </w:p>
        </w:tc>
      </w:tr>
    </w:tbl>
    <w:p/>
    <w:p>
      <w:pPr>
        <w:pStyle w:val="Heading1"/>
        <w:jc w:val="left"/>
      </w:pPr>
      <w:r>
        <w:rPr>
          <w:rFonts w:ascii="Calibri" w:hAnsi="Calibri"/>
          <w:color w:val="00467F"/>
        </w:rPr>
        <w:t>3. Especificacion Recomendada del VAR Base para Chile</w:t>
      </w:r>
    </w:p>
    <w:p>
      <w:pPr>
        <w:jc w:val="both"/>
      </w:pPr>
      <w:r>
        <w:rPr>
          <w:rFonts w:ascii="Calibri" w:hAnsi="Calibri"/>
          <w:sz w:val="21"/>
        </w:rPr>
        <w:t>Con base en la literatura revisada, el VAR minimo recomendado para capturar los principales mecanismos de transmision de politica monetaria en Chile es:</w:t>
      </w:r>
    </w:p>
    <w:p>
      <w:pPr>
        <w:spacing w:before="120" w:after="120"/>
        <w:jc w:val="center"/>
      </w:pPr>
      <w:r>
        <w:rPr>
          <w:rFonts w:ascii="Courier New" w:hAnsi="Courier New"/>
          <w:b/>
          <w:color w:val="00467F"/>
          <w:sz w:val="24"/>
        </w:rPr>
        <w:t>Yt = [ Precio_Cobre_t,  IPC_t,  PIB_t,  TPM_t,  TC_t ]</w:t>
      </w:r>
    </w:p>
    <w:p>
      <w:r>
        <w:rPr>
          <w:rFonts w:ascii="Calibri" w:hAnsi="Calibri"/>
          <w:b/>
          <w:sz w:val="21"/>
        </w:rPr>
        <w:t>Descripcion de cada variable:</w:t>
      </w:r>
    </w:p>
    <w:p>
      <w:pPr>
        <w:pStyle w:val="ListBullet"/>
        <w:spacing w:after="40"/>
        <w:ind w:left="680"/>
      </w:pPr>
      <w:r>
        <w:rPr>
          <w:rFonts w:ascii="Calibri" w:hAnsi="Calibri"/>
          <w:sz w:val="21"/>
        </w:rPr>
        <w:t>Precio del cobre (USD/lb): variable exogena — bloque externo (Papers 11, 10)</w:t>
      </w:r>
    </w:p>
    <w:p>
      <w:pPr>
        <w:pStyle w:val="ListBullet"/>
        <w:spacing w:after="40"/>
        <w:ind w:left="680"/>
      </w:pPr>
      <w:r>
        <w:rPr>
          <w:rFonts w:ascii="Calibri" w:hAnsi="Calibri"/>
          <w:sz w:val="21"/>
        </w:rPr>
        <w:t>IPC (Indice de Precios al Consumidor): inflacion domestica (Papers 1, 2, 3, 4, 5)</w:t>
      </w:r>
    </w:p>
    <w:p>
      <w:pPr>
        <w:pStyle w:val="ListBullet"/>
        <w:spacing w:after="40"/>
        <w:ind w:left="680"/>
      </w:pPr>
      <w:r>
        <w:rPr>
          <w:rFonts w:ascii="Calibri" w:hAnsi="Calibri"/>
          <w:sz w:val="21"/>
        </w:rPr>
        <w:t>PIB o IMACEC: actividad economica real (Papers 3, 4, 6)</w:t>
      </w:r>
    </w:p>
    <w:p>
      <w:pPr>
        <w:pStyle w:val="ListBullet"/>
        <w:spacing w:after="40"/>
        <w:ind w:left="680"/>
      </w:pPr>
      <w:r>
        <w:rPr>
          <w:rFonts w:ascii="Calibri" w:hAnsi="Calibri"/>
          <w:sz w:val="21"/>
        </w:rPr>
        <w:t>TPM (Tasa de Politica Monetaria del BCCh): instrumento de politica (Papers 1, 2, 3, 5, 6, 7, 8)</w:t>
      </w:r>
    </w:p>
    <w:p>
      <w:pPr>
        <w:pStyle w:val="ListBullet"/>
        <w:spacing w:after="40"/>
        <w:ind w:left="680"/>
      </w:pPr>
      <w:r>
        <w:rPr>
          <w:rFonts w:ascii="Calibri" w:hAnsi="Calibri"/>
          <w:sz w:val="21"/>
        </w:rPr>
        <w:t>Tipo de cambio CLP/USD: canal cambiario (Papers 1, 4, 8, 9, 10)</w:t>
      </w:r>
    </w:p>
    <w:p>
      <w:pPr>
        <w:jc w:val="both"/>
      </w:pPr>
      <w:r>
        <w:rPr>
          <w:rFonts w:ascii="Calibri" w:hAnsi="Calibri"/>
          <w:i/>
          <w:color w:val="505050"/>
          <w:sz w:val="20"/>
        </w:rPr>
        <w:t>Nota sobre identificacion: Para la identificacion del VAR se recomienda utilizar restricciones de signo (Paper 4: Ha et al., 2025) o un enfoque Proxy-SVAR con futuros de tasas como instrumento externo (Paper 1: Beltran &amp; Coble, 2024). El precio del cobre puede tratarse como bloque exogeno en un modelo SVAR recursivo dado que Chile es tomador de precios en el mercado del cobre.</w:t>
      </w:r>
    </w:p>
    <w:p/>
    <w:p>
      <w:pPr>
        <w:pStyle w:val="Heading1"/>
        <w:jc w:val="left"/>
      </w:pPr>
      <w:r>
        <w:rPr>
          <w:rFonts w:ascii="Calibri" w:hAnsi="Calibri"/>
          <w:color w:val="00467F"/>
        </w:rPr>
        <w:t>4. Referencias (ScienceDirect)</w:t>
      </w:r>
    </w:p>
    <w:p>
      <w:pPr>
        <w:spacing w:after="80"/>
        <w:ind w:left="454" w:hanging="454"/>
      </w:pPr>
      <w:r>
        <w:rPr>
          <w:rFonts w:ascii="Calibri" w:hAnsi="Calibri"/>
          <w:b/>
          <w:sz w:val="20"/>
        </w:rPr>
        <w:t xml:space="preserve">Beltran, F. &amp; Coble, D. (2024). </w:t>
      </w:r>
      <w:r>
        <w:rPr>
          <w:rFonts w:ascii="Calibri" w:hAnsi="Calibri"/>
          <w:i/>
          <w:sz w:val="20"/>
        </w:rPr>
        <w:t xml:space="preserve">Monetary policy surprises on the banking sector: The role of the information and pure monetary shocks. </w:t>
      </w:r>
      <w:r>
        <w:rPr>
          <w:rFonts w:ascii="Calibri" w:hAnsi="Calibri"/>
          <w:sz w:val="20"/>
        </w:rPr>
        <w:t xml:space="preserve">Latin American Journal of Central Banking, 5(3). </w:t>
      </w:r>
      <w:r>
        <w:rPr>
          <w:rFonts w:ascii="Calibri" w:hAnsi="Calibri"/>
          <w:color w:val="0046B4"/>
          <w:sz w:val="18"/>
        </w:rPr>
        <w:t>https://www.sciencedirect.com/science/article/pii/S2666143824000097</w:t>
      </w:r>
    </w:p>
    <w:p>
      <w:pPr>
        <w:spacing w:after="80"/>
        <w:ind w:left="454" w:hanging="454"/>
      </w:pPr>
      <w:r>
        <w:rPr>
          <w:rFonts w:ascii="Calibri" w:hAnsi="Calibri"/>
          <w:b/>
          <w:sz w:val="20"/>
        </w:rPr>
        <w:t xml:space="preserve">Madeira, C. &amp; Salazar, L. (2023). </w:t>
      </w:r>
      <w:r>
        <w:rPr>
          <w:rFonts w:ascii="Calibri" w:hAnsi="Calibri"/>
          <w:i/>
          <w:sz w:val="20"/>
        </w:rPr>
        <w:t xml:space="preserve">The impact of monetary policy on a labor market with heterogeneous workers: The case of Chile. </w:t>
      </w:r>
      <w:r>
        <w:rPr>
          <w:rFonts w:ascii="Calibri" w:hAnsi="Calibri"/>
          <w:sz w:val="20"/>
        </w:rPr>
        <w:t xml:space="preserve">Latin American Journal of Central Banking, 4(2). </w:t>
      </w:r>
      <w:r>
        <w:rPr>
          <w:rFonts w:ascii="Calibri" w:hAnsi="Calibri"/>
          <w:color w:val="0046B4"/>
          <w:sz w:val="18"/>
        </w:rPr>
        <w:t>https://www.sciencedirect.com/science/article/pii/S2666143823000133</w:t>
      </w:r>
    </w:p>
    <w:p>
      <w:pPr>
        <w:spacing w:after="80"/>
        <w:ind w:left="454" w:hanging="454"/>
      </w:pPr>
      <w:r>
        <w:rPr>
          <w:rFonts w:ascii="Calibri" w:hAnsi="Calibri"/>
          <w:b/>
          <w:sz w:val="20"/>
        </w:rPr>
        <w:t xml:space="preserve">de Mello, L. &amp; Moccero, D. (2011). </w:t>
      </w:r>
      <w:r>
        <w:rPr>
          <w:rFonts w:ascii="Calibri" w:hAnsi="Calibri"/>
          <w:i/>
          <w:sz w:val="20"/>
        </w:rPr>
        <w:t xml:space="preserve">Monetary policy and macroeconomic stability in Latin America: The cases of Brazil, Chile, Colombia and Mexico. </w:t>
      </w:r>
      <w:r>
        <w:rPr>
          <w:rFonts w:ascii="Calibri" w:hAnsi="Calibri"/>
          <w:sz w:val="20"/>
        </w:rPr>
        <w:t xml:space="preserve">Journal of International Money and Finance, 30(1), 229-245. </w:t>
      </w:r>
      <w:r>
        <w:rPr>
          <w:rFonts w:ascii="Calibri" w:hAnsi="Calibri"/>
          <w:color w:val="0046B4"/>
          <w:sz w:val="18"/>
        </w:rPr>
        <w:t>https://www.sciencedirect.com/science/article/abs/pii/S0261560610001075</w:t>
      </w:r>
    </w:p>
    <w:p>
      <w:pPr>
        <w:spacing w:after="80"/>
        <w:ind w:left="454" w:hanging="454"/>
      </w:pPr>
      <w:r>
        <w:rPr>
          <w:rFonts w:ascii="Calibri" w:hAnsi="Calibri"/>
          <w:b/>
          <w:sz w:val="20"/>
        </w:rPr>
        <w:t xml:space="preserve">Ha, J., Kim, D., Kose, M.A. &amp; Prasad, E.S. (2025). </w:t>
      </w:r>
      <w:r>
        <w:rPr>
          <w:rFonts w:ascii="Calibri" w:hAnsi="Calibri"/>
          <w:i/>
          <w:sz w:val="20"/>
        </w:rPr>
        <w:t xml:space="preserve">Resolving puzzles of monetary policy transmission in emerging markets. </w:t>
      </w:r>
      <w:r>
        <w:rPr>
          <w:rFonts w:ascii="Calibri" w:hAnsi="Calibri"/>
          <w:sz w:val="20"/>
        </w:rPr>
        <w:t xml:space="preserve">European Economic Review, 173. </w:t>
      </w:r>
      <w:r>
        <w:rPr>
          <w:rFonts w:ascii="Calibri" w:hAnsi="Calibri"/>
          <w:color w:val="0046B4"/>
          <w:sz w:val="18"/>
        </w:rPr>
        <w:t>https://www.sciencedirect.com/science/article/abs/pii/S0014292125000078</w:t>
      </w:r>
    </w:p>
    <w:p>
      <w:pPr>
        <w:spacing w:after="80"/>
        <w:ind w:left="454" w:hanging="454"/>
      </w:pPr>
      <w:r>
        <w:rPr>
          <w:rFonts w:ascii="Calibri" w:hAnsi="Calibri"/>
          <w:b/>
          <w:sz w:val="20"/>
        </w:rPr>
        <w:t xml:space="preserve">Ginn, W. &amp; Pourroy, M. (2020). </w:t>
      </w:r>
      <w:r>
        <w:rPr>
          <w:rFonts w:ascii="Calibri" w:hAnsi="Calibri"/>
          <w:i/>
          <w:sz w:val="20"/>
        </w:rPr>
        <w:t xml:space="preserve">Should a central bank react to food inflation? Evidence from an estimated model for Chile. </w:t>
      </w:r>
      <w:r>
        <w:rPr>
          <w:rFonts w:ascii="Calibri" w:hAnsi="Calibri"/>
          <w:sz w:val="20"/>
        </w:rPr>
        <w:t xml:space="preserve">Economic Modelling, 90, 221-234. </w:t>
      </w:r>
      <w:r>
        <w:rPr>
          <w:rFonts w:ascii="Calibri" w:hAnsi="Calibri"/>
          <w:color w:val="0046B4"/>
          <w:sz w:val="18"/>
        </w:rPr>
        <w:t>https://www.sciencedirect.com/science/article/abs/pii/S0264999319318474</w:t>
      </w:r>
    </w:p>
    <w:p>
      <w:pPr>
        <w:spacing w:after="80"/>
        <w:ind w:left="454" w:hanging="454"/>
      </w:pPr>
      <w:r>
        <w:rPr>
          <w:rFonts w:ascii="Calibri" w:hAnsi="Calibri"/>
          <w:b/>
          <w:sz w:val="20"/>
        </w:rPr>
        <w:t xml:space="preserve">Arroyo Marioli, F., Becerra, J.S. &amp; Solorza, M. (2022). </w:t>
      </w:r>
      <w:r>
        <w:rPr>
          <w:rFonts w:ascii="Calibri" w:hAnsi="Calibri"/>
          <w:i/>
          <w:sz w:val="20"/>
        </w:rPr>
        <w:t xml:space="preserve">The credit channel in Chile through the lens of a semi-structural model. </w:t>
      </w:r>
      <w:r>
        <w:rPr>
          <w:rFonts w:ascii="Calibri" w:hAnsi="Calibri"/>
          <w:sz w:val="20"/>
        </w:rPr>
        <w:t xml:space="preserve">Latin American Journal of Central Banking, 3(2). </w:t>
      </w:r>
      <w:r>
        <w:rPr>
          <w:rFonts w:ascii="Calibri" w:hAnsi="Calibri"/>
          <w:color w:val="0046B4"/>
          <w:sz w:val="18"/>
        </w:rPr>
        <w:t>https://www.sciencedirect.com/science/article/pii/S2666143822000102</w:t>
      </w:r>
    </w:p>
    <w:p>
      <w:pPr>
        <w:spacing w:after="80"/>
        <w:ind w:left="454" w:hanging="454"/>
      </w:pPr>
      <w:r>
        <w:rPr>
          <w:rFonts w:ascii="Calibri" w:hAnsi="Calibri"/>
          <w:b/>
          <w:sz w:val="20"/>
        </w:rPr>
        <w:t xml:space="preserve">Pedersen, M. (2018). </w:t>
      </w:r>
      <w:r>
        <w:rPr>
          <w:rFonts w:ascii="Calibri" w:hAnsi="Calibri"/>
          <w:i/>
          <w:sz w:val="20"/>
        </w:rPr>
        <w:t xml:space="preserve">Credit risk and monetary pass-through - Evidence from Chile. </w:t>
      </w:r>
      <w:r>
        <w:rPr>
          <w:rFonts w:ascii="Calibri" w:hAnsi="Calibri"/>
          <w:sz w:val="20"/>
        </w:rPr>
        <w:t xml:space="preserve">Journal of Financial Stability, 36(C), 144-158. </w:t>
      </w:r>
      <w:r>
        <w:rPr>
          <w:rFonts w:ascii="Calibri" w:hAnsi="Calibri"/>
          <w:color w:val="0046B4"/>
          <w:sz w:val="18"/>
        </w:rPr>
        <w:t>https://www.sciencedirect.com/science/article/abs/pii/S1572308917301742</w:t>
      </w:r>
    </w:p>
    <w:p>
      <w:pPr>
        <w:spacing w:after="80"/>
        <w:ind w:left="454" w:hanging="454"/>
      </w:pPr>
      <w:r>
        <w:rPr>
          <w:rFonts w:ascii="Calibri" w:hAnsi="Calibri"/>
          <w:b/>
          <w:sz w:val="20"/>
        </w:rPr>
        <w:t xml:space="preserve">Quintero Otero, J.D. (2024). </w:t>
      </w:r>
      <w:r>
        <w:rPr>
          <w:rFonts w:ascii="Calibri" w:hAnsi="Calibri"/>
          <w:i/>
          <w:sz w:val="20"/>
        </w:rPr>
        <w:t xml:space="preserve">Asymmetries in the interest rate channel in inflation-targeting Latin American countries. </w:t>
      </w:r>
      <w:r>
        <w:rPr>
          <w:rFonts w:ascii="Calibri" w:hAnsi="Calibri"/>
          <w:sz w:val="20"/>
        </w:rPr>
        <w:t xml:space="preserve">Latin American Journal of Central Banking. </w:t>
      </w:r>
      <w:r>
        <w:rPr>
          <w:rFonts w:ascii="Calibri" w:hAnsi="Calibri"/>
          <w:color w:val="0046B4"/>
          <w:sz w:val="18"/>
        </w:rPr>
        <w:t>https://www.sciencedirect.com/science/article/abs/pii/S1703494924000197</w:t>
      </w:r>
    </w:p>
    <w:p>
      <w:pPr>
        <w:spacing w:after="80"/>
        <w:ind w:left="454" w:hanging="454"/>
      </w:pPr>
      <w:r>
        <w:rPr>
          <w:rFonts w:ascii="Calibri" w:hAnsi="Calibri"/>
          <w:b/>
          <w:sz w:val="20"/>
        </w:rPr>
        <w:t xml:space="preserve">Jara, A. &amp; Pina, M. (2023). </w:t>
      </w:r>
      <w:r>
        <w:rPr>
          <w:rFonts w:ascii="Calibri" w:hAnsi="Calibri"/>
          <w:i/>
          <w:sz w:val="20"/>
        </w:rPr>
        <w:t xml:space="preserve">Exchange rate volatility and the effectiveness of FX interventions: The case of Chile. </w:t>
      </w:r>
      <w:r>
        <w:rPr>
          <w:rFonts w:ascii="Calibri" w:hAnsi="Calibri"/>
          <w:sz w:val="20"/>
        </w:rPr>
        <w:t xml:space="preserve">Latin American Journal of Central Banking, 4(2). </w:t>
      </w:r>
      <w:r>
        <w:rPr>
          <w:rFonts w:ascii="Calibri" w:hAnsi="Calibri"/>
          <w:color w:val="0046B4"/>
          <w:sz w:val="18"/>
        </w:rPr>
        <w:t>https://www.sciencedirect.com/science/article/pii/S2666143823000030</w:t>
      </w:r>
    </w:p>
    <w:p>
      <w:pPr>
        <w:spacing w:after="80"/>
        <w:ind w:left="454" w:hanging="454"/>
      </w:pPr>
      <w:r>
        <w:rPr>
          <w:rFonts w:ascii="Calibri" w:hAnsi="Calibri"/>
          <w:b/>
          <w:sz w:val="20"/>
        </w:rPr>
        <w:t xml:space="preserve">Nadal De Simone, F. (2024). </w:t>
      </w:r>
      <w:r>
        <w:rPr>
          <w:rFonts w:ascii="Calibri" w:hAnsi="Calibri"/>
          <w:i/>
          <w:sz w:val="20"/>
        </w:rPr>
        <w:t xml:space="preserve">The transmission of U.S. monetary policy to small open economies. </w:t>
      </w:r>
      <w:r>
        <w:rPr>
          <w:rFonts w:ascii="Calibri" w:hAnsi="Calibri"/>
          <w:sz w:val="20"/>
        </w:rPr>
        <w:t xml:space="preserve">Journal of International Money and Finance. </w:t>
      </w:r>
      <w:r>
        <w:rPr>
          <w:rFonts w:ascii="Calibri" w:hAnsi="Calibri"/>
          <w:color w:val="0046B4"/>
          <w:sz w:val="18"/>
        </w:rPr>
        <w:t>https://www.sciencedirect.com/science/article/abs/pii/S0261560624000251</w:t>
      </w:r>
    </w:p>
    <w:p>
      <w:pPr>
        <w:spacing w:after="80"/>
        <w:ind w:left="454" w:hanging="454"/>
      </w:pPr>
      <w:r>
        <w:rPr>
          <w:rFonts w:ascii="Calibri" w:hAnsi="Calibri"/>
          <w:b/>
          <w:sz w:val="20"/>
        </w:rPr>
        <w:t xml:space="preserve">Naraidoo, R. &amp; Paez-Farrell, J. (2023). </w:t>
      </w:r>
      <w:r>
        <w:rPr>
          <w:rFonts w:ascii="Calibri" w:hAnsi="Calibri"/>
          <w:i/>
          <w:sz w:val="20"/>
        </w:rPr>
        <w:t xml:space="preserve">Commodity price shocks, labour market dynamics and monetary policy in small open economies. </w:t>
      </w:r>
      <w:r>
        <w:rPr>
          <w:rFonts w:ascii="Calibri" w:hAnsi="Calibri"/>
          <w:sz w:val="20"/>
        </w:rPr>
        <w:t xml:space="preserve">Journal of Economic Dynamics and Control, 151(C). </w:t>
      </w:r>
      <w:r>
        <w:rPr>
          <w:rFonts w:ascii="Calibri" w:hAnsi="Calibri"/>
          <w:color w:val="0046B4"/>
          <w:sz w:val="18"/>
        </w:rPr>
        <w:t>https://www.sciencedirect.com/science/article/pii/S016518892300060X</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