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Gefährdungen durch Bewehrung</w:t>
      </w:r>
    </w:p>
    <w:p w:rsidR="00CC2FA3" w:rsidRDefault="00CC2FA3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>
        <w:rPr>
          <w:rFonts w:ascii="Arial" w:hAnsi="Arial" w:eastAsia="Arial" w:cs="Arial"/>
          <w:color w:val="000000"/>
          <w:sz w:val="21"/>
          <w:szCs w:val="28"/>
        </w:rPr>
        <w:t>Technologisch bedingt kommen Anschlussbewehrungen in Form von Stabstählen auf Baustellen zum Einsatz.</w:t>
      </w:r>
    </w:p>
    <w:p w:rsidR="00CC2FA3" w:rsidRDefault="00CC2FA3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>
        <w:rPr>
          <w:rFonts w:ascii="Arial" w:hAnsi="Arial" w:eastAsia="Arial" w:cs="Arial"/>
          <w:color w:val="000000"/>
          <w:sz w:val="21"/>
          <w:szCs w:val="28"/>
        </w:rPr>
        <w:t>Für Beschäftigte in diesen Bereichen besteht ein erhöhtes Risiko durch Stolpern, Ausrutschen, Sturz oder Absturz auf bzw. an diese Anschlusseisen durch zusätzliche schwere oder tödliche Verletzungen, wie Pfählungs- oder Stichverletzungen.</w:t>
      </w:r>
      <w:r>
        <w:rPr>
          <w:rStyle w:val="Funotenzeichen"/>
          <w:rFonts w:ascii="Arial" w:hAnsi="Arial" w:eastAsia="Arial" w:cs="Arial"/>
          <w:color w:val="000000"/>
          <w:sz w:val="21"/>
          <w:szCs w:val="28"/>
        </w:rPr>
        <w:footnoteReference w:id="1"/>
      </w:r>
      <w:r>
        <w:rPr>
          <w:rFonts w:ascii="Arial" w:hAnsi="Arial" w:eastAsia="Arial" w:cs="Arial"/>
          <w:color w:val="000000"/>
          <w:sz w:val="21"/>
          <w:szCs w:val="28"/>
        </w:rPr>
        <w:t xml:space="preserve"> Wenn das </w:t>
      </w:r>
      <w:r w:rsidRPr="005C2EBF">
        <w:rPr>
          <w:rFonts w:ascii="Arial" w:hAnsi="Arial" w:eastAsia="Arial" w:cs="Arial"/>
          <w:color w:val="000000"/>
          <w:sz w:val="21"/>
          <w:szCs w:val="28"/>
        </w:rPr>
        <w:t>Herabfallen von Personen von einem Arbeitsmittel auf eine tiefer gelegene Fläche</w:t>
      </w:r>
      <w:r>
        <w:rPr>
          <w:rFonts w:ascii="Arial" w:hAnsi="Arial" w:eastAsia="Arial" w:cs="Arial"/>
          <w:color w:val="000000"/>
          <w:sz w:val="21"/>
          <w:szCs w:val="28"/>
        </w:rPr>
        <w:t xml:space="preserve"> oder einen Gegenstand möglich ist, müssen Sicherungsmaßnahmen ergriffen werden, siehe auch TRBS 2121.</w:t>
      </w:r>
      <w:r>
        <w:rPr>
          <w:rStyle w:val="Funotenzeichen"/>
          <w:rFonts w:ascii="Arial" w:hAnsi="Arial" w:eastAsia="Arial" w:cs="Arial"/>
          <w:color w:val="000000"/>
          <w:sz w:val="21"/>
          <w:szCs w:val="28"/>
        </w:rPr>
        <w:footnoteReference w:id="2"/>
      </w:r>
    </w:p>
    <w:p w:rsidR="00CC2FA3" w:rsidRPr="00794412" w:rsidRDefault="00CC2FA3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794412">
        <w:rPr>
          <w:rFonts w:ascii="Arial" w:hAnsi="Arial" w:eastAsia="Arial" w:cs="Arial"/>
          <w:color w:val="000000"/>
          <w:sz w:val="21"/>
          <w:szCs w:val="28"/>
        </w:rPr>
        <w:t>Folgende technische Lösungen zur Risikovermeidung gibt es:</w:t>
      </w:r>
    </w:p>
    <w:p w:rsidR="00CC2FA3" w:rsidRPr="00794412" w:rsidRDefault="00CC2FA3" w:rsidP="00CC2FA3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  <w:b/>
        </w:rPr>
      </w:pPr>
      <w:r>
        <w:rPr>
          <w:rFonts w:ascii="Arial" w:hAnsi="Arial" w:eastAsia="Arial" w:cs="Arial"/>
          <w:color w:val="000000"/>
          <w:sz w:val="21"/>
        </w:rPr>
        <w:t>Umbiegen, ab Werk, auf der Baustelle. Achtung: häufig sprechen statische Erfordernisse dagegen,</w:t>
      </w:r>
    </w:p>
    <w:p w:rsidR="00CC2FA3" w:rsidRPr="00400F85" w:rsidRDefault="00CC2FA3" w:rsidP="00CC2FA3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400F85">
        <w:rPr>
          <w:rFonts w:ascii="Arial" w:hAnsi="Arial" w:eastAsia="Arial" w:cs="Arial"/>
          <w:color w:val="000000"/>
          <w:sz w:val="21"/>
        </w:rPr>
        <w:t>Verwendung von Rückbiegeanschlüssen</w:t>
      </w:r>
      <w:r>
        <w:rPr>
          <w:rFonts w:ascii="Arial" w:hAnsi="Arial" w:eastAsia="Arial" w:cs="Arial"/>
          <w:color w:val="000000"/>
          <w:sz w:val="21"/>
        </w:rPr>
        <w:t>,</w:t>
      </w:r>
    </w:p>
    <w:p w:rsidR="00CC2FA3" w:rsidRPr="00400F85" w:rsidRDefault="00CC2FA3" w:rsidP="00CC2FA3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400F85">
        <w:rPr>
          <w:rFonts w:ascii="Arial" w:hAnsi="Arial" w:eastAsia="Arial" w:cs="Arial"/>
          <w:color w:val="000000"/>
          <w:sz w:val="21"/>
        </w:rPr>
        <w:t>späteres Einkleben oder Einschrauben</w:t>
      </w:r>
      <w:r>
        <w:rPr>
          <w:rFonts w:ascii="Arial" w:hAnsi="Arial" w:eastAsia="Arial" w:cs="Arial"/>
          <w:color w:val="000000"/>
          <w:sz w:val="21"/>
        </w:rPr>
        <w:t>,</w:t>
      </w:r>
    </w:p>
    <w:p w:rsidR="00CC2FA3" w:rsidRPr="00794412" w:rsidRDefault="00CC2FA3" w:rsidP="00CC2FA3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  <w:b/>
        </w:rPr>
      </w:pPr>
      <w:r>
        <w:rPr>
          <w:rFonts w:ascii="Arial" w:hAnsi="Arial" w:eastAsia="Arial" w:cs="Arial"/>
          <w:color w:val="000000"/>
          <w:sz w:val="21"/>
        </w:rPr>
        <w:t>Abdecken mit Schutzsystemen.</w:t>
      </w:r>
    </w:p>
    <w:p w:rsidR="00CC2FA3" w:rsidRPr="00D66A21" w:rsidRDefault="00CC2FA3" w:rsidP="008222C2">
      <w:pPr>
        <w:keepNext/>
        <w:keepLines/>
        <w:pageBreakBefore w:val="0"/>
        <w:widowControl/>
        <w:spacing w:before="100" w:after="80" w:line="264" w:lineRule="auto"/>
        <w:jc w:val="left"/>
        <w:rPr>
          <w:rFonts w:ascii="Arial Narrow" w:hAnsi="Arial Narrow"/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4"/>
          <w:szCs w:val="30"/>
          <w:u w:val="none"/>
        </w:rPr>
        <w:t>Vertikale bzw. horizontale Anschlussbewehrung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4994"/>
        <w:gridCol w:w="5551"/>
      </w:tblGrid>
      <w:tr w:rsidR="00CC2FA3" w:rsidRPr="00D66A21" w:rsidTr="00CC2FA3">
        <w:trPr>
          <w:cantSplit/>
        </w:trPr>
        <w:tc>
          <w:tcPr>
            <w:tcW w:w="49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C2FA3" w:rsidRPr="00D66A21" w:rsidRDefault="002D0407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sz w:val="32"/>
                <w:szCs w:val="30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27" type="#_x0000_t136" style="position:absolute;left:0;text-align:left;margin-left:107.4pt;margin-top:15.3pt;width:11.75pt;height:51.25pt;z-index:251657216;mso-position-horizontal-relative:text;mso-position-vertical-relative:text" fillcolor="red" stroked="f">
                  <v:stroke r:id="rId8" o:title=""/>
                  <v:shadow on="t" color="#b2b2b2" opacity="52429f" offset="3pt"/>
                  <v:textpath style="font-family:&quot;Times New Roman&quot;;v-text-kern:t" trim="t" fitpath="t" string="!"/>
                </v:shape>
              </w:pict>
            </w:r>
            <w:r w:rsidR="00CC2FA3"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2077BD23" wp14:editId="2C9FAFA6">
                  <wp:extent cx="2127885" cy="1556385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 cx="2127885" cy="155638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C2FA3" w:rsidRPr="00D66A21" w:rsidRDefault="002D0407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sz w:val="32"/>
                <w:szCs w:val="30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pict>
                <v:shape id="_x0000_s1026" type="#_x0000_t136" style="position:absolute;left:0;text-align:left;margin-left:73.45pt;margin-top:35.15pt;width:11.75pt;height:51.25pt;z-index:251658240;mso-position-horizontal-relative:text;mso-position-vertical-relative:text" fillcolor="red" stroked="f">
                  <v:stroke r:id="rId8" o:title=""/>
                  <v:shadow on="t" color="#b2b2b2" opacity="52429f" offset="3pt"/>
                  <v:textpath style="font-family:&quot;Times New Roman&quot;;v-text-kern:t" trim="t" fitpath="t" string="!"/>
                </v:shape>
              </w:pict>
            </w:r>
            <w:r w:rsidR="00CC2FA3"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0522352C" wp14:editId="0C5E7F80">
                  <wp:extent cx="2127885" cy="1556385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 cx="2127885" cy="155638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 w:rsidR="00CC2FA3" w:rsidRPr="00D66A21" w:rsidRDefault="00CC2FA3" w:rsidP="008222C2">
      <w:pPr>
        <w:keepNext/>
        <w:keepLines/>
        <w:pageBreakBefore w:val="0"/>
        <w:widowControl/>
        <w:spacing w:before="100" w:after="80" w:line="264" w:lineRule="auto"/>
        <w:jc w:val="left"/>
        <w:rPr>
          <w:rFonts w:ascii="Arial Narrow" w:hAnsi="Arial Narrow"/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4"/>
          <w:szCs w:val="30"/>
          <w:u w:val="none"/>
        </w:rPr>
        <w:lastRenderedPageBreak/>
        <w:t>Abdeckung mit Schutzsystemen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4994"/>
        <w:gridCol w:w="5551"/>
      </w:tblGrid>
      <w:tr w:rsidR="00CC2FA3" w:rsidRPr="00D66A21" w:rsidTr="00CC2FA3">
        <w:trPr>
          <w:cantSplit/>
        </w:trPr>
        <w:tc>
          <w:tcPr>
            <w:tcW w:w="49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C2FA3" w:rsidRDefault="00CC2FA3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noProof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75BD2EF0" wp14:editId="75BE9197">
                  <wp:extent cx="2127885" cy="1556385"/>
                  <wp:effectExtent l="0" t="0" r="0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 cx="2127885" cy="155638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C2FA3" w:rsidRPr="00D66A21" w:rsidRDefault="00CC2FA3" w:rsidP="008222C2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b/>
                <w:sz w:val="32"/>
                <w:szCs w:val="30"/>
              </w:rPr>
            </w:pPr>
            <w:r w:rsidRPr="00F45627">
              <w:rPr>
                <w:rFonts w:ascii="Arial" w:hAnsi="Arial" w:eastAsia="Arial" w:cs="Arial"/>
                <w:color w:val="000000"/>
                <w:sz w:val="21"/>
                <w:szCs w:val="28"/>
              </w:rPr>
              <w:t xml:space="preserve">Abdeckung von Einzelstäben mit Schutzkappen bzw. Leistensysteme, von z.B. </w:t>
            </w: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 xml:space="preserve">der Firma </w:t>
            </w:r>
            <w:r w:rsidRPr="00F45627">
              <w:rPr>
                <w:rFonts w:ascii="Arial" w:hAnsi="Arial" w:eastAsia="Arial" w:cs="Arial"/>
                <w:color w:val="000000"/>
                <w:sz w:val="21"/>
                <w:szCs w:val="28"/>
              </w:rPr>
              <w:t>Nevoga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407" w:rsidRDefault="002D0407" w:rsidP="00861D55">
      <w:pPr>
        <w:spacing w:after="0"/>
      </w:pPr>
      <w:r>
        <w:separator/>
      </w:r>
    </w:p>
  </w:endnote>
  <w:endnote w:type="continuationSeparator" w:id="0">
    <w:p w:rsidR="002D0407" w:rsidRDefault="002D0407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Anschlussbewehrung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407" w:rsidRDefault="002D0407" w:rsidP="00861D55">
      <w:pPr>
        <w:spacing w:after="0"/>
      </w:pPr>
      <w:r>
        <w:separator/>
      </w:r>
    </w:p>
  </w:footnote>
  <w:footnote w:type="continuationSeparator" w:id="0">
    <w:p w:rsidR="002D0407" w:rsidRDefault="002D0407" w:rsidP="00861D55">
      <w:pPr>
        <w:spacing w:after="0"/>
      </w:pPr>
      <w:r>
        <w:continuationSeparator/>
      </w:r>
    </w:p>
  </w:footnote>
  <w:footnote w:id="1">
    <w:p w:rsidR="00CC2FA3" w:rsidRDefault="00CC2FA3" w:rsidP="00CC2FA3">
      <w:pPr>
        <w:pStyle w:val="Funotentext"/>
      </w:pPr>
      <w:r>
        <w:rPr>
          <w:rStyle w:val="Funotenzeichen"/>
        </w:rPr>
        <w:footnoteRef/>
      </w:r>
      <w:r>
        <w:t xml:space="preserve"> BauPortal 8/2016</w:t>
      </w:r>
    </w:p>
  </w:footnote>
  <w:footnote w:id="2">
    <w:p w:rsidR="00CC2FA3" w:rsidRDefault="00CC2FA3" w:rsidP="00CC2FA3">
      <w:pPr>
        <w:pStyle w:val="Funotentext"/>
      </w:pPr>
      <w:r>
        <w:rPr>
          <w:rStyle w:val="Funotenzeichen"/>
        </w:rPr>
        <w:footnoteRef/>
      </w:r>
      <w:r>
        <w:t xml:space="preserve"> Technische Regeln für Betriebssicherheit TRBS 2121 „Gefährdung von Personen durch Absturz - Allgemeine Anforderungen“ (GMBl. Nr. 15 vom 23. März 2007 S. 326)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2026-10-03T04:33:00Z</dcterms:created>
  <dcterms:modified xsi:type="dcterms:W3CDTF">2026-10-03T04:33:00Z</dcterms:modified>
  <dc:title>Anschlussbewehrung</dc:title>
  <dc:subject>Word-Vorlage mit Projektplatzhaltern</dc:subject>
  <dc:description/>
  <cp:keywords/>
</cp:coreProperties>
</file>