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Verwendung von Hubarbeitsbühnen</w:t>
      </w:r>
    </w:p>
    <w:p w:rsidR="00366B2F" w:rsidRDefault="00366B2F" w:rsidP="005971CE">
      <w:pPr>
        <w:keepNext w:val="0"/>
        <w:keepLines/>
        <w:pageBreakBefore w:val="0"/>
        <w:widowControl/>
        <w:spacing w:after="80" w:before="0" w:line="264" w:lineRule="auto"/>
        <w:jc w:val="left"/>
        <w:rPr>
          <w:rFonts w:ascii="Arial Narrow" w:hAnsi="Arial Narrow"/>
          <w:szCs w:val="28"/>
        </w:rPr>
      </w:pPr>
      <w:r w:rsidRPr="008B1956">
        <w:rPr>
          <w:rFonts w:ascii="Arial" w:hAnsi="Arial" w:eastAsia="Arial" w:cs="Arial"/>
          <w:color w:val="000000"/>
          <w:sz w:val="21"/>
          <w:szCs w:val="28"/>
        </w:rPr>
        <w:t>Für die Benutzung von selbstfahrenden Hubarbeitsbühnen gelten die folgenden Regelungen. Diese Hinweise erheben keinen Anspruch auf Vollständigkeit</w:t>
      </w:r>
      <w:r>
        <w:rPr>
          <w:rFonts w:ascii="Arial" w:hAnsi="Arial" w:eastAsia="Arial" w:cs="Arial"/>
          <w:color w:val="000000"/>
          <w:sz w:val="21"/>
          <w:szCs w:val="28"/>
        </w:rPr>
        <w:t>.</w:t>
      </w:r>
    </w:p>
    <w:p w:rsidR="00366B2F" w:rsidRPr="008B1956" w:rsidRDefault="00366B2F" w:rsidP="005971CE">
      <w:pPr>
        <w:keepNext/>
        <w:keepLines/>
        <w:pageBreakBefore w:val="0"/>
        <w:widowControl/>
        <w:spacing w:after="80" w:before="100" w:line="264" w:lineRule="auto"/>
        <w:jc w:val="left"/>
        <w:rPr>
          <w:rFonts w:ascii="Arial Narrow" w:hAnsi="Arial Narrow"/>
          <w:b/>
          <w:szCs w:val="28"/>
        </w:rPr>
      </w:pPr>
      <w:r w:rsidRPr="008B1956">
        <w:rPr>
          <w:rFonts w:ascii="Arial" w:hAnsi="Arial" w:eastAsia="Arial" w:cs="Arial"/>
          <w:b/>
          <w:color w:val="000000"/>
          <w:sz w:val="24"/>
          <w:szCs w:val="28"/>
          <w:u w:val="none"/>
        </w:rPr>
        <w:t>Vor dem Einsatz der Hubarbeitsbühnen:</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Nachweis der Eignung der ausgewählten Hubarbeitsbühne für die geplanten Arbeiten.</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Tragfähigkeit und Befahrbarkeit des Untergrundes prüfen.</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Durchführung der Sichtkontrolle nach äußeren Beschädigungen, Leckagen, Vorratskontrolle Hydraulik und Batterie, ordnungsgemäßer Zustand der Umwehrung und des Zuganges, unbeschädigte Anschlagpunkte müssen vorhanden sein.</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Funktionskontrolle Not-Aus-Schalter, Funktionsfähigkeit Bedienelemente, Erprobung Signaleinrichtungen und Bremskontrolle, Nivellierwaagen, Beherrschung Notablass.</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Vorhandensein Prüfbuch. Sachkundigen</w:t>
      </w:r>
      <w:r>
        <w:rPr>
          <w:rFonts w:ascii="Arial" w:hAnsi="Arial" w:eastAsia="Arial" w:cs="Arial"/>
          <w:color w:val="000000"/>
          <w:sz w:val="21"/>
        </w:rPr>
        <w:t>prüfung erfolgt. Qualifikation Bediener nachgewiesen.</w:t>
      </w:r>
    </w:p>
    <w:p w:rsidR="00366B2F" w:rsidRPr="008B1956"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8B1956">
        <w:rPr>
          <w:rFonts w:ascii="Arial" w:hAnsi="Arial" w:eastAsia="Arial" w:cs="Arial"/>
          <w:color w:val="000000"/>
          <w:sz w:val="21"/>
        </w:rPr>
        <w:t>An der Verwendungsstelle muss eine Betriebsanleitung vorhanden sein.</w:t>
      </w:r>
    </w:p>
    <w:p w:rsidR="00366B2F" w:rsidRPr="0078405F" w:rsidRDefault="00366B2F" w:rsidP="005971CE">
      <w:pPr>
        <w:keepNext/>
        <w:keepLines/>
        <w:pageBreakBefore w:val="0"/>
        <w:widowControl/>
        <w:spacing w:after="80" w:before="100" w:line="264" w:lineRule="auto"/>
        <w:jc w:val="left"/>
        <w:rPr>
          <w:rFonts w:ascii="Arial Narrow" w:hAnsi="Arial Narrow"/>
          <w:b/>
          <w:szCs w:val="28"/>
        </w:rPr>
      </w:pPr>
      <w:r w:rsidRPr="0078405F">
        <w:rPr>
          <w:rFonts w:ascii="Arial" w:hAnsi="Arial" w:eastAsia="Arial" w:cs="Arial"/>
          <w:b/>
          <w:color w:val="000000"/>
          <w:sz w:val="24"/>
          <w:szCs w:val="28"/>
          <w:u w:val="none"/>
        </w:rPr>
        <w:t>Beim Einsatz von Hubarbeitsbühnen:</w:t>
      </w:r>
    </w:p>
    <w:p w:rsidR="00366B2F" w:rsidRPr="00B55575"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B55575">
        <w:rPr>
          <w:rFonts w:ascii="Arial" w:hAnsi="Arial" w:eastAsia="Arial" w:cs="Arial"/>
          <w:color w:val="000000"/>
          <w:sz w:val="21"/>
        </w:rPr>
        <w:t>Plattform nicht in Schwingungen versetzen, Gegenstände auf Plattform gegen Herunterfallen sichern.</w:t>
      </w:r>
      <w:r>
        <w:rPr>
          <w:rFonts w:ascii="Arial" w:hAnsi="Arial" w:eastAsia="Arial" w:cs="Arial"/>
          <w:color w:val="000000"/>
          <w:sz w:val="21"/>
        </w:rPr>
        <w:t xml:space="preserve"> </w:t>
      </w:r>
      <w:r w:rsidRPr="00B55575">
        <w:rPr>
          <w:rFonts w:ascii="Arial" w:hAnsi="Arial" w:eastAsia="Arial" w:cs="Arial"/>
          <w:color w:val="000000"/>
          <w:sz w:val="21"/>
        </w:rPr>
        <w:t>Gegenstände dürfen weder auf die Plattform geworfen noch von ihr abgeworfen werden.</w:t>
      </w:r>
    </w:p>
    <w:p w:rsidR="00366B2F" w:rsidRPr="0078405F"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78405F">
        <w:rPr>
          <w:rFonts w:ascii="Arial" w:hAnsi="Arial" w:eastAsia="Arial" w:cs="Arial"/>
          <w:color w:val="000000"/>
          <w:sz w:val="21"/>
        </w:rPr>
        <w:t>Bei Arbeiten an oder in der Nähe ungeschützter elektrischer Anlagen werden weitere Anforderungen an die Isolation der Hubarbeitsbühne gestellt</w:t>
      </w:r>
      <w:r>
        <w:rPr>
          <w:rFonts w:ascii="Arial" w:hAnsi="Arial" w:eastAsia="Arial" w:cs="Arial"/>
          <w:color w:val="000000"/>
          <w:sz w:val="21"/>
        </w:rPr>
        <w:t>.</w:t>
      </w:r>
    </w:p>
    <w:p w:rsidR="00366B2F" w:rsidRPr="00B55575"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B55575">
        <w:rPr>
          <w:rFonts w:ascii="Arial" w:hAnsi="Arial" w:eastAsia="Arial" w:cs="Arial"/>
          <w:color w:val="000000"/>
          <w:sz w:val="21"/>
        </w:rPr>
        <w:t xml:space="preserve">Absperrung und Markierung des Verkehrsraumes sind erfolgt. Im Fahrbereich der Hebebühnen dürfen sich keine Hindernisse befinden. Der Fahrweg muss so beschaffen sein, dass die Standsicherheit nicht beeinträchtigt und die Personen auf dem Lastaufnahmemittel nicht gefährdet werden. Der Fahrzeugführer muss die Fahrbahn und den zu durchfahrenden Raum überblicken können, oder der Fahrbereich muss gesichert sein. </w:t>
      </w:r>
    </w:p>
    <w:p w:rsidR="00366B2F" w:rsidRPr="0078405F"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78405F">
        <w:rPr>
          <w:rFonts w:ascii="Arial" w:hAnsi="Arial" w:eastAsia="Arial" w:cs="Arial"/>
          <w:color w:val="000000"/>
          <w:sz w:val="21"/>
        </w:rPr>
        <w:t>Die persönliche Schutzausrüstung gegen Absturz ist gemäß Bedienungsanleitung zu nutzen.</w:t>
      </w:r>
    </w:p>
    <w:p w:rsidR="00366B2F" w:rsidRPr="0078405F"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78405F">
        <w:rPr>
          <w:rFonts w:ascii="Arial" w:hAnsi="Arial" w:eastAsia="Arial" w:cs="Arial"/>
          <w:color w:val="000000"/>
          <w:sz w:val="21"/>
        </w:rPr>
        <w:t>Niemals den Arbeitskorb in angehobener Stellung durch Übersteigen, Umsteigen oder Aussteigen verlassen. Niemals auf dem Geländer des Korbes sitzen oder stehen.</w:t>
      </w:r>
    </w:p>
    <w:p w:rsidR="00366B2F" w:rsidRPr="0078405F" w:rsidRDefault="00366B2F" w:rsidP="005971CE">
      <w:pPr>
        <w:keepNext w:val="0"/>
        <w:keepLines/>
        <w:pageBreakBefore w:val="0"/>
        <w:widowControl/>
        <w:numPr>
          <w:ilvl w:val="0"/>
          <w:numId w:val="2"/>
        </w:numPr>
        <w:spacing w:after="80" w:before="0" w:line="264" w:lineRule="auto"/>
        <w:jc w:val="left"/>
        <w:rPr>
          <w:rFonts w:ascii="Arial Narrow" w:hAnsi="Arial Narrow"/>
        </w:rPr>
      </w:pPr>
      <w:r w:rsidRPr="0078405F">
        <w:rPr>
          <w:rFonts w:ascii="Arial" w:hAnsi="Arial" w:eastAsia="Arial" w:cs="Arial"/>
          <w:color w:val="000000"/>
          <w:sz w:val="21"/>
        </w:rPr>
        <w:t>Niemals die Arbeitshöhe durch Leitern, Planken, Kisten o.ä. erhöhen.</w:t>
      </w:r>
    </w:p>
    <w:p w:rsidR="00366B2F" w:rsidRPr="0084016B" w:rsidRDefault="00366B2F" w:rsidP="005971CE">
      <w:pPr>
        <w:keepNext w:val="0"/>
        <w:keepLines/>
        <w:pageBreakBefore w:val="0"/>
        <w:widowControl/>
        <w:numPr>
          <w:ilvl w:val="0"/>
          <w:numId w:val="2"/>
        </w:numPr>
        <w:spacing w:after="80" w:before="0" w:line="264" w:lineRule="auto"/>
        <w:ind w:left="357" w:hanging="357"/>
        <w:jc w:val="left"/>
        <w:rPr>
          <w:rFonts w:ascii="Arial Narrow" w:hAnsi="Arial Narrow"/>
        </w:rPr>
      </w:pPr>
      <w:r w:rsidRPr="0084016B">
        <w:rPr>
          <w:rFonts w:ascii="Arial" w:hAnsi="Arial" w:eastAsia="Arial" w:cs="Arial"/>
          <w:color w:val="000000"/>
          <w:sz w:val="21"/>
        </w:rPr>
        <w:lastRenderedPageBreak/>
        <w:t>Beim Aufbau im unbefestigten Gelände sind die erforderlichen Werte der Bodenpres</w:t>
      </w:r>
      <w:r>
        <w:rPr>
          <w:rFonts w:ascii="Arial" w:hAnsi="Arial" w:eastAsia="Arial" w:cs="Arial"/>
          <w:color w:val="000000"/>
          <w:sz w:val="21"/>
        </w:rPr>
        <w:softHyphen/>
      </w:r>
      <w:r w:rsidRPr="0084016B">
        <w:rPr>
          <w:rFonts w:ascii="Arial" w:hAnsi="Arial" w:eastAsia="Arial" w:cs="Arial"/>
          <w:color w:val="000000"/>
          <w:sz w:val="21"/>
        </w:rPr>
        <w:t>sungen zu beachten.</w:t>
      </w:r>
    </w:p>
    <w:p w:rsidR="00366B2F" w:rsidRPr="00D46CA4" w:rsidRDefault="00366B2F" w:rsidP="005971CE">
      <w:pPr>
        <w:keepNext w:val="0"/>
        <w:keepLines/>
        <w:pageBreakBefore w:val="0"/>
        <w:widowControl/>
        <w:numPr>
          <w:ilvl w:val="0"/>
          <w:numId w:val="1"/>
        </w:numPr>
        <w:spacing w:after="80" w:before="0" w:line="264" w:lineRule="auto"/>
        <w:ind w:left="357" w:hanging="357"/>
        <w:jc w:val="left"/>
        <w:rPr>
          <w:rFonts w:ascii="Arial Narrow" w:hAnsi="Arial Narrow"/>
          <w:b/>
        </w:rPr>
      </w:pPr>
      <w:r w:rsidRPr="00F51D5F">
        <w:rPr>
          <w:rFonts w:ascii="Arial" w:hAnsi="Arial" w:eastAsia="Arial" w:cs="Arial"/>
          <w:color w:val="000000"/>
          <w:sz w:val="21"/>
        </w:rPr>
        <w:t>Beim Verfahren in Hallen ist auf gängige Abdeckungen von Bodenöffnungen, Schaltafeln, Bretter oder auch Gitterroste unbedingt zu achten.</w:t>
      </w:r>
    </w:p>
    <w:p w:rsidR="00366B2F" w:rsidRPr="00D66A21" w:rsidRDefault="00366B2F" w:rsidP="005971CE">
      <w:pPr>
        <w:keepNext/>
        <w:keepLines/>
        <w:pageBreakBefore w:val="0"/>
        <w:widowControl/>
        <w:spacing w:before="100" w:after="80" w:line="264" w:lineRule="auto"/>
        <w:jc w:val="left"/>
        <w:rPr>
          <w:rFonts w:ascii="Arial Narrow" w:hAnsi="Arial Narrow"/>
          <w:sz w:val="32"/>
          <w:szCs w:val="28"/>
        </w:rPr>
      </w:pPr>
      <w:r w:rsidRPr="00D66A21">
        <w:rPr>
          <w:rFonts w:ascii="Arial" w:hAnsi="Arial" w:eastAsia="Arial" w:cs="Arial"/>
          <w:b/>
          <w:color w:val="000000"/>
          <w:sz w:val="24"/>
          <w:szCs w:val="30"/>
          <w:u w:val="none"/>
        </w:rPr>
        <w:lastRenderedPageBreak/>
        <w:t>Ergänzende Hinweise für d</w:t>
      </w:r>
      <w:r>
        <w:rPr>
          <w:rFonts w:ascii="Arial" w:hAnsi="Arial" w:eastAsia="Arial" w:cs="Arial"/>
          <w:b/>
          <w:color w:val="000000"/>
          <w:sz w:val="24"/>
          <w:szCs w:val="30"/>
          <w:u w:val="none"/>
        </w:rPr>
        <w:t>ie</w:t>
      </w:r>
      <w:r w:rsidRPr="00D66A21">
        <w:rPr>
          <w:rFonts w:ascii="Arial" w:hAnsi="Arial" w:eastAsia="Arial" w:cs="Arial"/>
          <w:b/>
          <w:color w:val="000000"/>
          <w:sz w:val="24"/>
          <w:szCs w:val="30"/>
          <w:u w:val="none"/>
        </w:rPr>
        <w:t xml:space="preserve"> </w:t>
      </w:r>
      <w:r>
        <w:rPr>
          <w:rFonts w:ascii="Arial" w:hAnsi="Arial" w:eastAsia="Arial" w:cs="Arial"/>
          <w:b/>
          <w:color w:val="000000"/>
          <w:sz w:val="24"/>
          <w:szCs w:val="30"/>
          <w:u w:val="none"/>
        </w:rPr>
        <w:t>Nutzung im öffentlichen Verkehrsraum</w:t>
      </w:r>
    </w:p>
    <w:p w:rsidR="00366B2F" w:rsidRPr="00084D5B" w:rsidRDefault="00366B2F" w:rsidP="005971CE">
      <w:pPr>
        <w:keepNext w:val="0"/>
        <w:keepLines/>
        <w:pageBreakBefore w:val="0"/>
        <w:widowControl/>
        <w:numPr>
          <w:ilvl w:val="0"/>
          <w:numId w:val="1"/>
        </w:numPr>
        <w:spacing w:after="80" w:before="0" w:line="264" w:lineRule="auto"/>
        <w:ind w:left="357" w:hanging="357"/>
        <w:jc w:val="left"/>
        <w:rPr>
          <w:rFonts w:ascii="Arial Narrow" w:hAnsi="Arial Narrow"/>
        </w:rPr>
      </w:pPr>
      <w:r>
        <w:rPr>
          <w:rFonts w:ascii="Arial" w:hAnsi="Arial" w:eastAsia="Arial" w:cs="Arial"/>
          <w:color w:val="000000"/>
          <w:sz w:val="21"/>
        </w:rPr>
        <w:t>Kennleuchten für gelbes Blinklicht an fahrbaren Hubarbeitsbühnen sind bei Aufstellung im Verkehrsbereich anderer kraftbetriebenen Fahrzeugen einzuschalten.</w:t>
      </w:r>
    </w:p>
    <w:p>
      <w:pPr>
        <w:keepNext w:val="0"/>
        <w:widowControl/>
        <w:spacing w:before="0" w:after="0" w:line="20" w:lineRule="exact"/>
      </w:pPr>
      <w:r>
        <w:rPr>
          <w:rFonts w:ascii="Arial" w:hAnsi="Arial" w:eastAsia="Arial" w:cs="Arial"/>
          <w:b w:val="0"/>
          <w:color w:val="000000"/>
          <w:sz w:val="2"/>
        </w:rPr>
      </w:r>
    </w:p>
    <w:sectPr w:rsidR="008C62CD" w:rsidSect="00582188">
      <w:headerReference w:type="default" r:id="rId8"/>
      <w:footerReference w:type="default" r:id="rId9"/>
      <w:headerReference w:type="first" r:id="rId12"/>
      <w:headerReference w:type="even" r:id="rId13"/>
      <w:footerReference w:type="first" r:id="rId14"/>
      <w:footerReference w:type="even" r:id="rId15"/>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21BA" w:rsidRDefault="00A821BA" w:rsidP="00861D55">
      <w:pPr>
        <w:spacing w:after="0"/>
      </w:pPr>
      <w:r>
        <w:separator/>
      </w:r>
    </w:p>
  </w:endnote>
  <w:endnote w:type="continuationSeparator" w:id="0">
    <w:p w:rsidR="00A821BA" w:rsidRDefault="00A821BA"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Hubarbeitsbühnen</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21BA" w:rsidRDefault="00A821BA" w:rsidP="00861D55">
      <w:pPr>
        <w:spacing w:after="0"/>
      </w:pPr>
      <w:r>
        <w:separator/>
      </w:r>
    </w:p>
  </w:footnote>
  <w:footnote w:type="continuationSeparator" w:id="0">
    <w:p w:rsidR="00A821BA" w:rsidRDefault="00A821BA" w:rsidP="00861D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2476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2026-10-03T04:28:00Z</dcterms:created>
  <dcterms:modified xsi:type="dcterms:W3CDTF">2026-10-03T04:28:00Z</dcterms:modified>
  <dc:title>Hubarbeitsbühnen</dc:title>
  <dc:subject>Word-Vorlage mit Projektplatzhaltern</dc:subject>
  <dc:description/>
  <cp:keywords/>
</cp:coreProperties>
</file>