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Vermeidung von Staub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8A3531">
        <w:rPr>
          <w:rFonts w:ascii="Arial" w:hAnsi="Arial" w:eastAsia="Arial" w:cs="Arial"/>
          <w:color w:val="000000"/>
          <w:sz w:val="21"/>
          <w:szCs w:val="28"/>
        </w:rPr>
        <w:t>Beurteilung der Expositionsdaten nach de</w:t>
      </w:r>
      <w:r>
        <w:rPr>
          <w:rFonts w:ascii="Arial" w:hAnsi="Arial" w:eastAsia="Arial" w:cs="Arial"/>
          <w:color w:val="000000"/>
          <w:sz w:val="21"/>
          <w:szCs w:val="28"/>
        </w:rPr>
        <w:t>r</w:t>
      </w:r>
      <w:r w:rsidRPr="008A3531">
        <w:rPr>
          <w:rFonts w:ascii="Arial" w:hAnsi="Arial" w:eastAsia="Arial" w:cs="Arial"/>
          <w:color w:val="000000"/>
          <w:sz w:val="21"/>
          <w:szCs w:val="28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8"/>
        </w:rPr>
        <w:t xml:space="preserve">TRGS </w:t>
      </w:r>
      <w:r w:rsidRPr="008A3531">
        <w:rPr>
          <w:rFonts w:ascii="Arial" w:hAnsi="Arial" w:eastAsia="Arial" w:cs="Arial"/>
          <w:color w:val="000000"/>
          <w:sz w:val="21"/>
          <w:szCs w:val="28"/>
        </w:rPr>
        <w:t>504 (Fassung 11.10.2016)</w:t>
      </w:r>
      <w:r>
        <w:rPr>
          <w:rFonts w:ascii="Arial" w:hAnsi="Arial" w:eastAsia="Arial" w:cs="Arial"/>
          <w:color w:val="000000"/>
          <w:sz w:val="21"/>
          <w:szCs w:val="28"/>
        </w:rPr>
        <w:t>.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8A3531">
        <w:rPr>
          <w:rFonts w:ascii="Arial" w:hAnsi="Arial" w:eastAsia="Arial" w:cs="Arial"/>
          <w:color w:val="000000"/>
          <w:sz w:val="21"/>
          <w:szCs w:val="28"/>
        </w:rPr>
        <w:t>Dabei sind</w:t>
      </w:r>
      <w:r>
        <w:rPr>
          <w:rFonts w:ascii="Arial" w:hAnsi="Arial" w:eastAsia="Arial" w:cs="Arial"/>
          <w:color w:val="000000"/>
          <w:sz w:val="21"/>
          <w:szCs w:val="28"/>
        </w:rPr>
        <w:t xml:space="preserve"> </w:t>
      </w:r>
      <w:r w:rsidRPr="008A3531">
        <w:rPr>
          <w:rFonts w:ascii="Arial" w:hAnsi="Arial" w:eastAsia="Arial" w:cs="Arial"/>
          <w:color w:val="000000"/>
          <w:sz w:val="21"/>
          <w:szCs w:val="28"/>
        </w:rPr>
        <w:t>drei verschiedene Befunde denkbar:</w:t>
      </w:r>
    </w:p>
    <w:p w:rsidR="00DD77D0" w:rsidRPr="008A3531" w:rsidRDefault="00DD77D0" w:rsidP="008222C2">
      <w:pPr>
        <w:keepNext/>
        <w:keepLines/>
        <w:pageBreakBefore w:val="0"/>
        <w:widowControl/>
        <w:spacing w:after="80" w:before="100" w:line="264" w:lineRule="auto"/>
        <w:jc w:val="left"/>
        <w:rPr>
          <w:rFonts w:ascii="Arial Narrow" w:hAnsi="Arial Narrow"/>
          <w:szCs w:val="28"/>
          <w:u w:val="single"/>
        </w:rPr>
      </w:pPr>
      <w:r w:rsidRPr="008A3531">
        <w:rPr>
          <w:rFonts w:ascii="Arial" w:hAnsi="Arial" w:eastAsia="Arial" w:cs="Arial"/>
          <w:b/>
          <w:color w:val="000000"/>
          <w:sz w:val="24"/>
          <w:szCs w:val="28"/>
          <w:u w:val="none"/>
        </w:rPr>
        <w:t>1. Befund Schutzmaßnahmen ausreichend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8A3531">
        <w:rPr>
          <w:rFonts w:ascii="Arial" w:hAnsi="Arial" w:eastAsia="Arial" w:cs="Arial"/>
          <w:color w:val="000000"/>
          <w:sz w:val="21"/>
          <w:szCs w:val="28"/>
        </w:rPr>
        <w:t>Einhaltung von 1,25 mg/m³ (A-Staub) und 10 mg/m³ (E-Staub, Kurzzeitwertanforderungen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8A3531">
        <w:rPr>
          <w:rFonts w:ascii="Arial" w:hAnsi="Arial" w:eastAsia="Arial" w:cs="Arial"/>
          <w:color w:val="000000"/>
          <w:sz w:val="21"/>
          <w:szCs w:val="28"/>
        </w:rPr>
        <w:t>erfüllt,</w:t>
      </w:r>
    </w:p>
    <w:p w:rsidR="00DD77D0" w:rsidRPr="008A3531" w:rsidRDefault="00DD77D0" w:rsidP="008222C2">
      <w:pPr>
        <w:keepNext/>
        <w:keepLines/>
        <w:pageBreakBefore w:val="0"/>
        <w:widowControl/>
        <w:spacing w:after="80" w:before="100" w:line="264" w:lineRule="auto"/>
        <w:jc w:val="left"/>
        <w:rPr>
          <w:rFonts w:ascii="Arial Narrow" w:hAnsi="Arial Narrow"/>
          <w:szCs w:val="28"/>
          <w:u w:val="single"/>
        </w:rPr>
      </w:pPr>
      <w:r w:rsidRPr="008A3531">
        <w:rPr>
          <w:rFonts w:ascii="Arial" w:hAnsi="Arial" w:eastAsia="Arial" w:cs="Arial"/>
          <w:b/>
          <w:color w:val="000000"/>
          <w:sz w:val="24"/>
          <w:szCs w:val="28"/>
          <w:u w:val="none"/>
        </w:rPr>
        <w:t>2. Befund Schutzmaßnahmen übergangsweise ausreichend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8A3531">
        <w:rPr>
          <w:rFonts w:ascii="Arial" w:hAnsi="Arial" w:eastAsia="Arial" w:cs="Arial"/>
          <w:color w:val="000000"/>
          <w:sz w:val="21"/>
          <w:szCs w:val="28"/>
        </w:rPr>
        <w:t>Einhaltung von 3 mg/m³ (A-Staub) bei gleichzeitiger Erfüllung der übrigen Voraussetzungen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8A3531">
        <w:rPr>
          <w:rFonts w:ascii="Arial" w:hAnsi="Arial" w:eastAsia="Arial" w:cs="Arial"/>
          <w:color w:val="000000"/>
          <w:sz w:val="21"/>
          <w:szCs w:val="28"/>
        </w:rPr>
        <w:t>von (TRGS 900 Nummer 2.4.2 Absatz 1), Einhaltung von 10</w:t>
      </w:r>
      <w:r>
        <w:rPr>
          <w:rFonts w:ascii="Arial" w:hAnsi="Arial" w:eastAsia="Arial" w:cs="Arial"/>
          <w:color w:val="000000"/>
          <w:sz w:val="21"/>
          <w:szCs w:val="28"/>
        </w:rPr>
        <w:t xml:space="preserve"> </w:t>
      </w:r>
      <w:r w:rsidRPr="008A3531">
        <w:rPr>
          <w:rFonts w:ascii="Arial" w:hAnsi="Arial" w:eastAsia="Arial" w:cs="Arial"/>
          <w:color w:val="000000"/>
          <w:sz w:val="21"/>
          <w:szCs w:val="28"/>
        </w:rPr>
        <w:t>mg/m³ (E-Staub), Kurzzeitwert</w:t>
      </w:r>
      <w:r>
        <w:rPr>
          <w:rFonts w:ascii="Arial" w:hAnsi="Arial" w:eastAsia="Arial" w:cs="Arial"/>
          <w:color w:val="000000"/>
          <w:sz w:val="21"/>
          <w:szCs w:val="28"/>
        </w:rPr>
        <w:softHyphen/>
      </w:r>
      <w:r w:rsidRPr="008A3531">
        <w:rPr>
          <w:rFonts w:ascii="Arial" w:hAnsi="Arial" w:eastAsia="Arial" w:cs="Arial"/>
          <w:color w:val="000000"/>
          <w:sz w:val="21"/>
          <w:szCs w:val="28"/>
        </w:rPr>
        <w:t>anfor</w:t>
      </w:r>
      <w:r>
        <w:rPr>
          <w:rFonts w:ascii="Arial" w:hAnsi="Arial" w:eastAsia="Arial" w:cs="Arial"/>
          <w:color w:val="000000"/>
          <w:sz w:val="21"/>
          <w:szCs w:val="28"/>
        </w:rPr>
        <w:softHyphen/>
      </w:r>
      <w:r w:rsidRPr="008A3531">
        <w:rPr>
          <w:rFonts w:ascii="Arial" w:hAnsi="Arial" w:eastAsia="Arial" w:cs="Arial"/>
          <w:color w:val="000000"/>
          <w:sz w:val="21"/>
          <w:szCs w:val="28"/>
        </w:rPr>
        <w:t>derungen erfüllt,</w:t>
      </w:r>
    </w:p>
    <w:p w:rsidR="00DD77D0" w:rsidRPr="008A3531" w:rsidRDefault="00DD77D0" w:rsidP="008222C2">
      <w:pPr>
        <w:keepNext/>
        <w:keepLines/>
        <w:pageBreakBefore w:val="0"/>
        <w:widowControl/>
        <w:spacing w:after="80" w:before="100" w:line="264" w:lineRule="auto"/>
        <w:jc w:val="left"/>
        <w:rPr>
          <w:rFonts w:ascii="Arial Narrow" w:hAnsi="Arial Narrow"/>
          <w:szCs w:val="28"/>
          <w:u w:val="single"/>
        </w:rPr>
      </w:pPr>
      <w:r w:rsidRPr="008A3531">
        <w:rPr>
          <w:rFonts w:ascii="Arial" w:hAnsi="Arial" w:eastAsia="Arial" w:cs="Arial"/>
          <w:b/>
          <w:color w:val="000000"/>
          <w:sz w:val="24"/>
          <w:szCs w:val="28"/>
          <w:u w:val="none"/>
        </w:rPr>
        <w:t>3. Befund Schutzmaßnahmen nicht ausreichend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8A3531">
        <w:rPr>
          <w:rFonts w:ascii="Arial" w:hAnsi="Arial" w:eastAsia="Arial" w:cs="Arial"/>
          <w:color w:val="000000"/>
          <w:sz w:val="21"/>
          <w:szCs w:val="28"/>
        </w:rPr>
        <w:t>Nichteinhaltung der Arbeitsplatzgrenzwerte von A- oder E-Staub oder Nichterfüllung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>
        <w:rPr>
          <w:rFonts w:ascii="Arial" w:hAnsi="Arial" w:eastAsia="Arial" w:cs="Arial"/>
          <w:color w:val="000000"/>
          <w:sz w:val="21"/>
          <w:szCs w:val="28"/>
        </w:rPr>
        <w:t>der Kurzzeitwertanforderungen.</w:t>
      </w:r>
    </w:p>
    <w:p w:rsidR="00DD77D0" w:rsidRPr="008A3531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>
        <w:rPr>
          <w:rFonts w:ascii="Arial" w:hAnsi="Arial" w:eastAsia="Arial" w:cs="Arial"/>
          <w:color w:val="000000"/>
          <w:sz w:val="21"/>
          <w:szCs w:val="28"/>
        </w:rPr>
        <w:t>Regelwerk für Stäube auf Baustellen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3916"/>
        <w:gridCol w:w="154"/>
        <w:gridCol w:w="6474"/>
      </w:tblGrid>
      <w:tr w:rsidR="00DD77D0" w:rsidRPr="00781687" w:rsidTr="00DD77D0">
        <w:trPr>
          <w:cantSplit/>
        </w:trPr>
        <w:tc>
          <w:tcPr>
            <w:tcW w:w="391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D77D0" w:rsidRPr="00781687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 w:rsidRPr="00781687">
              <w:rPr>
                <w:rFonts w:ascii="Arial" w:hAnsi="Arial" w:eastAsia="Arial" w:cs="Arial"/>
                <w:color w:val="000000"/>
                <w:sz w:val="21"/>
                <w:szCs w:val="28"/>
              </w:rPr>
              <w:t>Asbeststaub</w:t>
            </w: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 w:rsidRPr="00781687">
              <w:rPr>
                <w:rFonts w:ascii="Arial" w:hAnsi="Arial" w:eastAsia="Arial" w:cs="Arial"/>
                <w:color w:val="000000"/>
                <w:sz w:val="21"/>
                <w:szCs w:val="28"/>
              </w:rPr>
              <w:t>Bleihaltige Stäube</w:t>
            </w: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Dieselmotoremissionen,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Gipsstaub,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Hartholzstaub,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andere Holzstäube,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Keramikfaserstäube,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lastRenderedPageBreak/>
              <w:t>Stäube alter Mineralwolle-Dämmstoffe,</w:t>
            </w:r>
          </w:p>
          <w:p w:rsidR="00DD77D0" w:rsidRPr="00781687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</w:rPr>
              <w:t>Quarzstaub</w:t>
            </w:r>
          </w:p>
        </w:tc>
        <w:tc>
          <w:tcPr>
            <w:tcW w:w="6628" w:type="dxa"/>
            <w:gridSpan w:val="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D77D0" w:rsidRPr="00EF406A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 w:rsidRPr="00EF406A">
              <w:rPr>
                <w:rFonts w:ascii="Arial" w:hAnsi="Arial" w:eastAsia="Arial" w:cs="Arial"/>
                <w:color w:val="000000"/>
                <w:sz w:val="21"/>
                <w:szCs w:val="28"/>
              </w:rPr>
              <w:lastRenderedPageBreak/>
              <w:t>TRGS 517 und TRGS 519,</w:t>
            </w:r>
          </w:p>
          <w:p w:rsidR="00DD77D0" w:rsidRPr="00EF406A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 w:rsidRPr="00EF406A">
              <w:rPr>
                <w:rFonts w:ascii="Arial" w:hAnsi="Arial" w:eastAsia="Arial" w:cs="Arial"/>
                <w:color w:val="000000"/>
                <w:sz w:val="21"/>
                <w:szCs w:val="28"/>
              </w:rPr>
              <w:t>TRGS 505,</w:t>
            </w:r>
          </w:p>
          <w:p w:rsidR="00DD77D0" w:rsidRPr="00EF406A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</w:rPr>
            </w:pPr>
            <w:r w:rsidRPr="00EF406A">
              <w:rPr>
                <w:rFonts w:ascii="Arial" w:hAnsi="Arial" w:eastAsia="Arial" w:cs="Arial"/>
                <w:color w:val="000000"/>
                <w:sz w:val="21"/>
                <w:szCs w:val="28"/>
              </w:rPr>
              <w:t>TRGS 554,</w:t>
            </w:r>
          </w:p>
          <w:p w:rsidR="00DD77D0" w:rsidRPr="00781687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  <w:lang w:val="en-US"/>
              </w:rPr>
            </w:pPr>
            <w:r w:rsidRPr="00781687">
              <w:rPr>
                <w:rFonts w:ascii="Arial" w:hAnsi="Arial" w:eastAsia="Arial" w:cs="Arial"/>
                <w:color w:val="000000"/>
                <w:sz w:val="21"/>
                <w:szCs w:val="28"/>
                <w:lang w:val="en-US"/>
              </w:rPr>
              <w:t>TRGS 900,</w:t>
            </w:r>
          </w:p>
          <w:p w:rsidR="00DD77D0" w:rsidRPr="00781687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  <w:lang w:val="en-US"/>
              </w:rPr>
            </w:pPr>
            <w:r w:rsidRPr="00781687">
              <w:rPr>
                <w:rFonts w:ascii="Arial" w:hAnsi="Arial" w:eastAsia="Arial" w:cs="Arial"/>
                <w:color w:val="000000"/>
                <w:sz w:val="21"/>
                <w:szCs w:val="28"/>
                <w:lang w:val="en-US"/>
              </w:rPr>
              <w:t>TRGS 553,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  <w:lang w:val="en-US"/>
              </w:rPr>
            </w:pPr>
            <w:r w:rsidRPr="00781687">
              <w:rPr>
                <w:rFonts w:ascii="Arial" w:hAnsi="Arial" w:eastAsia="Arial" w:cs="Arial"/>
                <w:color w:val="000000"/>
                <w:sz w:val="21"/>
                <w:szCs w:val="28"/>
                <w:lang w:val="en-US"/>
              </w:rPr>
              <w:t>TRGS 553,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  <w:lang w:val="en-US"/>
              </w:rPr>
              <w:t>TRGS 558,</w:t>
            </w:r>
          </w:p>
          <w:p w:rsidR="00DD77D0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  <w:lang w:val="en-US"/>
              </w:rPr>
              <w:lastRenderedPageBreak/>
              <w:t>TRGS 521,</w:t>
            </w:r>
          </w:p>
          <w:p w:rsidR="00DD77D0" w:rsidRPr="00781687" w:rsidRDefault="00DD77D0" w:rsidP="008222C2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Cs w:val="28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28"/>
                <w:lang w:val="en-US"/>
              </w:rPr>
              <w:t>TRGS 559</w:t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 w:rsidR="00DD77D0" w:rsidRPr="006B795E" w:rsidRDefault="00DD77D0" w:rsidP="008222C2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>
        <w:rPr>
          <w:rFonts w:ascii="Arial" w:hAnsi="Arial" w:eastAsia="Arial" w:cs="Arial"/>
          <w:color w:val="000000"/>
          <w:sz w:val="21"/>
          <w:szCs w:val="28"/>
        </w:rPr>
        <w:lastRenderedPageBreak/>
        <w:t>Zum Einsatz dürfen nur Entstauber der Kategorie M kommen, bei Asbestsanierungen solche der Kategorie H. Staubsauger der Staubklasse L sind nicht mehr zulässig.</w:t>
      </w:r>
      <w:r>
        <w:rPr>
          <w:rStyle w:val="Funotenzeichen"/>
          <w:rFonts w:ascii="Arial" w:hAnsi="Arial" w:eastAsia="Arial" w:cs="Arial"/>
          <w:color w:val="000000"/>
          <w:sz w:val="21"/>
          <w:szCs w:val="28"/>
        </w:rPr>
        <w:footnoteReference w:id="1"/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3916"/>
        <w:gridCol w:w="154"/>
        <w:gridCol w:w="6474"/>
      </w:tblGrid>
      <w:tr w:rsidR="00DD77D0" w:rsidTr="00DD77D0">
        <w:trPr>
          <w:cantSplit/>
        </w:trPr>
        <w:tc>
          <w:tcPr>
            <w:tcW w:w="4070" w:type="dxa"/>
            <w:gridSpan w:val="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D77D0" w:rsidRDefault="00DD77D0" w:rsidP="008222C2">
            <w:pPr>
              <w:keepNext w:val="0"/>
              <w:keepLines/>
              <w:pageBreakBefore w:val="0"/>
              <w:widowControl/>
              <w:spacing w:after="60" w:before="0" w:line="264" w:lineRule="auto"/>
              <w:jc w:val="left"/>
              <w:rPr>
                <w:rFonts w:ascii="Arial Narrow" w:hAnsi="Arial Narrow"/>
                <w:noProof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3F295B1A" wp14:editId="3098BC14">
                  <wp:extent cx="2127885" cy="1556385"/>
                  <wp:effectExtent l="0" t="0" r="0" b="0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 cx="2127885" cy="155638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5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D77D0" w:rsidRPr="005C086B" w:rsidRDefault="00DD77D0" w:rsidP="008222C2">
            <w:pPr>
              <w:keepNext w:val="0"/>
              <w:keepLines/>
              <w:pageBreakBefore w:val="0"/>
              <w:widowControl/>
              <w:spacing w:after="60" w:before="0" w:line="264" w:lineRule="auto"/>
              <w:jc w:val="left"/>
              <w:rPr>
                <w:rFonts w:ascii="Arial Narrow" w:hAnsi="Arial Narrow"/>
                <w:noProof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</w:rPr>
              <w:t>Bau-Entstauber, Fabrikat DUSTBOX (</w:t>
            </w:r>
            <w:r w:rsidRPr="00781687">
              <w:rPr>
                <w:rFonts w:ascii="Arial" w:hAnsi="Arial" w:eastAsia="Arial" w:cs="Arial"/>
                <w:noProof/>
                <w:color w:val="000000"/>
                <w:sz w:val="21"/>
              </w:rPr>
              <w:t>möcklinghoff Lufttechnik GmbH</w:t>
            </w:r>
            <w:r>
              <w:rPr>
                <w:rFonts w:ascii="Arial" w:hAnsi="Arial" w:eastAsia="Arial" w:cs="Arial"/>
                <w:noProof/>
                <w:color w:val="000000"/>
                <w:sz w:val="21"/>
              </w:rPr>
              <w:t>, Gelsenkirchen)</w:t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5821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152" w:rsidRDefault="00257152" w:rsidP="00861D55">
      <w:pPr>
        <w:spacing w:after="0"/>
      </w:pPr>
      <w:r>
        <w:separator/>
      </w:r>
    </w:p>
  </w:endnote>
  <w:endnote w:type="continuationSeparator" w:id="0">
    <w:p w:rsidR="00257152" w:rsidRDefault="00257152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Vermeidung von Staub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152" w:rsidRDefault="00257152" w:rsidP="00861D55">
      <w:pPr>
        <w:spacing w:after="0"/>
      </w:pPr>
      <w:r>
        <w:separator/>
      </w:r>
    </w:p>
  </w:footnote>
  <w:footnote w:type="continuationSeparator" w:id="0">
    <w:p w:rsidR="00257152" w:rsidRDefault="00257152" w:rsidP="00861D55">
      <w:pPr>
        <w:spacing w:after="0"/>
      </w:pPr>
      <w:r>
        <w:continuationSeparator/>
      </w:r>
    </w:p>
  </w:footnote>
  <w:footnote w:id="1">
    <w:p w:rsidR="00DD77D0" w:rsidRDefault="00DD77D0" w:rsidP="00DD77D0">
      <w:pPr>
        <w:pStyle w:val="Funotentext"/>
      </w:pPr>
      <w:r>
        <w:rPr>
          <w:rStyle w:val="Funotenzeichen"/>
        </w:rPr>
        <w:footnoteRef/>
      </w:r>
      <w:r>
        <w:t xml:space="preserve"> Technische Regeln für Gefahrstoffe Tätigkeiten mit Exposition gegenüber A- und E-Staub TRGS 504, </w:t>
      </w:r>
      <w:r w:rsidRPr="00EE4F68">
        <w:t>Ausgabe Juni 2016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2026-10-03T04:30:00Z</dcterms:created>
  <dcterms:modified xsi:type="dcterms:W3CDTF">2026-10-03T04:30:00Z</dcterms:modified>
  <dc:title>Vermeidung von Staub</dc:title>
  <dc:subject>Word-Vorlage mit Projektplatzhaltern</dc:subject>
  <dc:description/>
  <cp:keywords/>
</cp:coreProperties>
</file>