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72.png" ContentType="image/png"/>
  <Override PartName="/word/media/rId67.png" ContentType="image/png"/>
  <Override PartName="/word/media/rId43.png" ContentType="image/png"/>
  <Override PartName="/word/media/rId39.png" ContentType="image/png"/>
  <Override PartName="/word/media/rId23.png" ContentType="image/png"/>
  <Override PartName="/word/media/rId63.png" ContentType="image/png"/>
  <Override PartName="/word/media/rId59.png" ContentType="image/png"/>
  <Override PartName="/word/media/rId47.png" ContentType="image/png"/>
  <Override PartName="/word/media/rId77.png" ContentType="image/png"/>
  <Override PartName="/word/media/rId55.png" ContentType="image/png"/>
  <Override PartName="/word/media/rId27.png" ContentType="image/png"/>
  <Override PartName="/word/media/rId31.png" ContentType="image/png"/>
  <Override PartName="/word/media/rId5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Boletim epidemiológico SRAG - SE</w:t>
      </w:r>
    </w:p>
    <w:p>
      <w:pPr>
        <w:pStyle w:val="Author"/>
      </w:pPr>
    </w:p>
    <w:p>
      <w:pPr>
        <w:pStyle w:val="Date"/>
      </w:pPr>
      <w:r>
        <w:t xml:space="preserve">2026-02-11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visão-geral-dos-casos-de-srag-na"/>
    <w:p>
      <w:pPr>
        <w:pStyle w:val="Heading1"/>
      </w:pPr>
      <w:r>
        <w:t xml:space="preserve">Visão geral dos casos de SRAG na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 – Número de casos por Semana Epidemiológica e por ano, municipio -2020 a 2025)" title="" id="21" name="Picture"/>
            <a:graphic>
              <a:graphicData uri="http://schemas.openxmlformats.org/drawingml/2006/picture">
                <pic:pic>
                  <pic:nvPicPr>
                    <pic:cNvPr descr="BOLETIM_SRAG_files/figure-docx/casos%20por%20ano%20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– Número de casos por Semana Epidemiológica e por ano, municipio -2020 a 2025)</w:t>
      </w:r>
    </w:p>
    <w:p>
      <w:pPr>
        <w:pStyle w:val="BodyText"/>
      </w:pPr>
      <w:r>
        <w:t xml:space="preserve">A distribuição semanal dos casos de SRAG entre os anos de 2020 e 2025 evidencia um padrão sazonal recorrente, com diferenças no momento e intensidade das ondas epidêmicas. Em 2020, o pico de notificações ocorreu na semana epidemiológica 28, com 52 casos. Já em 2025, o pico foi registrado na semana 21, totalizando 26 casos. Essas variações reforçam a importância do monitoramento contínuo para identificação antecipada de períodos críticos, especialmente nos meses com maior circulação viral.</w:t>
      </w:r>
    </w:p>
    <w:bookmarkStart w:id="26" w:name="incidência-srag-ano-atual"/>
    <w:p>
      <w:pPr>
        <w:pStyle w:val="Heading2"/>
      </w:pPr>
      <w:r>
        <w:t xml:space="preserve">Incidência SRAG Ano atual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2 – Número de casos e incidência de SRAG por 100 mil habitantes por Semana Epidemiológica, municipio -2025(n = 488)" title="" id="24" name="Picture"/>
            <a:graphic>
              <a:graphicData uri="http://schemas.openxmlformats.org/drawingml/2006/picture">
                <pic:pic>
                  <pic:nvPicPr>
                    <pic:cNvPr descr="BOLETIM_SRAG_files/figure-docx/incidencia%20atual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– Número de casos e incidência de SRAG por 100 mil habitantes por Semana Epidemiológica, municipio -2025(n = 488)</w:t>
      </w:r>
    </w:p>
    <w:p>
      <w:pPr>
        <w:pStyle w:val="TableCaption"/>
      </w:pPr>
      <w:r>
        <w:t xml:space="preserve">Resumo da Situação Epidemiológica –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mo da Situação Epidemiológica – 2025"/>
      </w:tblPr>
      <w:tblGrid>
        <w:gridCol w:w="1643"/>
        <w:gridCol w:w="1718"/>
        <w:gridCol w:w="1643"/>
        <w:gridCol w:w="1195"/>
        <w:gridCol w:w="171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Total de notificações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 semanal de casos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Desvio padrão semanal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de óbitos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de letalidade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</w:tbl>
    <w:p>
      <w:pPr>
        <w:pStyle w:val="BodyText"/>
      </w:pPr>
      <w:r>
        <w:t xml:space="preserve">Em 2025, foram notificados 488 casos de Síndrome Respiratória Aguda Grave (SRAG), com uma média de 9.2 casos por semana epidemiológica e um desvio padrão de 5.4, indicando moderada variabilidade na distribuição semanal dos casos ao longo do ano. refletindo a presença de casos com maior gravidade. A baixa letalidade e o padrão de notificações observados reforçam a importância da manutenção da vigilância epidemiológica ativa.</w:t>
      </w:r>
    </w:p>
    <w:bookmarkEnd w:id="26"/>
    <w:bookmarkStart w:id="30" w:name="vírus-detectados"/>
    <w:p>
      <w:pPr>
        <w:pStyle w:val="Heading2"/>
      </w:pPr>
      <w:r>
        <w:t xml:space="preserve">Vírus detectados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3 – Proporção de vírus detectados de SRAG, municipio -2025(n = 274)" title="" id="28" name="Picture"/>
            <a:graphic>
              <a:graphicData uri="http://schemas.openxmlformats.org/drawingml/2006/picture">
                <pic:pic>
                  <pic:nvPicPr>
                    <pic:cNvPr descr="BOLETIM_SRAG_files/figure-docx/virus%20detectado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– Proporção de vírus detectados de SRAG, municipio -2025(n = 274)</w:t>
      </w:r>
    </w:p>
    <w:p>
      <w:pPr>
        <w:pStyle w:val="BodyText"/>
      </w:pPr>
      <w:r>
        <w:t xml:space="preserve">Em 2025, entre os casos com detecção positiva por PCR na municipio, o Vírus Sincicial Respiratório foi o agente mais frequente, representando 35% dos registros. Em seguida, destacaram-se o Rinovírus (32.8%) e o Influenza A (13.5%). Os demais vírus apresentaram participação minoritária no total de detecções. Esses dados reforçam o papel dominante do Vírus Sincicial Respiratório na circulação viral respiratória durante o ano, com evidência de cocirculação de múltiplos agentes etiológicos.</w:t>
      </w:r>
    </w:p>
    <w:bookmarkEnd w:id="30"/>
    <w:bookmarkStart w:id="34" w:name="tipo-de-vírus-por-semana-epidemiológica"/>
    <w:p>
      <w:pPr>
        <w:pStyle w:val="Heading2"/>
      </w:pPr>
      <w:r>
        <w:t xml:space="preserve">Tipo de vírus por Semana Epidemiológica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4 – Proporção de vírus detectados no PCR de SRAG por semana epidemiológica, municipio -2025(n = 274)" title="" id="32" name="Picture"/>
            <a:graphic>
              <a:graphicData uri="http://schemas.openxmlformats.org/drawingml/2006/picture">
                <pic:pic>
                  <pic:nvPicPr>
                    <pic:cNvPr descr="BOLETIM_SRAG_files/figure-docx/virus%20por%20S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– Proporção de vírus detectados no PCR de SRAG por semana epidemiológica, municipio -2025(n = 274)</w:t>
      </w:r>
    </w:p>
    <w:p>
      <w:pPr>
        <w:pStyle w:val="BodyText"/>
      </w:pPr>
      <w:r>
        <w:t xml:space="preserve">A análise da circulação viral ao longo das semanas epidemiológicas de 2025 mostra um padrão sazonal concentrado entre as semanas 1 e 51, com pico de detecções na semana 22, totalizando 20 registros. O Vírus Sincicial Respiratório foi o agente predominante, seguido por Rinovírus. Ambos apresentaram circulação acentuada durante o período epidêmico, sugerindo cocirculação. Demais vírus, como os identificados por menor proporção, tiveram presença limitada. Esse comportamento reforça a importância do monitoramento laboratorial contínuo para antecipação de surtos e gestão de resposta em saúde pública.</w:t>
      </w:r>
    </w:p>
    <w:bookmarkEnd w:id="34"/>
    <w:bookmarkStart w:id="38" w:name="Xbd786b31f88c21b195b4d86f777283a365732a7"/>
    <w:p>
      <w:pPr>
        <w:pStyle w:val="Heading2"/>
      </w:pPr>
      <w:r>
        <w:t xml:space="preserve">Tipo de vírus por semana epidemiológica e faixa etária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5 – Número de casos por semana epidemiológica, faixa etária e tipo de vírus 2025(n = 488)" title="" id="36" name="Picture"/>
            <a:graphic>
              <a:graphicData uri="http://schemas.openxmlformats.org/drawingml/2006/picture">
                <pic:pic>
                  <pic:nvPicPr>
                    <pic:cNvPr descr="BOLETIM_SRAG_files/figure-docx/virus%20por%20semana%20e%20faixa%20etaria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– Número de casos por semana epidemiológica, faixa etária e tipo de vírus 2025(n = 488)</w:t>
      </w:r>
    </w:p>
    <w:p>
      <w:pPr>
        <w:pStyle w:val="BodyText"/>
      </w:pPr>
      <w:r>
        <w:t xml:space="preserve">O gráfico acima mostra a distribuição dos casos por Semana Epidemiológica (SE), estratificados por tipo de vírus respiratório e faixa etária. Observa-se queVírus Sincicial Respiratório foi o vírus mais frequentemente identificado no período analisado, totalizando96 casos. O pico geral de casos ocorreu na SE 22, quando foram registrados20 casos considerando todos os vírus combinados. Em relação ao perfil etário, a faixa que mais contribuiu para o total de casos foiMenor de 2, indicando maior circulação viral nesse grupo. De maneira geral, nota-se que cada vírus apresenta padrões distintos de sazonalidade e afeta principalmente faixas etárias específicas, o que reforça a importância da vigilância por laboratório e da interpretação conjunta de contexto epidemiológico, sazonalidade e grupos populacionais mais expostos.</w:t>
      </w:r>
    </w:p>
    <w:bookmarkEnd w:id="38"/>
    <w:bookmarkStart w:id="42" w:name="hospitalizações"/>
    <w:p>
      <w:pPr>
        <w:pStyle w:val="Heading2"/>
      </w:pPr>
      <w:r>
        <w:t xml:space="preserve">Hospitalizações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6 – Número de hospitalizações de casos de SRAG por hospital, municipio -2025(n = 488)" title="" id="40" name="Picture"/>
            <a:graphic>
              <a:graphicData uri="http://schemas.openxmlformats.org/drawingml/2006/picture">
                <pic:pic>
                  <pic:nvPicPr>
                    <pic:cNvPr descr="BOLETIM_SRAG_files/figure-docx/hospitalizacoe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– Número de hospitalizações de casos de SRAG por hospital, municipio -2025(n = 488)</w:t>
      </w:r>
    </w:p>
    <w:p>
      <w:pPr>
        <w:pStyle w:val="BodyText"/>
      </w:pPr>
      <w:r>
        <w:t xml:space="preserve">Em 2025, as hospitalizações por SRAG na municipio concentraram-se majoritariamente em poucas unidades de saúde. O destaque absoluto foi o HRPL, responsável por aproximadamente 33.6% de todas as internações no período. Na sequência, o HRS também apresentou volume expressivo de hospitalizações, com 16.9% dos casos. As demais unidades registraram quantitativos inferiores, muitas com menos de 5 registros. Esse padrão evidencia a centralização da assistência hospitalar em unidades específicas, possivelmente relacionada à capacidade instalada, perfil populacional atendido ou à definição regional de referência para SRAG.</w:t>
      </w:r>
    </w:p>
    <w:bookmarkEnd w:id="42"/>
    <w:bookmarkStart w:id="46" w:name="faixa-etária"/>
    <w:p>
      <w:pPr>
        <w:pStyle w:val="Heading2"/>
      </w:pPr>
      <w:r>
        <w:t xml:space="preserve">Faixa etária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7 – Proporção casos de SRAG por faixa etária, municipio -2025(n = 274)" title="" id="44" name="Picture"/>
            <a:graphic>
              <a:graphicData uri="http://schemas.openxmlformats.org/drawingml/2006/picture">
                <pic:pic>
                  <pic:nvPicPr>
                    <pic:cNvPr descr="BOLETIM_SRAG_files/figure-docx/faixa%20etaria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 – Proporção casos de SRAG por faixa etária, municipio -2025(n = 274)</w:t>
      </w:r>
    </w:p>
    <w:p>
      <w:pPr>
        <w:pStyle w:val="BodyText"/>
      </w:pPr>
      <w:r>
        <w:t xml:space="preserve">Em 2025, a análise da distribuição etária dos casos de SRAG na municipio evidencia um perfil predominantemente pediátrico. Cerca de 34.8% dos registros ocorreram em Menor de 2, enquanto 18.2% concentraram-se em 2 a 10. Juntas, essas duas faixas etárias representaram mais de 53% do total de notificações. As demais faixas apresentaram percentuais reduzidos, com idosos acima de 70 anos representando 11.1% dos casos. Esse padrão reforça a importância da vigilância ativa em populações infantis, especialmente nos períodos sazonais de maior circulação viral.</w:t>
      </w:r>
    </w:p>
    <w:bookmarkEnd w:id="46"/>
    <w:bookmarkStart w:id="54" w:name="menores-de-2-anos"/>
    <w:p>
      <w:pPr>
        <w:pStyle w:val="Heading2"/>
      </w:pPr>
      <w:r>
        <w:t xml:space="preserve">Menores de 2 anos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8 – Proporção casos de SRAG por de bebês menores de 1 ano por mês e dias de vida, municipio -2025(n = 274)" title="" id="48" name="Picture"/>
            <a:graphic>
              <a:graphicData uri="http://schemas.openxmlformats.org/drawingml/2006/picture">
                <pic:pic>
                  <pic:nvPicPr>
                    <pic:cNvPr descr="BOLETIM_SRAG_files/figure-docx/proporcao_bebe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 – Proporção casos de SRAG por de bebês menores de 1 ano por mês e dias de vida, municipio -2025(n = 274)</w:t>
      </w:r>
    </w:p>
    <w:p>
      <w:pPr>
        <w:pStyle w:val="BodyText"/>
      </w:pPr>
      <w:r>
        <w:t xml:space="preserve">A análise dos casos de SRAG com detecção viral entre bebês na municipio, em 2025, revela um padrão de maior concentração nas faixas etárias mais precoces. Entre os recém-nascidos com idade registrada em dias, destaca-se um pico de casos aos 6 dias de vida, responsável por 33.3% das notificações desse subgrupo. Já entre os lactentes com idade expressa em meses, observa-se maior proporção de casos aos 4 mês(es), representando 22.2% das ocorrências. Esse perfil reforça a vulnerabilidade imunológica dos menores de 6 meses frente aos vírus respiratórios e destaca a importância de estratégias de proteção específicas para essa faixa etária, como o monitoramento da circulação viral, vacinação de contatos e fortalecimento da vigilância laboratorial.</w:t>
      </w:r>
      <w:r>
        <w:t xml:space="preserve"> </w:t>
      </w:r>
      <w:r>
        <w:t xml:space="preserve">A análise dos casos de SRAG com detecção viral entre bebês na municipio, em 2025, revela um padrão de maior concentração nas faixas etárias mais precoces. Entre os recém-nascidos com idade registrada em dias, destaca-se um pico de casos aos 8 dias de vida, responsável por 33.3% das notificações desse subgrupo. Já entre os lactentes com idade expressa em meses, observa-se maior proporção de casos aos 4 mês(es), representando 22.2% das ocorrências. Esse perfil reforça a vulnerabilidade imunológica dos menores de 6 meses frente aos vírus respiratórios e destaca a importância de estratégias de proteção específicas para essa faixa etária, como o monitoramento da circulação viral, vacinação de contatos e fortalecimento da vigilância laboratorial.</w:t>
      </w:r>
      <w:r>
        <w:t xml:space="preserve"> </w:t>
      </w:r>
      <w:r>
        <w:t xml:space="preserve">A análise dos casos de SRAG com detecção viral entre bebês na municipio, em 2025, revela um padrão de maior concentração nas faixas etárias mais precoces. Entre os recém-nascidos com idade registrada em dias, destaca-se um pico de casos aos 16 dias de vida, responsável por 33.3% das notificações desse subgrupo. Já entre os lactentes com idade expressa em meses, observa-se maior proporção de casos aos 4 mês(es), representando 22.2% das ocorrências. Esse perfil reforça a vulnerabilidade imunológica dos menores de 6 meses frente aos vírus respiratórios e destaca a importância de estratégias de proteção específicas para essa faixa etária, como o monitoramento da circulação viral, vacinação de contatos e fortalecimento da vigilância laboratorial.</w:t>
      </w:r>
    </w:p>
    <w:bookmarkStart w:id="53" w:name="tiops-de-vírus-identificados-em-bebês"/>
    <w:p>
      <w:pPr>
        <w:pStyle w:val="Heading3"/>
      </w:pPr>
      <w:r>
        <w:t xml:space="preserve">Tiops de vírus identificados em bebês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9 – Proporção casos de SRAG por de bebês menores de 1 ano por mês e dias de vida e tipo de vírus detectados, municipio -2025(n = 488)" title="" id="51" name="Picture"/>
            <a:graphic>
              <a:graphicData uri="http://schemas.openxmlformats.org/drawingml/2006/picture">
                <pic:pic>
                  <pic:nvPicPr>
                    <pic:cNvPr descr="BOLETIM_SRAG_files/figure-docx/virus%20por%20bebe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 – Proporção casos de SRAG por de bebês menores de 1 ano por mês e dias de vida e tipo de vírus detectados, municipio -2025(n = 488)</w:t>
      </w:r>
    </w:p>
    <w:p>
      <w:pPr>
        <w:pStyle w:val="BodyText"/>
      </w:pPr>
      <w:r>
        <w:t xml:space="preserve">A análise da distribuição de vírus respiratórios entre bebês com SRAG na municipio, em 2025, mostra que o Vírus Sincicial Respiratório foi o agente predominante em praticamente todas as faixas etárias avaliadas, especialmente nos primeiros meses de vida. O Rinovírus aparece como o segundo agente mais frequente, com detecções dispersas entre os meses iniciais. O Metapneumovírus teve menor participação, mas esteve presente em várias faixas etárias. Esse padrão reforça o papel central do Vírus Sincicial Respiratório nas hospitalizações de bebês, ressaltando a importância de ações preventivas específicas como imunização materna e medidas de proteção precoce.</w:t>
      </w:r>
    </w:p>
    <w:bookmarkEnd w:id="53"/>
    <w:bookmarkEnd w:id="54"/>
    <w:bookmarkStart w:id="58" w:name="uso-de-ventilação"/>
    <w:p>
      <w:pPr>
        <w:pStyle w:val="Heading2"/>
      </w:pPr>
      <w:r>
        <w:t xml:space="preserve">Uso de ventilação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0 – Proporção casos de SRAG por uso de suporte ventilatório, municipio -2025(n = 488)" title="" id="56" name="Picture"/>
            <a:graphic>
              <a:graphicData uri="http://schemas.openxmlformats.org/drawingml/2006/picture">
                <pic:pic>
                  <pic:nvPicPr>
                    <pic:cNvPr descr="BOLETIM_SRAG_files/figure-docx/ventilacao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 – Proporção casos de SRAG por uso de suporte ventilatório, municipio -2025(n = 488)</w:t>
      </w:r>
    </w:p>
    <w:p>
      <w:pPr>
        <w:pStyle w:val="BodyText"/>
      </w:pPr>
      <w:r>
        <w:t xml:space="preserve">Em 2025, entre os casos de SRAG internados na municipio, observou-se que a maioria dos pacientes (61.3%) recebeu sim, não invasivo, seguido por 19.5% que necessitaram de não. Apenas 19.1% dos pacientes não utilizaram suporte ventilatório. Esse padrão sugere uma carga significativa de casos graves, com demanda elevada por suporte respiratório, reforçando a importância do preparo da rede assistencial em períodos epidêmicos.</w:t>
      </w:r>
    </w:p>
    <w:bookmarkEnd w:id="58"/>
    <w:bookmarkStart w:id="62" w:name="óbitos"/>
    <w:p>
      <w:pPr>
        <w:pStyle w:val="Heading2"/>
      </w:pPr>
      <w:r>
        <w:t xml:space="preserve">Óbitos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1 – Número de óbitos por SRAG por semana epidmeiológica, municipio -2025(n = 25)" title="" id="60" name="Picture"/>
            <a:graphic>
              <a:graphicData uri="http://schemas.openxmlformats.org/drawingml/2006/picture">
                <pic:pic>
                  <pic:nvPicPr>
                    <pic:cNvPr descr="BOLETIM_SRAG_files/figure-docx/obitos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 – Número de óbitos por SRAG por semana epidmeiológica, municipio -2025(n = 25)</w:t>
      </w:r>
    </w:p>
    <w:p>
      <w:pPr>
        <w:pStyle w:val="TableCaption"/>
      </w:pPr>
      <w:r>
        <w:t xml:space="preserve">Óbitos por Semana Epidemiológica, Tipo de Vírus e Faixa Etária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Óbitos por Semana Epidemiológica, Tipo de Vírus e Faixa Etári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virus_nome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obitos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e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a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a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sobradinho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a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sobradinho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e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e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Vírus Sincicial Respiratório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e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Vírus Sincicial Respiratório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62"/>
    <w:bookmarkStart w:id="66" w:name="internação-por-faixa-etária"/>
    <w:p>
      <w:pPr>
        <w:pStyle w:val="Heading2"/>
      </w:pPr>
      <w:r>
        <w:t xml:space="preserve">Internação por faixa etária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2 – Tempo de internação (em dias) por faixa etária, municipio -2025(n = 488)" title="" id="64" name="Picture"/>
            <a:graphic>
              <a:graphicData uri="http://schemas.openxmlformats.org/drawingml/2006/picture">
                <pic:pic>
                  <pic:nvPicPr>
                    <pic:cNvPr descr="BOLETIM_SRAG_files/figure-docx/internacao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 – Tempo de internação (em dias) por faixa etária, municipio -2025(n = 488)</w:t>
      </w:r>
    </w:p>
    <w:p>
      <w:pPr>
        <w:pStyle w:val="BodyText"/>
      </w:pPr>
      <w:r>
        <w:t xml:space="preserve">Em 2025, a análise da duração das internações por SRAG na municipio revelou diferenças expressivas entre as faixas etárias. Pacientes com 80 e mais apresentaram os maiores tempos de internação, com mediana de aproximadamente 9.5 dias, seguido pelo grupo de 30 a 39, com 9 dias. Já entre crianças menores de 10 anos, as internações foram significativamente mais curtas, com mediana média de 5 dias. Esses achados destacam a maior complexidade clínica entre adultos e idosos, com impacto direto na carga assistencial e uso prolongado de leitos hospitalares.</w:t>
      </w:r>
    </w:p>
    <w:bookmarkEnd w:id="66"/>
    <w:bookmarkStart w:id="70" w:name="evolução"/>
    <w:p>
      <w:pPr>
        <w:pStyle w:val="Heading2"/>
      </w:pPr>
      <w:r>
        <w:t xml:space="preserve">Evolução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3 – Proporção de casos de SRAG segundo evolução, municipio -2025(n = 488)" title="" id="68" name="Picture"/>
            <a:graphic>
              <a:graphicData uri="http://schemas.openxmlformats.org/drawingml/2006/picture">
                <pic:pic>
                  <pic:nvPicPr>
                    <pic:cNvPr descr="BOLETIM_SRAG_files/figure-docx/evolucao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 – Proporção de casos de SRAG segundo evolução, municipio -2025(n = 488)</w:t>
      </w:r>
    </w:p>
    <w:p>
      <w:pPr>
        <w:pStyle w:val="BodyText"/>
      </w:pPr>
      <w:r>
        <w:t xml:space="preserve">Em 2025, a maioria dos casos internados por SRAG na municipio evoluiu para cura, representando 82% dos registros com desfecho informado. Cerca de 9% dos casos permaneceram com evolução ignorada, o que indica ausência de encerramento adequado no sistema. A letalidade observada foi baixa: 5.1% dos casos evoluíram para óbito por SRAG, e 3.9% para óbito por outras causas. Enquanto a alta proporção de cura aponta para um manejo clínico eficaz, a presença significativa de registros ignorados evidencia a importância de fortalecer a vigilância e qualificação dos dados de encerramento.</w:t>
      </w:r>
    </w:p>
    <w:bookmarkEnd w:id="70"/>
    <w:bookmarkEnd w:id="71"/>
    <w:bookmarkStart w:id="76" w:name="diagrama-de-controle-de-srag"/>
    <w:p>
      <w:pPr>
        <w:pStyle w:val="Heading1"/>
      </w:pPr>
      <w:r>
        <w:t xml:space="preserve">Diagrama de controle de SRAG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14 – Diagrama de controle de SRAG por semana epidmeiológica, municipio -2025." title="" id="73" name="Picture"/>
            <a:graphic>
              <a:graphicData uri="http://schemas.openxmlformats.org/drawingml/2006/picture">
                <pic:pic>
                  <pic:nvPicPr>
                    <pic:cNvPr descr="BOLETIM_SRAG_files/figure-docx/diagrama%20de%20controle%20Leste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 – Diagrama de controle de SRAG por semana epidmeiológica, municipio -2025.</w:t>
      </w:r>
    </w:p>
    <w:bookmarkStart w:id="75" w:name="diagrama-de-controle-por-município"/>
    <w:p>
      <w:pPr>
        <w:pStyle w:val="Heading2"/>
      </w:pPr>
      <w:r>
        <w:t xml:space="preserve">Diagrama de controle por município</w:t>
      </w:r>
    </w:p>
    <w:p>
      <w:pPr>
        <w:pStyle w:val="SourceCode"/>
      </w:pPr>
      <w:r>
        <w:rPr>
          <w:rStyle w:val="VerbatimChar"/>
        </w:rPr>
        <w:t xml:space="preserve">## Sem dados suficientes para gerar o diagrama de controle por município neste período.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Zona de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</w:tbl>
    <w:bookmarkEnd w:id="75"/>
    <w:bookmarkEnd w:id="76"/>
    <w:bookmarkStart w:id="81" w:name="taxa-de-transmissibilidade-viral"/>
    <w:p>
      <w:pPr>
        <w:pStyle w:val="Heading1"/>
      </w:pPr>
      <w:r>
        <w:t xml:space="preserve">Taxa de transmissibilidade viral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Figura 16 – Taxa de transmissibilidade viral (RT) por semana epidmeiológica e municipio, municipio -2025)" title="" id="78" name="Picture"/>
            <a:graphic>
              <a:graphicData uri="http://schemas.openxmlformats.org/drawingml/2006/picture">
                <pic:pic>
                  <pic:nvPicPr>
                    <pic:cNvPr descr="BOLETIM_SRAG_files/figure-docx/transmissibilidade-por-ra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 – Taxa de transmissibilidade viral (RT) por semana epidmeiológica e municipio, municipio -2025)</w:t>
      </w:r>
    </w:p>
    <w:bookmarkStart w:id="80" w:name="X506ba119ac2291095448686ef2227e046bc5f60"/>
    <w:p>
      <w:pPr>
        <w:pStyle w:val="Heading3"/>
      </w:pPr>
      <w:r>
        <w:t xml:space="preserve">Resumo por municipio – Rt mais recente por vírus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Adenovírus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1.67</w:t>
            </w:r>
            <w:r>
              <w:t xml:space="preserve">, acima de 1, sugerindo tendência de crescimento da transmissão e possibilidade de aumento de casos nas semanas seguintes se não houver reforço nas medidas de controle.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0.95</w:t>
            </w:r>
            <w:r>
              <w:t xml:space="preserve">, abaixo de 1, sugerindo redução gradual da transmissão e tendência de queda lenta no número de casos.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Rinovírus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0.91</w:t>
            </w:r>
            <w:r>
              <w:t xml:space="preserve">, abaixo de 1, sugerindo redução gradual da transmissão e tendência de queda lenta no número de casos.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1.15</w:t>
            </w:r>
            <w:r>
              <w:t xml:space="preserve">, acima de 1, sugerindo tendência de crescimento da transmissão e possibilidade de aumento de casos nas semanas seguintes se não houver reforço nas medidas de controle.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planaltina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Vírus Sincicial Respiratório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0.5</w:t>
            </w:r>
            <w:r>
              <w:t xml:space="preserve">, bem abaixo de 1, o que indica forte redução da transmissão e provável queda acentuada dos casos desse vírus na região.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sobradinho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1.68</w:t>
            </w:r>
            <w:r>
              <w:t xml:space="preserve">, acima de 1, sugerindo tendência de crescimento da transmissão e possibilidade de aumento de casos nas semanas seguintes se não houver reforço nas medidas de controle.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sobradinho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Rinovírus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0.82</w:t>
            </w:r>
            <w:r>
              <w:t xml:space="preserve">, abaixo de 1, sugerindo redução gradual da transmissão e tendência de queda lenta no número de casos.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sobradinho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Vírus Sincicial Respiratório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última semana analisada, o Rt foi de</w:t>
            </w:r>
            <w:r>
              <w:t xml:space="preserve"> </w:t>
            </w:r>
            <w:r>
              <w:rPr>
                <w:b/>
                <w:bCs/>
              </w:rPr>
              <w:t xml:space="preserve">0.82</w:t>
            </w:r>
            <w:r>
              <w:t xml:space="preserve">, abaixo de 1, sugerindo redução gradual da transmissão e tendência de queda lenta no número de casos.</w:t>
            </w:r>
          </w:p>
        </w:tc>
      </w:tr>
    </w:tbl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72" Target="media/rId72.png" /><Relationship Type="http://schemas.openxmlformats.org/officeDocument/2006/relationships/image" Id="rId67" Target="media/rId67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47" Target="media/rId47.png" /><Relationship Type="http://schemas.openxmlformats.org/officeDocument/2006/relationships/image" Id="rId77" Target="media/rId77.png" /><Relationship Type="http://schemas.openxmlformats.org/officeDocument/2006/relationships/image" Id="rId55" Target="media/rId5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Boletim epidemiológico SRAG - SE</dc:title>
  <dc:creator/>
  <cp:keywords/>
  <dcterms:created xsi:type="dcterms:W3CDTF">2026-02-11T14:10:08Z</dcterms:created>
  <dcterms:modified xsi:type="dcterms:W3CDTF">2026-02-11T14:10:08Z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2026-02-11</vt:lpwstr>
  </property>
  <property fmtid="{D5CDD505-2E9C-101B-9397-08002B2CF9AE}" pid="3" name="output">
    <vt:lpwstr/>
  </property>
</Properties>
</file>