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color w:val="666666"/>
          <w:sz w:val="28"/>
          <w:szCs w:val="28"/>
        </w:rPr>
        <w:t xml:space="preserve">SQL Server 2019</w:t>
      </w:r>
    </w:p>
    <w:p>
      <w:pPr>
        <w:spacing w:after="100"/>
        <w:jc w:val="center"/>
      </w:pPr>
      <w:r>
        <w:rPr>
          <w:rFonts w:ascii="Arial" w:cs="Arial" w:eastAsia="Arial" w:hAnsi="Arial"/>
          <w:b/>
          <w:bCs/>
          <w:color w:val="2E5090"/>
          <w:sz w:val="44"/>
          <w:szCs w:val="44"/>
        </w:rPr>
        <w:t xml:space="preserve">Partition &amp; Purge Optimization</w:t>
      </w:r>
    </w:p>
    <w:p>
      <w:pPr>
        <w:spacing w:after="100"/>
        <w:jc w:val="center"/>
      </w:pPr>
      <w:r>
        <w:rPr>
          <w:rFonts w:ascii="Arial" w:cs="Arial" w:eastAsia="Arial" w:hAnsi="Arial"/>
          <w:color w:val="2E5090"/>
          <w:sz w:val="28"/>
          <w:szCs w:val="28"/>
        </w:rPr>
        <w:t xml:space="preserve">Consolidated Evidence &amp; Recommendations</w:t>
      </w:r>
    </w:p>
    <w:p>
      <w:pPr>
        <w:spacing w:after="400"/>
        <w:jc w:val="center"/>
      </w:pPr>
      <w:r>
        <w:rPr>
          <w:rFonts w:ascii="Arial" w:cs="Arial" w:eastAsia="Arial" w:hAnsi="Arial"/>
          <w:color w:val="666666"/>
          <w:sz w:val="24"/>
          <w:szCs w:val="24"/>
        </w:rPr>
        <w:t xml:space="preserve">Module 6: Implementation Roadmap</w:t>
      </w:r>
    </w:p>
    <w:p>
      <w:pPr>
        <w:spacing w:after="80"/>
        <w:jc w:val="center"/>
      </w:pPr>
      <w:r>
        <w:rPr>
          <w:rFonts w:ascii="Arial" w:cs="Arial" w:eastAsia="Arial" w:hAnsi="Arial"/>
          <w:sz w:val="22"/>
          <w:szCs w:val="22"/>
        </w:rPr>
        <w:t xml:space="preserve">Prepared by: Justin Hunter</w:t>
      </w:r>
    </w:p>
    <w:p>
      <w:pPr>
        <w:spacing w:after="80"/>
        <w:jc w:val="center"/>
      </w:pPr>
      <w:r>
        <w:rPr>
          <w:rFonts w:ascii="Arial" w:cs="Arial" w:eastAsia="Arial" w:hAnsi="Arial"/>
          <w:sz w:val="22"/>
          <w:szCs w:val="22"/>
        </w:rPr>
        <w:t xml:space="preserve">Prepared for: Walgreens Automated Fulfillment</w:t>
      </w:r>
    </w:p>
    <w:p>
      <w:pPr>
        <w:spacing w:after="80"/>
        <w:jc w:val="center"/>
      </w:pPr>
      <w:r>
        <w:rPr>
          <w:rFonts w:ascii="Arial" w:cs="Arial" w:eastAsia="Arial" w:hAnsi="Arial"/>
          <w:sz w:val="22"/>
          <w:szCs w:val="22"/>
        </w:rPr>
        <w:t xml:space="preserve">Date: February 26, 2026</w:t>
      </w:r>
    </w:p>
    <w:p>
      <w:pPr>
        <w:spacing w:after="200"/>
        <w:jc w:val="center"/>
      </w:pPr>
      <w:r>
        <w:rPr>
          <w:rFonts w:ascii="Arial" w:cs="Arial" w:eastAsia="Arial" w:hAnsi="Arial"/>
          <w:color w:val="666666"/>
          <w:sz w:val="20"/>
          <w:szCs w:val="20"/>
        </w:rPr>
        <w:t xml:space="preserve">Environment: SQL Server 2019 | Enterprise Edition | SAN-Attached</w:t>
      </w:r>
    </w:p>
    <w:p>
      <w:pPr>
        <w:spacing w:before="400" w:after="80"/>
        <w:jc w:val="center"/>
      </w:pPr>
      <w:r>
        <w:rPr>
          <w:rFonts w:ascii="Arial" w:cs="Arial" w:eastAsia="Arial" w:hAnsi="Arial"/>
          <w:b/>
          <w:bCs/>
          <w:sz w:val="22"/>
          <w:szCs w:val="22"/>
        </w:rPr>
        <w:t xml:space="preserve">MODULAR POC SERIES</w:t>
      </w:r>
    </w:p>
    <w:p>
      <w:pPr>
        <w:spacing w:after="200"/>
        <w:jc w:val="center"/>
      </w:pPr>
      <w:r>
        <w:rPr>
          <w:rFonts w:ascii="Arial" w:cs="Arial" w:eastAsia="Arial" w:hAnsi="Arial"/>
          <w:sz w:val="22"/>
          <w:szCs w:val="22"/>
        </w:rPr>
        <w:t xml:space="preserve">Module 6 of 6</w:t>
      </w:r>
    </w:p>
    <w:p>
      <w:pPr>
        <w:spacing w:before="200"/>
        <w:jc w:val="center"/>
      </w:pPr>
      <w:r>
        <w:rPr>
          <w:rFonts w:ascii="Arial" w:cs="Arial" w:eastAsia="Arial" w:hAnsi="Arial"/>
          <w:b/>
          <w:bCs/>
          <w:color w:val="CC0000"/>
          <w:sz w:val="24"/>
          <w:szCs w:val="24"/>
        </w:rPr>
        <w:t xml:space="preserve">CONFIDENTIAL</w:t>
      </w:r>
    </w:p>
    <w:p>
      <w:r>
        <w:br w:type="page"/>
      </w:r>
    </w:p>
    <w:p>
      <w:pPr>
        <w:pStyle w:val="Heading1"/>
        <w:spacing w:before="240" w:after="120"/>
      </w:pPr>
      <w:r>
        <w:rPr>
          <w:rFonts w:ascii="Arial" w:cs="Arial" w:eastAsia="Arial" w:hAnsi="Arial"/>
          <w:b/>
          <w:bCs/>
        </w:rPr>
        <w:t xml:space="preserve">Executive Summary</w:t>
      </w:r>
    </w:p>
    <w:p>
      <w:pPr>
        <w:spacing w:before="60" w:after="60"/>
      </w:pPr>
      <w:r>
        <w:rPr>
          <w:rFonts w:ascii="Arial" w:cs="Arial" w:eastAsia="Arial" w:hAnsi="Arial"/>
          <w:sz w:val="22"/>
          <w:szCs w:val="22"/>
        </w:rPr>
        <w:t xml:space="preserve">This document is Module 6 of the POC series and serves as the consolidated evidence package and implementation roadmap for partitioning the PharmAssist database. Where Modules 1 through 5 established the theoretical framework and tooling, Module 6 maps that framework onto the actual production environment using data gathered directly from the live system.</w:t>
      </w:r>
    </w:p>
    <w:p>
      <w:pPr>
        <w:spacing w:before="60" w:after="60"/>
      </w:pPr>
      <w:r>
        <w:rPr>
          <w:rFonts w:ascii="Arial" w:cs="Arial" w:eastAsia="Arial" w:hAnsi="Arial"/>
          <w:sz w:val="22"/>
          <w:szCs w:val="22"/>
        </w:rPr>
        <w:t xml:space="preserve">The evidence is unambiguous. The PharmAssist database contains 3.81 billion rows across 66 purge-eligible tables, consuming 2.89 TB of storage. The current purge mechanism — a 63-table cascading block-delete procedure — required 28 cumulative hours across 5 manual sessions in February 2026 to purge 3.25 years of historical data, and it still has 18 months of backlog remaining. A supplementary nightly delete procedure consumed 4 to 6 hours every night for months deleting from a single table. Index fragmentation from the iterative deletes has reached 76% on OeOrder and 89% on SrtShipToteShipmentAssoc.</w:t>
      </w:r>
    </w:p>
    <w:p>
      <w:pPr>
        <w:spacing w:before="60" w:after="60"/>
      </w:pPr>
      <w:r>
        <w:rPr>
          <w:rFonts w:ascii="Arial" w:cs="Arial" w:eastAsia="Arial" w:hAnsi="Arial"/>
          <w:sz w:val="22"/>
          <w:szCs w:val="22"/>
        </w:rPr>
        <w:t xml:space="preserve">The recommended solution combines partition switching for the 20 Tier 1 tables (which hold the primary HistoryDtTm column) with targeted index creation for the remaining 43 Tier 2/3 tables. The foreign key analysis confirms that none of the 20 Tier 1 tables are constrained by inbound foreign keys, meaning partition SWITCH operations are completely unblocked. Four missing nonclustered indexes and five clustered index restructures round out the optimization. The missing indexes on OeOrder.PrescrId and OeRxRequest.PrescrId are the likely root cause of the deadlocking that forced the team to disable prescriber cleanup entirely.</w:t>
      </w:r>
    </w:p>
    <w:p>
      <w:pPr>
        <w:pBdr>
          <w:left w:val="single" w:color="2E5090" w:sz="12" w:space="8"/>
        </w:pBdr>
        <w:spacing w:before="120" w:after="120"/>
        <w:ind w:left="360"/>
      </w:pPr>
      <w:r>
        <w:rPr>
          <w:rFonts w:ascii="Arial" w:cs="Arial" w:eastAsia="Arial" w:hAnsi="Arial"/>
          <w:i/>
          <w:iCs/>
          <w:sz w:val="20"/>
          <w:szCs w:val="20"/>
        </w:rPr>
        <w:t xml:space="preserve">Projected impact: Tier 1 purge operations drop from hours to milliseconds per table via partition SWITCH. Tier 2/3 orphan detection improves by orders of magnitude via index seeks replacing table scans. The nightly maintenance window becomes viable again.</w:t>
      </w:r>
    </w:p>
    <w:p>
      <w:r>
        <w:br w:type="page"/>
      </w:r>
    </w:p>
    <w:p>
      <w:pPr>
        <w:pStyle w:val="Heading1"/>
        <w:spacing w:before="240" w:after="120"/>
      </w:pPr>
      <w:r>
        <w:rPr>
          <w:rFonts w:ascii="Arial" w:cs="Arial" w:eastAsia="Arial" w:hAnsi="Arial"/>
          <w:b/>
          <w:bCs/>
        </w:rPr>
        <w:t xml:space="preserve">1. Current State of the Production Environment</w:t>
      </w:r>
    </w:p>
    <w:p>
      <w:pPr>
        <w:pStyle w:val="Heading2"/>
        <w:spacing w:before="240" w:after="120"/>
      </w:pPr>
      <w:r>
        <w:rPr>
          <w:rFonts w:ascii="Arial" w:cs="Arial" w:eastAsia="Arial" w:hAnsi="Arial"/>
          <w:b/>
          <w:bCs/>
        </w:rPr>
        <w:t xml:space="preserve">1.1 Database Footprint</w:t>
      </w:r>
    </w:p>
    <w:p>
      <w:pPr>
        <w:spacing w:before="60" w:after="60"/>
      </w:pPr>
      <w:r>
        <w:rPr>
          <w:rFonts w:ascii="Arial" w:cs="Arial" w:eastAsia="Arial" w:hAnsi="Arial"/>
          <w:sz w:val="22"/>
          <w:szCs w:val="22"/>
        </w:rPr>
        <w:t xml:space="preserve">The following metrics were gathered from sys.partitions, sys.allocation_units, sys.dm_db_index_physical_stats, and sys.database_files on February 26,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purge-eligible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 (63 with active DELETEs + 3 parent-only)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rows across purge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3,809,792,856 (3.81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storage (data + indexes)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2,960 GB (2.89 TB)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table by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OeStatusTrail: 1.83 billion rows (116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table by 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OeOrderTextDocument: 2.44 TB (1.87 TB in indexes)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purge anchor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OeOrderHistory: 287.8 million rows (28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Tables with zero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 of 66 (dormant but schema-present)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 log file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148 GB allocated, 3.6% utilized (FULL recovery)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Recovery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with LOG_BACKUP reuse</w:t>
            </w:r>
          </w:p>
        </w:tc>
      </w:tr>
    </w:tbl>
    <w:p>
      <w:pPr>
        <w:pStyle w:val="Heading2"/>
        <w:spacing w:before="240" w:after="120"/>
      </w:pPr>
      <w:r>
        <w:rPr>
          <w:rFonts w:ascii="Arial" w:cs="Arial" w:eastAsia="Arial" w:hAnsi="Arial"/>
          <w:b/>
          <w:bCs/>
        </w:rPr>
        <w:t xml:space="preserve">1.2 Data Velocity</w:t>
      </w:r>
    </w:p>
    <w:p>
      <w:pPr>
        <w:spacing w:before="60" w:after="60"/>
      </w:pPr>
      <w:r>
        <w:rPr>
          <w:rFonts w:ascii="Arial" w:cs="Arial" w:eastAsia="Arial" w:hAnsi="Arial"/>
          <w:sz w:val="22"/>
          <w:szCs w:val="22"/>
        </w:rPr>
        <w:t xml:space="preserve">Velocity analysis was performed on the two highest-volume tables using daily row count extracts.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Total Rows</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Days Tracked</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Avg Rows/Day</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MoM Growth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EvtEvent (events)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1.126 billion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 million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4.48% (69% annualized)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OeOrderHistory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28.8 million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Steady (pharmacy volume)</w:t>
            </w:r>
          </w:p>
        </w:tc>
      </w:tr>
    </w:tbl>
    <w:p>
      <w:pPr>
        <w:spacing w:before="60" w:after="60"/>
      </w:pPr>
      <w:r>
        <w:rPr>
          <w:rFonts w:ascii="Arial" w:cs="Arial" w:eastAsia="Arial" w:hAnsi="Arial"/>
          <w:sz w:val="22"/>
          <w:szCs w:val="22"/>
        </w:rPr>
        <w:t xml:space="preserve">The cascade multiplier from OeOrderHistory to all child tables is approximately 13:1. Every parent row in OeOrderHistory maps to roughly 13 rows across the other 62 tables in the purge cascade.</w:t>
      </w:r>
    </w:p>
    <w:p>
      <w:pPr>
        <w:pStyle w:val="Heading2"/>
        <w:spacing w:before="240" w:after="120"/>
      </w:pPr>
      <w:r>
        <w:rPr>
          <w:rFonts w:ascii="Arial" w:cs="Arial" w:eastAsia="Arial" w:hAnsi="Arial"/>
          <w:b/>
          <w:bCs/>
        </w:rPr>
        <w:t xml:space="preserve">1.3 Purge Execution Performance</w:t>
      </w:r>
    </w:p>
    <w:p>
      <w:pPr>
        <w:spacing w:before="60" w:after="60"/>
      </w:pPr>
      <w:r>
        <w:rPr>
          <w:rFonts w:ascii="Arial" w:cs="Arial" w:eastAsia="Arial" w:hAnsi="Arial"/>
          <w:sz w:val="22"/>
          <w:szCs w:val="22"/>
        </w:rPr>
        <w:t xml:space="preserve">Purge execution logs were extracted from EvtEvent for the 3-month period ending February 26, 2026. Two distinct purge operations were identified:</w:t>
      </w:r>
    </w:p>
    <w:p>
      <w:pPr>
        <w:pStyle w:val="Heading3"/>
        <w:spacing w:before="240" w:after="120"/>
      </w:pPr>
      <w:r>
        <w:rPr>
          <w:rFonts w:ascii="Arial" w:cs="Arial" w:eastAsia="Arial" w:hAnsi="Arial"/>
          <w:b/>
          <w:bCs/>
        </w:rPr>
        <w:t xml:space="preserve">lsp_DbPurgeHistoryData (63-Table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Session Date</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Worker Calls</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Days Purged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Purge Window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6</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10 hr 55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2021 – Sep 2021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 2–21, 2021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 9–26, 2021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14</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8 hr 0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 2021 – Jan 2024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21</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8 hr 18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 2024 – Aug 2024</w:t>
            </w:r>
          </w:p>
        </w:tc>
      </w:tr>
    </w:tbl>
    <w:p>
      <w:pPr>
        <w:spacing w:before="60" w:after="60"/>
      </w:pPr>
      <w:r>
        <w:rPr>
          <w:rFonts w:ascii="Arial" w:cs="Arial" w:eastAsia="Arial" w:hAnsi="Arial"/>
          <w:b/>
          <w:bCs/>
          <w:sz w:val="22"/>
          <w:szCs w:val="22"/>
        </w:rPr>
        <w:t xml:space="preserve">Total execution time: </w:t>
      </w:r>
      <w:r>
        <w:rPr>
          <w:rFonts w:ascii="Arial" w:cs="Arial" w:eastAsia="Arial" w:hAnsi="Arial"/>
          <w:sz w:val="22"/>
          <w:szCs w:val="22"/>
        </w:rPr>
        <w:t xml:space="preserve">~28 hours across 5 manual sessions</w:t>
      </w:r>
    </w:p>
    <w:p>
      <w:pPr>
        <w:spacing w:before="60" w:after="60"/>
      </w:pPr>
      <w:r>
        <w:rPr>
          <w:rFonts w:ascii="Arial" w:cs="Arial" w:eastAsia="Arial" w:hAnsi="Arial"/>
          <w:b/>
          <w:bCs/>
          <w:sz w:val="22"/>
          <w:szCs w:val="22"/>
        </w:rPr>
        <w:t xml:space="preserve">Total worker calls: </w:t>
      </w:r>
      <w:r>
        <w:rPr>
          <w:rFonts w:ascii="Arial" w:cs="Arial" w:eastAsia="Arial" w:hAnsi="Arial"/>
          <w:sz w:val="22"/>
          <w:szCs w:val="22"/>
        </w:rPr>
        <w:t xml:space="preserve">3,260 individual purge proc invocations</w:t>
      </w:r>
    </w:p>
    <w:p>
      <w:pPr>
        <w:spacing w:before="60" w:after="60"/>
      </w:pPr>
      <w:r>
        <w:rPr>
          <w:rFonts w:ascii="Arial" w:cs="Arial" w:eastAsia="Arial" w:hAnsi="Arial"/>
          <w:b/>
          <w:bCs/>
          <w:sz w:val="22"/>
          <w:szCs w:val="22"/>
        </w:rPr>
        <w:t xml:space="preserve">Data purged: </w:t>
      </w:r>
      <w:r>
        <w:rPr>
          <w:rFonts w:ascii="Arial" w:cs="Arial" w:eastAsia="Arial" w:hAnsi="Arial"/>
          <w:sz w:val="22"/>
          <w:szCs w:val="22"/>
        </w:rPr>
        <w:t xml:space="preserve">May 2021 through August 2024 (3.25 years)</w:t>
      </w:r>
    </w:p>
    <w:p>
      <w:pPr>
        <w:spacing w:before="60" w:after="60"/>
      </w:pPr>
      <w:r>
        <w:rPr>
          <w:rFonts w:ascii="Arial" w:cs="Arial" w:eastAsia="Arial" w:hAnsi="Arial"/>
          <w:b/>
          <w:bCs/>
          <w:sz w:val="22"/>
          <w:szCs w:val="22"/>
        </w:rPr>
        <w:t xml:space="preserve">Remaining backlog: </w:t>
      </w:r>
      <w:r>
        <w:rPr>
          <w:rFonts w:ascii="Arial" w:cs="Arial" w:eastAsia="Arial" w:hAnsi="Arial"/>
          <w:sz w:val="22"/>
          <w:szCs w:val="22"/>
        </w:rPr>
        <w:t xml:space="preserve">August 2024 through present (~18 months, ~287M OeOrderHistory rows)</w:t>
      </w:r>
    </w:p>
    <w:p>
      <w:pPr>
        <w:pStyle w:val="Heading3"/>
        <w:spacing w:before="240" w:after="120"/>
      </w:pPr>
      <w:r>
        <w:rPr>
          <w:rFonts w:ascii="Arial" w:cs="Arial" w:eastAsia="Arial" w:hAnsi="Arial"/>
          <w:b/>
          <w:bCs/>
        </w:rPr>
        <w:t xml:space="preserve">lsp_DbDeleteNonLeafletOeOrderTextDocument (Nightly)</w:t>
      </w:r>
    </w:p>
    <w:p>
      <w:pPr>
        <w:spacing w:before="60" w:after="60"/>
      </w:pPr>
      <w:r>
        <w:rPr>
          <w:rFonts w:ascii="Arial" w:cs="Arial" w:eastAsia="Arial" w:hAnsi="Arial"/>
          <w:sz w:val="22"/>
          <w:szCs w:val="22"/>
        </w:rPr>
        <w:t xml:space="preserve">This supplementary procedure runs nightly, deleting OeOrderTextDocument rows older than 14 days. It consistently hit its 250,000-row cap and consumed 4 to 6 hours per night from late November 2025 through early February 2026. The backlog cleared around February 3, 2026, after which nightly runs dropped to approximately 50,000 rows in 60 to 90 minutes.</w:t>
      </w:r>
    </w:p>
    <w:p>
      <w:pPr>
        <w:pBdr>
          <w:left w:val="single" w:color="2E5090" w:sz="12" w:space="8"/>
        </w:pBdr>
        <w:spacing w:before="120" w:after="120"/>
        <w:ind w:left="360"/>
      </w:pPr>
      <w:r>
        <w:rPr>
          <w:rFonts w:ascii="Arial" w:cs="Arial" w:eastAsia="Arial" w:hAnsi="Arial"/>
          <w:i/>
          <w:iCs/>
          <w:sz w:val="20"/>
          <w:szCs w:val="20"/>
        </w:rPr>
        <w:t xml:space="preserve">A single table’s nightly cleanup consumed half the maintenance window for over two months. This is the clearest possible signal that the block-delete approach does not scale for this workload.</w:t>
      </w:r>
    </w:p>
    <w:p>
      <w:pPr>
        <w:pStyle w:val="Heading2"/>
        <w:spacing w:before="240" w:after="120"/>
      </w:pPr>
      <w:r>
        <w:rPr>
          <w:rFonts w:ascii="Arial" w:cs="Arial" w:eastAsia="Arial" w:hAnsi="Arial"/>
          <w:b/>
          <w:bCs/>
        </w:rPr>
        <w:t xml:space="preserve">1.4 Index Fragmentation</w:t>
      </w:r>
    </w:p>
    <w:p>
      <w:pPr>
        <w:spacing w:before="60" w:after="60"/>
      </w:pPr>
      <w:r>
        <w:rPr>
          <w:rFonts w:ascii="Arial" w:cs="Arial" w:eastAsia="Arial" w:hAnsi="Arial"/>
          <w:sz w:val="22"/>
          <w:szCs w:val="22"/>
        </w:rPr>
        <w:t xml:space="preserve">Fragmentation analysis via sys.dm_db_index_physical_stats (LIMITED mode) reveals the cumulative damage from iterative delete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Frag %</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Size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SrtShipToteShipmentAssoc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 (clustered)</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89.4%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PK_OeOrder (clustered)</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76.3%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11 NC indexes (avg)</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63–77%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OeOrderPoNumAssoc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ByPoNum</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OeFlaggedRxs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 (clustered)</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OeOrderShipmentAssoc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 (clustered)</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2,091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OeStatusTrail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ByOrderIdIncludeEvent</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22,788</w:t>
            </w:r>
          </w:p>
        </w:tc>
      </w:tr>
    </w:tbl>
    <w:p>
      <w:pPr>
        <w:spacing w:before="60" w:after="60"/>
      </w:pPr>
      <w:r>
        <w:rPr>
          <w:rFonts w:ascii="Arial" w:cs="Arial" w:eastAsia="Arial" w:hAnsi="Arial"/>
          <w:sz w:val="22"/>
          <w:szCs w:val="22"/>
        </w:rPr>
        <w:t xml:space="preserve">Partition switching eliminates this problem entirely for Tier 1 tables. SWITCH is a metadata-only operation that produces zero fragmentation. The partition-aware maintenance framework from Module 4 handles residual fragmentation on hot partitions only.</w:t>
      </w:r>
    </w:p>
    <w:p>
      <w:r>
        <w:br w:type="page"/>
      </w:r>
    </w:p>
    <w:p>
      <w:pPr>
        <w:pStyle w:val="Heading1"/>
        <w:spacing w:before="240" w:after="120"/>
      </w:pPr>
      <w:r>
        <w:rPr>
          <w:rFonts w:ascii="Arial" w:cs="Arial" w:eastAsia="Arial" w:hAnsi="Arial"/>
          <w:b/>
          <w:bCs/>
        </w:rPr>
        <w:t xml:space="preserve">2. Three-Tier Table Classification</w:t>
      </w:r>
    </w:p>
    <w:p>
      <w:pPr>
        <w:spacing w:before="60" w:after="60"/>
      </w:pPr>
      <w:r>
        <w:rPr>
          <w:rFonts w:ascii="Arial" w:cs="Arial" w:eastAsia="Arial" w:hAnsi="Arial"/>
          <w:sz w:val="22"/>
          <w:szCs w:val="22"/>
        </w:rPr>
        <w:t xml:space="preserve">The 63 active purge tables are classified into three tiers based on their relationship to the partition key (HistoryDtTm) and their role in the cascade delete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60"/>
        <w:gridCol w:w="480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180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val="false"/>
                <w:bCs w:val="false"/>
                <w:sz w:val="20"/>
                <w:szCs w:val="20"/>
              </w:rPr>
              <w:t xml:space="preserve">20 tables</w:t>
            </w:r>
          </w:p>
        </w:tc>
        <w:tc>
          <w:tcPr>
            <w:tcW w:type="dxa" w:w="156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val="false"/>
                <w:bCs w:val="false"/>
                <w:sz w:val="20"/>
                <w:szCs w:val="20"/>
              </w:rPr>
              <w:t xml:space="preserve">Partition SWITCH</w:t>
            </w:r>
          </w:p>
        </w:tc>
        <w:tc>
          <w:tcPr>
            <w:tcW w:type="dxa" w:w="480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val="false"/>
                <w:bCs w:val="false"/>
                <w:sz w:val="20"/>
                <w:szCs w:val="20"/>
              </w:rPr>
              <w:t xml:space="preserve">Tables with HistoryDtTm in their schema. These are direct children of OeOrderHistory joined on (OrderId, HistoryDtTm). Eligible for partition-aligned clustered indexes and metadata-only SWITCH OUT purge.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~30 tables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Orphan cleanup</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Association and entity tables linked through intermediate keys (ShipmentId, GroupNum, ManifestId, PaperworkSetId, CanisterSn, RxDoseSchedId, ImgId). After Tier 1 partition switch removes the parent rows, orphan detection identifies and deletes rows no longer referenced. Targeted indexes optimize the seek patterns.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Tier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~13 tables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Prune-back + 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Shared entity tables (OePatientCust, OePrescriber, OeGroup) and OrderId singleton tables (OeComments, OeStatusTrail). Cannot be partitioned on HistoryDtTm because they serve multiple parent tables. Require LEFT JOIN existence checks with targeted indexes on prune-back columns (PatCustId, PrescrId, GroupNum).</w:t>
            </w:r>
          </w:p>
        </w:tc>
      </w:tr>
    </w:tbl>
    <w:p>
      <w:r>
        <w:br w:type="page"/>
      </w:r>
    </w:p>
    <w:p>
      <w:pPr>
        <w:pStyle w:val="Heading1"/>
        <w:spacing w:before="240" w:after="120"/>
      </w:pPr>
      <w:r>
        <w:rPr>
          <w:rFonts w:ascii="Arial" w:cs="Arial" w:eastAsia="Arial" w:hAnsi="Arial"/>
          <w:b/>
          <w:bCs/>
        </w:rPr>
        <w:t xml:space="preserve">3. Foreign Key Analysis</w:t>
      </w:r>
    </w:p>
    <w:p>
      <w:pPr>
        <w:spacing w:before="60" w:after="60"/>
      </w:pPr>
      <w:r>
        <w:rPr>
          <w:rFonts w:ascii="Arial" w:cs="Arial" w:eastAsia="Arial" w:hAnsi="Arial"/>
          <w:sz w:val="22"/>
          <w:szCs w:val="22"/>
        </w:rPr>
        <w:t xml:space="preserve">Foreign key constraints are the most common blocker for partition SWITCH operations (as documented in Module 3). The FK analysis against sys.foreign_keys reveals 98 constraints involving the purge tables, with the following critical finding:</w:t>
      </w:r>
    </w:p>
    <w:p>
      <w:pPr>
        <w:pBdr>
          <w:left w:val="single" w:color="2E5090" w:sz="12" w:space="8"/>
        </w:pBdr>
        <w:spacing w:before="120" w:after="120"/>
        <w:ind w:left="360"/>
      </w:pPr>
      <w:r>
        <w:rPr>
          <w:rFonts w:ascii="Arial" w:cs="Arial" w:eastAsia="Arial" w:hAnsi="Arial"/>
          <w:i/>
          <w:iCs/>
          <w:sz w:val="20"/>
          <w:szCs w:val="20"/>
        </w:rPr>
        <w:t xml:space="preserve">None of the 20 Tier 1 tables are referenced as a parent in any foreign key relationship. Partition SWITCH is completely unblocked for all Tier 1 tables with zero FK refactoring required.</w:t>
      </w:r>
    </w:p>
    <w:p>
      <w:pPr>
        <w:spacing w:before="60" w:after="60"/>
      </w:pPr>
      <w:r>
        <w:rPr>
          <w:rFonts w:ascii="Arial" w:cs="Arial" w:eastAsia="Arial" w:hAnsi="Arial"/>
          <w:sz w:val="22"/>
          <w:szCs w:val="22"/>
        </w:rPr>
        <w:t xml:space="preserve">The FK parent tables are exclusively in Tier 2/3: OeGroup (12 inbound FKs), ShpShipment (9), OePatientCust (6), OePrescriber (3), DsRxDoseSched (3), and several others. Four CASCADE DELETE constraints exist (CvyMultiBaggerGroupQueue, OeOrdersWithInvalidProductAlias, OePatientAddress, ShpDestinationTemperature) but all point to Tier 2/3 tables that are handled via orphan cleanup, not partition switching.</w:t>
      </w:r>
    </w:p>
    <w:p>
      <w:pPr>
        <w:spacing w:before="60" w:after="60"/>
      </w:pPr>
      <w:r>
        <w:rPr>
          <w:rFonts w:ascii="Arial" w:cs="Arial" w:eastAsia="Arial" w:hAnsi="Arial"/>
          <w:sz w:val="22"/>
          <w:szCs w:val="22"/>
        </w:rPr>
        <w:t xml:space="preserve">Outbound FKs from Tier 1 tables reference only lookup/master tables (OeDelivMethod, OeFillType, OePriority, InvMaster, etc.). These do not block SWITCH because the constraint direction is child-to-parent: the Tier 1 table is the child, referencing a static lookup. SWITCH only fails when the table being switched is the parent (referenced) side of an FK.</w:t>
      </w:r>
    </w:p>
    <w:p>
      <w:r>
        <w:br w:type="page"/>
      </w:r>
    </w:p>
    <w:p>
      <w:pPr>
        <w:pStyle w:val="Heading1"/>
        <w:spacing w:before="240" w:after="120"/>
      </w:pPr>
      <w:r>
        <w:rPr>
          <w:rFonts w:ascii="Arial" w:cs="Arial" w:eastAsia="Arial" w:hAnsi="Arial"/>
          <w:b/>
          <w:bCs/>
        </w:rPr>
        <w:t xml:space="preserve">4. Index Gap Analysis &amp; Recommendations</w:t>
      </w:r>
    </w:p>
    <w:p>
      <w:pPr>
        <w:pStyle w:val="Heading2"/>
        <w:spacing w:before="240" w:after="120"/>
      </w:pPr>
      <w:r>
        <w:rPr>
          <w:rFonts w:ascii="Arial" w:cs="Arial" w:eastAsia="Arial" w:hAnsi="Arial"/>
          <w:b/>
          <w:bCs/>
        </w:rPr>
        <w:t xml:space="preserve">4.1 Tier 1: Partition Readiness</w:t>
      </w:r>
    </w:p>
    <w:p>
      <w:pPr>
        <w:spacing w:before="60" w:after="60"/>
      </w:pPr>
      <w:r>
        <w:rPr>
          <w:rFonts w:ascii="Arial" w:cs="Arial" w:eastAsia="Arial" w:hAnsi="Arial"/>
          <w:sz w:val="22"/>
          <w:szCs w:val="22"/>
        </w:rPr>
        <w:t xml:space="preserve">For partition SWITCH to work, the partition key (HistoryDtTm) must be part of every unique index, including the clustered index / primary key. Of the 20 Tier 1 tables:</w:t>
      </w:r>
    </w:p>
    <w:p>
      <w:pPr>
        <w:spacing w:before="60" w:after="60"/>
      </w:pPr>
      <w:r>
        <w:rPr>
          <w:rFonts w:ascii="Arial" w:cs="Arial" w:eastAsia="Arial" w:hAnsi="Arial"/>
          <w:b/>
          <w:bCs/>
          <w:sz w:val="22"/>
          <w:szCs w:val="22"/>
        </w:rPr>
        <w:t xml:space="preserve">15 tables are partition-ready: </w:t>
      </w:r>
      <w:r>
        <w:rPr>
          <w:rFonts w:ascii="Arial" w:cs="Arial" w:eastAsia="Arial" w:hAnsi="Arial"/>
          <w:sz w:val="22"/>
          <w:szCs w:val="22"/>
        </w:rPr>
        <w:t xml:space="preserve">Their clustered PK already includes (OrderId, HistoryDtTm). No structural changes needed.</w:t>
      </w:r>
    </w:p>
    <w:p>
      <w:pPr>
        <w:spacing w:before="60" w:after="60"/>
      </w:pPr>
      <w:r>
        <w:rPr>
          <w:rFonts w:ascii="Arial" w:cs="Arial" w:eastAsia="Arial" w:hAnsi="Arial"/>
          <w:b/>
          <w:bCs/>
          <w:sz w:val="22"/>
          <w:szCs w:val="22"/>
        </w:rPr>
        <w:t xml:space="preserve">5 tables require clustered index restructuring:</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Current CI Key</w:t>
            </w:r>
          </w:p>
        </w:tc>
        <w:tc>
          <w:tcPr>
            <w:tcW w:type="dxa" w:w="3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Required Change</w:t>
            </w:r>
          </w:p>
        </w:tc>
      </w:tr>
      <w:tr>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OeOrderCurrHistoryDtTm</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OrderId (only)</w:t>
            </w:r>
          </w:p>
        </w:tc>
        <w:tc>
          <w:tcPr>
            <w:tcW w:type="dxa" w:w="37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Add HistoryDtTm to PK: (OrderId, HistoryDtTm)</w:t>
            </w:r>
          </w:p>
        </w:tc>
      </w:tr>
      <w:tr>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CaAudit</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Id (identity)</w:t>
            </w:r>
          </w:p>
        </w:tc>
        <w:tc>
          <w:tcPr>
            <w:tcW w:type="dxa" w:w="37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Restructure CI to (OrderId, HistoryDtTm, Id); demote Id to NC unique</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OeOrderExtSysDocument</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Id (identity)</w:t>
            </w:r>
          </w:p>
        </w:tc>
        <w:tc>
          <w:tcPr>
            <w:tcW w:type="dxa" w:w="3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Restructure CI to (OrderId, HistoryDtTm, Id); drop redundant NC</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OeOrderTextDocument</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Id (identity)</w:t>
            </w:r>
          </w:p>
        </w:tc>
        <w:tc>
          <w:tcPr>
            <w:tcW w:type="dxa" w:w="3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Restructure CI to (OrderId, HistoryDtTm, Id); drop redundant NC</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OeRxItemHistory</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Id (bigint identity)</w:t>
            </w:r>
          </w:p>
        </w:tc>
        <w:tc>
          <w:tcPr>
            <w:tcW w:type="dxa" w:w="3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Restructure CI to (OrderId, HistoryDtTm, Id); drop redundant unique NC</w:t>
            </w:r>
          </w:p>
        </w:tc>
      </w:tr>
    </w:tbl>
    <w:p>
      <w:pPr>
        <w:pStyle w:val="Heading2"/>
        <w:spacing w:before="240" w:after="120"/>
      </w:pPr>
      <w:r>
        <w:rPr>
          <w:rFonts w:ascii="Arial" w:cs="Arial" w:eastAsia="Arial" w:hAnsi="Arial"/>
          <w:b/>
          <w:bCs/>
        </w:rPr>
        <w:t xml:space="preserve">4.2 Tier 2/3: Missing Indexes for Orphan Detection</w:t>
      </w:r>
    </w:p>
    <w:p>
      <w:pPr>
        <w:spacing w:before="60" w:after="60"/>
      </w:pPr>
      <w:r>
        <w:rPr>
          <w:rFonts w:ascii="Arial" w:cs="Arial" w:eastAsia="Arial" w:hAnsi="Arial"/>
          <w:sz w:val="22"/>
          <w:szCs w:val="22"/>
        </w:rPr>
        <w:t xml:space="preserve">Four nonclustered indexes are needed to eliminate table scans during orphan detection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800"/>
        <w:gridCol w:w="2000"/>
        <w:gridCol w:w="1560"/>
        <w:gridCol w:w="2220"/>
      </w:tblGrid>
      <w:tr>
        <w:tc>
          <w:tcPr>
            <w:tcW w:type="dxa" w:w="7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7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OeOrder</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PrescrId</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2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Full scan on prune-back</w:t>
            </w:r>
          </w:p>
        </w:tc>
      </w:tr>
      <w:tr>
        <w:tc>
          <w:tcPr>
            <w:tcW w:type="dxa" w:w="7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OeRxRequest</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PrescrId</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2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Full scan on prune-back</w:t>
            </w:r>
          </w:p>
        </w:tc>
      </w:tr>
      <w:tr>
        <w:tc>
          <w:tcPr>
            <w:tcW w:type="dxa" w:w="7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PwkPrinterTray</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ShipmentId</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22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No index path to ShipmentId</w:t>
            </w:r>
          </w:p>
        </w:tc>
      </w:tr>
      <w:tr>
        <w:tc>
          <w:tcPr>
            <w:tcW w:type="dxa" w:w="7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SrtShipToteShipmentAssoc</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ShipmentId</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2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ShipmentId in position 2 of CI</w:t>
            </w:r>
          </w:p>
        </w:tc>
      </w:tr>
    </w:tbl>
    <w:p>
      <w:pPr>
        <w:pStyle w:val="Heading2"/>
        <w:spacing w:before="240" w:after="120"/>
      </w:pPr>
      <w:r>
        <w:rPr>
          <w:rFonts w:ascii="Arial" w:cs="Arial" w:eastAsia="Arial" w:hAnsi="Arial"/>
          <w:b/>
          <w:bCs/>
        </w:rPr>
        <w:t xml:space="preserve">4.3 Deadlock Root Cause: Missing PrescrId Indexes</w:t>
      </w:r>
    </w:p>
    <w:p>
      <w:pPr>
        <w:spacing w:before="60" w:after="60"/>
      </w:pPr>
      <w:r>
        <w:rPr>
          <w:rFonts w:ascii="Arial" w:cs="Arial" w:eastAsia="Arial" w:hAnsi="Arial"/>
          <w:sz w:val="22"/>
          <w:szCs w:val="22"/>
        </w:rPr>
        <w:t xml:space="preserve">The OePrescriber delete was commented out of the purge procedure (lines 1534–1562) due to deadlocking. Our analysis identifies the root cause: the prescriber orphan prune-back joins OeOrder and OeRxRequest on PrescrId, but neither table has an index on that column.</w:t>
      </w:r>
    </w:p>
    <w:p>
      <w:pPr>
        <w:spacing w:before="60" w:after="60"/>
      </w:pPr>
      <w:r>
        <w:rPr>
          <w:rFonts w:ascii="Arial" w:cs="Arial" w:eastAsia="Arial" w:hAnsi="Arial"/>
          <w:sz w:val="22"/>
          <w:szCs w:val="22"/>
        </w:rPr>
        <w:t xml:space="preserve">Without an index, the prune-back executes full table scans, acquiring shared (S) locks across large page ranges. These broad S-locks conflict with exclusive (X) locks held by concurrent order processing transactions, producing a classic deadlock cycle.</w:t>
      </w:r>
    </w:p>
    <w:p>
      <w:pPr>
        <w:spacing w:before="60" w:after="60"/>
      </w:pPr>
      <w:r>
        <w:rPr>
          <w:rFonts w:ascii="Arial" w:cs="Arial" w:eastAsia="Arial" w:hAnsi="Arial"/>
          <w:sz w:val="22"/>
          <w:szCs w:val="22"/>
        </w:rPr>
        <w:t xml:space="preserve">Every other prune-back column (GroupNum, PatCustId) works correctly because indexes exist on those columns in both OeOrder and OeRxRequest. PrescrId is the only prune-back column missing indexes on both tables.</w:t>
      </w:r>
    </w:p>
    <w:p>
      <w:pPr>
        <w:pBdr>
          <w:left w:val="single" w:color="2E5090" w:sz="12" w:space="8"/>
        </w:pBdr>
        <w:spacing w:before="120" w:after="120"/>
        <w:ind w:left="360"/>
      </w:pPr>
      <w:r>
        <w:rPr>
          <w:rFonts w:ascii="Arial" w:cs="Arial" w:eastAsia="Arial" w:hAnsi="Arial"/>
          <w:i/>
          <w:iCs/>
          <w:sz w:val="20"/>
          <w:szCs w:val="20"/>
        </w:rPr>
        <w:t xml:space="preserve">Creating IX_OeOrder_PrescrId and IX_OeRxRequest_PrescrId should resolve the deadlocking and allow re-enabling prescriber orphan cleanup. These indexes can be created ONLINE with zero downtime.</w:t>
      </w:r>
    </w:p>
    <w:p>
      <w:r>
        <w:br w:type="page"/>
      </w:r>
    </w:p>
    <w:p>
      <w:pPr>
        <w:pStyle w:val="Heading1"/>
        <w:spacing w:before="240" w:after="120"/>
      </w:pPr>
      <w:r>
        <w:rPr>
          <w:rFonts w:ascii="Arial" w:cs="Arial" w:eastAsia="Arial" w:hAnsi="Arial"/>
          <w:b/>
          <w:bCs/>
        </w:rPr>
        <w:t xml:space="preserve">5. Recommended Architecture</w:t>
      </w:r>
    </w:p>
    <w:p>
      <w:pPr>
        <w:pStyle w:val="Heading2"/>
        <w:spacing w:before="240" w:after="120"/>
      </w:pPr>
      <w:r>
        <w:rPr>
          <w:rFonts w:ascii="Arial" w:cs="Arial" w:eastAsia="Arial" w:hAnsi="Arial"/>
          <w:b/>
          <w:bCs/>
        </w:rPr>
        <w:t xml:space="preserve">5.1 Partition Function and Scheme</w:t>
      </w:r>
    </w:p>
    <w:p>
      <w:pPr>
        <w:spacing w:before="60" w:after="60"/>
      </w:pPr>
      <w:r>
        <w:rPr>
          <w:rFonts w:ascii="Arial" w:cs="Arial" w:eastAsia="Arial" w:hAnsi="Arial"/>
          <w:sz w:val="22"/>
          <w:szCs w:val="22"/>
        </w:rPr>
        <w:t xml:space="preserve">A single partition function using RANGE RIGHT on datetime with monthly boundaries. All 20 Tier 1 tables share the same function and scheme, ensuring consistent boundaries for coordinated SWITCH operations. This follows the design established in Module 1.</w:t>
      </w:r>
    </w:p>
    <w:p>
      <w:pPr>
        <w:spacing w:before="60" w:after="60"/>
      </w:pPr>
      <w:r>
        <w:rPr>
          <w:rFonts w:ascii="Arial" w:cs="Arial" w:eastAsia="Arial" w:hAnsi="Arial"/>
          <w:sz w:val="22"/>
          <w:szCs w:val="22"/>
        </w:rPr>
        <w:t xml:space="preserve">Initial boundaries should cover the full date range present in OeOrderHistory (August 2024 through present) plus 3 future months. The archive partition (partition 1) holds everything before the first boundary. The sliding window pattern from Module 3 advances boundaries monthly.</w:t>
      </w:r>
    </w:p>
    <w:p>
      <w:pPr>
        <w:pStyle w:val="Heading2"/>
        <w:spacing w:before="240" w:after="120"/>
      </w:pPr>
      <w:r>
        <w:rPr>
          <w:rFonts w:ascii="Arial" w:cs="Arial" w:eastAsia="Arial" w:hAnsi="Arial"/>
          <w:b/>
          <w:bCs/>
        </w:rPr>
        <w:t xml:space="preserve">5.2 Tier 1: Partition SWITCH Purge</w:t>
      </w:r>
    </w:p>
    <w:p>
      <w:pPr>
        <w:spacing w:before="60" w:after="60"/>
      </w:pPr>
      <w:r>
        <w:rPr>
          <w:rFonts w:ascii="Arial" w:cs="Arial" w:eastAsia="Arial" w:hAnsi="Arial"/>
          <w:sz w:val="22"/>
          <w:szCs w:val="22"/>
        </w:rPr>
        <w:t xml:space="preserve">For the 20 Tier 1 tables, the current block-delete pattern is replaced entirely by ALTER TABLE ... SWITCH PARTITION. Each month, the sliding window procedure (Module 3) switches out the oldest partition to a staging table, truncates it, and merges the empty boundary. This is a metadata-only operation: zero data movement, zero transaction log, zero fragmentation, and completion in milliseconds regardless of row count.</w:t>
      </w:r>
    </w:p>
    <w:p>
      <w:pPr>
        <w:spacing w:before="60" w:after="60"/>
      </w:pPr>
      <w:r>
        <w:rPr>
          <w:rFonts w:ascii="Arial" w:cs="Arial" w:eastAsia="Arial" w:hAnsi="Arial"/>
          <w:sz w:val="22"/>
          <w:szCs w:val="22"/>
        </w:rPr>
        <w:t xml:space="preserve">The 15 partition-ready tables can be deployed immediately after creating the partition function/scheme. The 5 tables requiring CI restructuring should be addressed in a maintenance window using ONLINE = ON rebuilds, then brought into the partition scheme.</w:t>
      </w:r>
    </w:p>
    <w:p>
      <w:pPr>
        <w:pStyle w:val="Heading2"/>
        <w:spacing w:before="240" w:after="120"/>
      </w:pPr>
      <w:r>
        <w:rPr>
          <w:rFonts w:ascii="Arial" w:cs="Arial" w:eastAsia="Arial" w:hAnsi="Arial"/>
          <w:b/>
          <w:bCs/>
        </w:rPr>
        <w:t xml:space="preserve">5.3 Tier 2: Orphan Detection with Index Optimization</w:t>
      </w:r>
    </w:p>
    <w:p>
      <w:pPr>
        <w:spacing w:before="60" w:after="60"/>
      </w:pPr>
      <w:r>
        <w:rPr>
          <w:rFonts w:ascii="Arial" w:cs="Arial" w:eastAsia="Arial" w:hAnsi="Arial"/>
          <w:sz w:val="22"/>
          <w:szCs w:val="22"/>
        </w:rPr>
        <w:t xml:space="preserve">After Tier 1 partition switch removes the parent OeOrderHistory rows and their direct children, the orphan detection logic identifies and deletes rows in Tier 2 tables that are no longer referenced. The current temp-table prune-back pattern is sound in design; it simply needs the missing indexes to perform efficiently.</w:t>
      </w:r>
    </w:p>
    <w:p>
      <w:pPr>
        <w:spacing w:before="60" w:after="60"/>
      </w:pPr>
      <w:r>
        <w:rPr>
          <w:rFonts w:ascii="Arial" w:cs="Arial" w:eastAsia="Arial" w:hAnsi="Arial"/>
          <w:sz w:val="22"/>
          <w:szCs w:val="22"/>
        </w:rPr>
        <w:t xml:space="preserve">With the 4 new indexes in place, every prune-back join becomes an index seek instead of a table scan. The orphan detection that currently dominates purge runtime becomes a fraction of its current cost.</w:t>
      </w:r>
    </w:p>
    <w:p>
      <w:pPr>
        <w:pStyle w:val="Heading2"/>
        <w:spacing w:before="240" w:after="120"/>
      </w:pPr>
      <w:r>
        <w:rPr>
          <w:rFonts w:ascii="Arial" w:cs="Arial" w:eastAsia="Arial" w:hAnsi="Arial"/>
          <w:b/>
          <w:bCs/>
        </w:rPr>
        <w:t xml:space="preserve">5.4 Tier 3: Entity Table Prune-Back</w:t>
      </w:r>
    </w:p>
    <w:p>
      <w:pPr>
        <w:spacing w:before="60" w:after="60"/>
      </w:pPr>
      <w:r>
        <w:rPr>
          <w:rFonts w:ascii="Arial" w:cs="Arial" w:eastAsia="Arial" w:hAnsi="Arial"/>
          <w:sz w:val="22"/>
          <w:szCs w:val="22"/>
        </w:rPr>
        <w:t xml:space="preserve">Shared entity tables (OePatientCust, OePrescriber, OeGroup) cannot be partition-aligned on HistoryDtTm because they serve as parents to tables across all tiers. The existing prune-back pattern (build candidate list in temp table, delete candidates still referenced in parent tables, delete remaining orphans) is the correct approach. The two missing PrescrId indexes complete the index coverage needed for all prune-back joins to execute as seeks.</w:t>
      </w:r>
    </w:p>
    <w:p>
      <w:r>
        <w:br w:type="page"/>
      </w:r>
    </w:p>
    <w:p>
      <w:pPr>
        <w:pStyle w:val="Heading1"/>
        <w:spacing w:before="240" w:after="120"/>
      </w:pPr>
      <w:r>
        <w:rPr>
          <w:rFonts w:ascii="Arial" w:cs="Arial" w:eastAsia="Arial" w:hAnsi="Arial"/>
          <w:b/>
          <w:bCs/>
        </w:rPr>
        <w:t xml:space="preserve">6. Implementation Roadmap</w:t>
      </w:r>
    </w:p>
    <w:p>
      <w:pPr>
        <w:pStyle w:val="Heading2"/>
        <w:spacing w:before="240" w:after="120"/>
      </w:pPr>
      <w:r>
        <w:rPr>
          <w:rFonts w:ascii="Arial" w:cs="Arial" w:eastAsia="Arial" w:hAnsi="Arial"/>
          <w:b/>
          <w:bCs/>
        </w:rPr>
        <w:t xml:space="preserve">Phase 1: Quick Wins (Week 1–2, No Downtime)</w:t>
      </w:r>
    </w:p>
    <w:p>
      <w:pPr>
        <w:spacing w:before="60" w:after="60"/>
      </w:pPr>
      <w:r>
        <w:rPr>
          <w:rFonts w:ascii="Arial" w:cs="Arial" w:eastAsia="Arial" w:hAnsi="Arial"/>
          <w:sz w:val="22"/>
          <w:szCs w:val="22"/>
        </w:rPr>
        <w:t xml:space="preserve">Create the 4 missing nonclustered indexes using WITH (ONLINE = ON). These can be deployed during business hours with negligible impact. Expected immediate benefits: prescriber orphan prune-back drops from table scans to index seeks, shipment cascade cleanup accelerates for PwkPrinterTray and SrtShipToteShipmentAssoc, and the team can evaluate re-enabling the commented-out OePrescriber delete.</w:t>
      </w:r>
    </w:p>
    <w:p>
      <w:pPr>
        <w:pStyle w:val="Heading2"/>
        <w:spacing w:before="240" w:after="120"/>
      </w:pPr>
      <w:r>
        <w:rPr>
          <w:rFonts w:ascii="Arial" w:cs="Arial" w:eastAsia="Arial" w:hAnsi="Arial"/>
          <w:b/>
          <w:bCs/>
        </w:rPr>
        <w:t xml:space="preserve">Phase 2: CI Restructuring (Week 3–4, Maintenance Window)</w:t>
      </w:r>
    </w:p>
    <w:p>
      <w:pPr>
        <w:spacing w:before="60" w:after="60"/>
      </w:pPr>
      <w:r>
        <w:rPr>
          <w:rFonts w:ascii="Arial" w:cs="Arial" w:eastAsia="Arial" w:hAnsi="Arial"/>
          <w:sz w:val="22"/>
          <w:szCs w:val="22"/>
        </w:rPr>
        <w:t xml:space="preserve">Restructure the clustered indexes on the 5 Tier 1 tables that need partition alignment. Use ONLINE = ON where possible. CaAudit is the largest and most complex (289K rows, 5 NC indexes to rebuild). OeOrderCurrHistoryDtTm, OeOrderExtSysDocument, OeOrderTextDocument, and OeRxItemHistory are straightforward swaps. After restructuring, all 20 Tier 1 tables have clustered indexes aligned for partitioning.</w:t>
      </w:r>
    </w:p>
    <w:p>
      <w:pPr>
        <w:pStyle w:val="Heading2"/>
        <w:spacing w:before="240" w:after="120"/>
      </w:pPr>
      <w:r>
        <w:rPr>
          <w:rFonts w:ascii="Arial" w:cs="Arial" w:eastAsia="Arial" w:hAnsi="Arial"/>
          <w:b/>
          <w:bCs/>
        </w:rPr>
        <w:t xml:space="preserve">Phase 3: Partition Function, Scheme, and Initial Partitioning (Week 5–8)</w:t>
      </w:r>
    </w:p>
    <w:p>
      <w:pPr>
        <w:spacing w:before="60" w:after="60"/>
      </w:pPr>
      <w:r>
        <w:rPr>
          <w:rFonts w:ascii="Arial" w:cs="Arial" w:eastAsia="Arial" w:hAnsi="Arial"/>
          <w:sz w:val="22"/>
          <w:szCs w:val="22"/>
        </w:rPr>
        <w:t xml:space="preserve">Create the partition function (RANGE RIGHT, monthly boundaries on datetime) and partition scheme. Start with the 15 already-aligned Tier 1 tables plus the 5 newly-aligned tables from Phase 2. Use the migration strategy from Module 1b to partition the existing data without extended downtime: create the partitioned clustered index using CREATE INDEX ... WITH (DROP_EXISTING = ON, ONLINE = ON) on the partition scheme.</w:t>
      </w:r>
    </w:p>
    <w:p>
      <w:pPr>
        <w:spacing w:before="60" w:after="60"/>
      </w:pPr>
      <w:r>
        <w:rPr>
          <w:rFonts w:ascii="Arial" w:cs="Arial" w:eastAsia="Arial" w:hAnsi="Arial"/>
          <w:sz w:val="22"/>
          <w:szCs w:val="22"/>
        </w:rPr>
        <w:t xml:space="preserve">OeOrderTextDocument (117M rows, 2.44 TB) is the largest migration by storage and should be scheduled during an extended maintenance window or performed with ONLINE = ON over a weekend. OeOrderHistory (287M rows) and OeOrderSecondaryData (230M rows) are the largest by row count.</w:t>
      </w:r>
    </w:p>
    <w:p>
      <w:pPr>
        <w:pStyle w:val="Heading2"/>
        <w:spacing w:before="240" w:after="120"/>
      </w:pPr>
      <w:r>
        <w:rPr>
          <w:rFonts w:ascii="Arial" w:cs="Arial" w:eastAsia="Arial" w:hAnsi="Arial"/>
          <w:b/>
          <w:bCs/>
        </w:rPr>
        <w:t xml:space="preserve">Phase 4: Sliding Window Automation (Week 9–10)</w:t>
      </w:r>
    </w:p>
    <w:p>
      <w:pPr>
        <w:spacing w:before="60" w:after="60"/>
      </w:pPr>
      <w:r>
        <w:rPr>
          <w:rFonts w:ascii="Arial" w:cs="Arial" w:eastAsia="Arial" w:hAnsi="Arial"/>
          <w:sz w:val="22"/>
          <w:szCs w:val="22"/>
        </w:rPr>
        <w:t xml:space="preserve">Deploy the sliding window automation from Module 3 (usp_SlidingWindow_MonthlyAdvance) and the master maintenance orchestrator from Module 4 (usp_MasterMaintenance). Configure SQL Agent jobs for nightly, weekly, and monthly maintenance. Run the POC sign-off validation from Module 5.</w:t>
      </w:r>
    </w:p>
    <w:p>
      <w:pPr>
        <w:pStyle w:val="Heading2"/>
        <w:spacing w:before="240" w:after="120"/>
      </w:pPr>
      <w:r>
        <w:rPr>
          <w:rFonts w:ascii="Arial" w:cs="Arial" w:eastAsia="Arial" w:hAnsi="Arial"/>
          <w:b/>
          <w:bCs/>
        </w:rPr>
        <w:t xml:space="preserve">Phase 5: Purge Procedure Refactoring (Week 11–12)</w:t>
      </w:r>
    </w:p>
    <w:p>
      <w:pPr>
        <w:spacing w:before="60" w:after="60"/>
      </w:pPr>
      <w:r>
        <w:rPr>
          <w:rFonts w:ascii="Arial" w:cs="Arial" w:eastAsia="Arial" w:hAnsi="Arial"/>
          <w:sz w:val="22"/>
          <w:szCs w:val="22"/>
        </w:rPr>
        <w:t xml:space="preserve">Refactor lsp_DbPurgeHistoryData to use partition SWITCH for Tier 1 tables instead of block deletes. The Tier 2/3 orphan detection logic is retained but benefits from the new indexes. Refactor lsp_DbDeleteNonLeafletOeOrderTextDocument to leverage partition switching on OeOrderTextDocument. Re-enable the OePrescriber delete block after confirming the new PrescrId indexes resolve the deadlocking.</w:t>
      </w:r>
    </w:p>
    <w:p>
      <w:pPr>
        <w:pStyle w:val="Heading2"/>
        <w:spacing w:before="240" w:after="120"/>
      </w:pPr>
      <w:r>
        <w:rPr>
          <w:rFonts w:ascii="Arial" w:cs="Arial" w:eastAsia="Arial" w:hAnsi="Arial"/>
          <w:b/>
          <w:bCs/>
        </w:rPr>
        <w:t xml:space="preserve">Phase 6: Monitoring and Validation (Ongoing)</w:t>
      </w:r>
    </w:p>
    <w:p>
      <w:pPr>
        <w:spacing w:before="60" w:after="60"/>
      </w:pPr>
      <w:r>
        <w:rPr>
          <w:rFonts w:ascii="Arial" w:cs="Arial" w:eastAsia="Arial" w:hAnsi="Arial"/>
          <w:sz w:val="22"/>
          <w:szCs w:val="22"/>
        </w:rPr>
        <w:t xml:space="preserve">Deploy the monitoring framework from Module 5: performance baseline capture, partition health dashboard, query performance validation, buffer pool analysis, and automated health checks. Capture PRE_PARTITION and POST_PARTITION baselines to quantify improvements.</w:t>
      </w:r>
    </w:p>
    <w:p>
      <w:r>
        <w:br w:type="page"/>
      </w:r>
    </w:p>
    <w:p>
      <w:pPr>
        <w:pStyle w:val="Heading1"/>
        <w:spacing w:before="240" w:after="120"/>
      </w:pPr>
      <w:r>
        <w:rPr>
          <w:rFonts w:ascii="Arial" w:cs="Arial" w:eastAsia="Arial" w:hAnsi="Arial"/>
          <w:b/>
          <w:bCs/>
        </w:rPr>
        <w:t xml:space="preserve">7.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Projected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purge time</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8–11 hours per session (block deletes across 20 tables)</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Milliseconds per table (partition SWITCH)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OeOrderTextDocument nightly</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4–6 hours/night during backlog</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Milliseconds (monthly SWITCH 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 log impact</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Massive: each DELETE block generates proportional log</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Near-zero: SWITCH is metadata-only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 fragmentation</w:t>
            </w:r>
          </w:p>
        </w:tc>
        <w:tc>
          <w:tcPr>
            <w:tcW w:type="dxa" w:w="351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10–89% on actively-purged tables</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Zero on switched partitions; hot-only maintenance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Prescriber cleanup</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Disabled (deadlocking)</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Re-enabled with index seeks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Maintenance window</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Overrun: purge + TextDoc consume entire window</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Viable: partition-aware maintenance targets hot partitions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Purge backlog</w:t>
            </w:r>
          </w:p>
        </w:tc>
        <w:tc>
          <w:tcPr>
            <w:tcW w:type="dxa" w:w="351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18 months of data awaiting purge</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Initial bulk purge via partition SWITCH, then monthly sliding window</w:t>
            </w:r>
          </w:p>
        </w:tc>
      </w:tr>
    </w:tbl>
    <w:p>
      <w:r>
        <w:br w:type="page"/>
      </w:r>
    </w:p>
    <w:p>
      <w:pPr>
        <w:pStyle w:val="Heading1"/>
        <w:spacing w:before="240" w:after="120"/>
      </w:pPr>
      <w:r>
        <w:rPr>
          <w:rFonts w:ascii="Arial" w:cs="Arial" w:eastAsia="Arial" w:hAnsi="Arial"/>
          <w:b/>
          <w:bCs/>
        </w:rPr>
        <w:t xml:space="preserve">8.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 restructure causes extended downtime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ONLINE = ON for all rebuilds. Schedule CaAudit (largest) during maintenance window. All 5 tables are relatively small (289K rows max).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OeOrderTextDocument migration duration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2.44 TB this is the largest single migration. Use ONLINE = ON with SORT_IN_TEMPDB. Schedule over a weekend. Consider partitioning this table first as a standalone pilot.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queries miss partition elimination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Module 2 documents anti-patterns. Module 5 provides plan cache audit queries to detect missed elimination post-deployment. Add OPTION (RECOMPILE) where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Orphan rows left after partition SWITCH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2/3 orphan detection logic is retained and improved with new indexes. Run validation queries after each SWITCH cycle to confirm zero orphans.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indexes impact write performance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4 single-column NC indexes added. Maintenance overhead is negligible. OeRxRequest currently has zero rows, so two of the indexes have no immediate write cost.</w:t>
            </w:r>
          </w:p>
        </w:tc>
      </w:tr>
    </w:tbl>
    <w:p>
      <w:r>
        <w:br w:type="page"/>
      </w:r>
    </w:p>
    <w:p>
      <w:pPr>
        <w:pStyle w:val="Heading1"/>
        <w:spacing w:before="240" w:after="120"/>
      </w:pPr>
      <w:r>
        <w:rPr>
          <w:rFonts w:ascii="Arial" w:cs="Arial" w:eastAsia="Arial" w:hAnsi="Arial"/>
          <w:b/>
          <w:bCs/>
        </w:rPr>
        <w:t xml:space="preserve">9. Supporting Evidence Package</w:t>
      </w:r>
    </w:p>
    <w:p>
      <w:pPr>
        <w:spacing w:before="60" w:after="60"/>
      </w:pPr>
      <w:r>
        <w:rPr>
          <w:rFonts w:ascii="Arial" w:cs="Arial" w:eastAsia="Arial" w:hAnsi="Arial"/>
          <w:sz w:val="22"/>
          <w:szCs w:val="22"/>
        </w:rPr>
        <w:t xml:space="preserve">The following artifacts were produced during this analysis and are available in the working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NightlyMaintenance_PerformanceAssessment.md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Comprehensive review of all 22 nightly maintenance stored procedures with bug findings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velo_EvtEvent_20260226.xlsx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EvtEvent velocity analysis: 5 tabs with daily/monthly volumes, forward projections, and charts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velo_OeOrderHistory_20260226.xlsx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OeOrderHistory velocity analysis: 5 tabs with cascade multiplier estimates and purge duration projections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PharmAssist_InfoSchema_20260226.xlsx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INFORMATION_SCHEMA.COLUMNS extract: 7,400 rows, 811 tables, used for row size estimation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PurgeIndexes_20260226.xlsx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sys.indexes + sys.index_columns for all purge tables: 240 rows, 172 indexes across 66 tables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PurgeIndex_Recommendations_20260226.xlsx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6-tab workbook: Executive Summary, Tier 1 Readiness, Tier 2/3 Gaps, New Indexes, CI Restructure, Deadlock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PurgeMetadata_20260226.xlsx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Row counts, space usage, foreign keys, fragmentation, and t-log status for all purge tables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EvtEventLog_20260226.xlsx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months of purge execution logs from EvtEvent: 6,692 entries covering both purge procs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procedures (22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source code for all nightly maintenance and purge procedures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POC Modules 1–5 (.docx + .sql)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partitioning POC documentation and runnable scripts</w:t>
            </w:r>
          </w:p>
        </w:tc>
      </w:tr>
    </w:tbl>
    <w:p>
      <w:r>
        <w:br w:type="page"/>
      </w:r>
    </w:p>
    <w:p>
      <w:pPr>
        <w:pStyle w:val="Heading1"/>
        <w:spacing w:before="240" w:after="120"/>
      </w:pPr>
      <w:r>
        <w:rPr>
          <w:rFonts w:ascii="Arial" w:cs="Arial" w:eastAsia="Arial" w:hAnsi="Arial"/>
          <w:b/>
          <w:bCs/>
        </w:rPr>
        <w:t xml:space="preserve">10. POC Module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4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Fundamentals &amp; Candidate Identification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Migration Strategy for Large Tables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Indexing Strategy for Hot/Cold OLTP</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Partition SWITCH Operations &amp; Data Lifecycle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Partition-Aware Maintenance Plans</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 &amp; Performance Validation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bCs/>
                <w:sz w:val="20"/>
                <w:szCs w:val="20"/>
              </w:rPr>
              <w:t xml:space="preserve">6</w:t>
            </w:r>
          </w:p>
        </w:tc>
        <w:tc>
          <w:tcPr>
            <w:tcW w:type="dxa" w:w="468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val="false"/>
                <w:bCs w:val="false"/>
                <w:sz w:val="20"/>
                <w:szCs w:val="20"/>
              </w:rPr>
              <w:t xml:space="preserve">Consolidated Evidence &amp; Implementation Roadmap</w:t>
            </w:r>
          </w:p>
        </w:tc>
        <w:tc>
          <w:tcPr>
            <w:tcW w:type="dxa" w:w="3480"/>
            <w:tcBorders>
              <w:top w:val="single" w:color="CCCCCC" w:sz="1"/>
              <w:left w:val="single" w:color="CCCCCC" w:sz="1"/>
              <w:bottom w:val="single" w:color="CCCCCC" w:sz="1"/>
              <w:right w:val="single" w:color="CCCCCC" w:sz="1"/>
            </w:tcBorders>
            <w:shd w:fill="E3EDF7" w:val="clear"/>
            <w:tcMar>
              <w:top w:type="dxa" w:w="80"/>
              <w:left w:type="dxa" w:w="120"/>
              <w:bottom w:type="dxa" w:w="80"/>
              <w:right w:type="dxa" w:w="120"/>
            </w:tcMar>
          </w:tcPr>
          <w:p>
            <w:r>
              <w:rPr>
                <w:rFonts w:ascii="Arial" w:cs="Arial" w:eastAsia="Arial" w:hAnsi="Arial"/>
                <w:b w:val="false"/>
                <w:bCs w:val="false"/>
                <w:sz w:val="20"/>
                <w:szCs w:val="20"/>
              </w:rPr>
              <w:t xml:space="preserve">Complete (this document)</w:t>
            </w:r>
          </w:p>
        </w:tc>
      </w:tr>
    </w:tbl>
    <w:p>
      <w:pPr>
        <w:spacing w:before="240" w:after="60"/>
      </w:pPr>
      <w:r>
        <w:rPr>
          <w:rFonts w:ascii="Arial" w:cs="Arial" w:eastAsia="Arial" w:hAnsi="Arial"/>
          <w:sz w:val="22"/>
          <w:szCs w:val="22"/>
        </w:rPr>
        <w:t xml:space="preserve">This completes the SQL Server Table Partitioning Proof of Concept series. All modules have accompanying SQL scripts with production-ready code and Word documents for team review. Module 6 integrates the production evidence gathered during the assessment phase and provides the definitive implementation roadmap.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tabs>
        <w:tab w:val="right" w:pos="9026"/>
      </w:tabs>
    </w:pPr>
    <w:r>
      <w:rPr>
        <w:rFonts w:ascii="Arial" w:cs="Arial" w:eastAsia="Arial" w:hAnsi="Arial"/>
        <w:color w:val="999999"/>
        <w:sz w:val="18"/>
        <w:szCs w:val="18"/>
      </w:rPr>
      <w:t xml:space="preserve">PharmAssist Database </w:t>
    </w:r>
    <w:r>
      <w:rPr>
        <w:rFonts w:ascii="Arial" w:cs="Arial" w:eastAsia="Arial" w:hAnsi="Arial"/>
        <w:b/>
        <w:bCs/>
        <w:color w:val="999999"/>
        <w:sz w:val="18"/>
        <w:szCs w:val="18"/>
      </w:rPr>
      <w:t xml:space="preserve">Partition &amp; Purge Optimization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2026-02-26T22:34:00.619Z</dcterms:created>
  <dcterms:modified xsi:type="dcterms:W3CDTF">2026-02-26T22:34:00.619Z</dcterms:modified>
</cp:coreProperties>
</file>

<file path=docProps/custom.xml><?xml version="1.0" encoding="utf-8"?>
<Properties xmlns="http://schemas.openxmlformats.org/officeDocument/2006/custom-properties" xmlns:vt="http://schemas.openxmlformats.org/officeDocument/2006/docPropsVTypes"/>
</file>