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0a6803f132b9e29457ad188caf106eecb0d9feb"/>
      <w:r>
        <w:t xml:space="preserve">Refactor Recommendation: lsp_OrdSetGroupPriBoost</w:t>
      </w:r>
      <w:bookmarkEnd w:id="20"/>
    </w:p>
    <w:p>
      <w:pPr>
        <w:pStyle w:val="FirstParagraph"/>
      </w:pPr>
      <w:r>
        <w:rPr>
          <w:b/>
        </w:rPr>
        <w:t xml:space="preserve">Date:</w:t>
      </w:r>
      <w:r>
        <w:t xml:space="preserve"> </w:t>
      </w:r>
      <w:r>
        <w:t xml:space="preserve">2026-05-08</w:t>
      </w:r>
      <w:r>
        <w:t xml:space="preserve"> </w:t>
      </w:r>
      <w:r>
        <w:rPr>
          <w:b/>
        </w:rPr>
        <w:t xml:space="preserve">Companion analysis:</w:t>
      </w:r>
      <w:r>
        <w:t xml:space="preserve"> </w:t>
      </w:r>
      <w:r>
        <w:rPr>
          <w:rStyle w:val="VerbatimChar"/>
        </w:rPr>
        <w:t xml:space="preserve">Analysis.md</w:t>
      </w:r>
      <w:r>
        <w:t xml:space="preserve"> </w:t>
      </w:r>
      <w:r>
        <w:t xml:space="preserve">in this folder.</w:t>
      </w:r>
      <w:r>
        <w:t xml:space="preserve"> </w:t>
      </w:r>
      <w:r>
        <w:rPr>
          <w:b/>
        </w:rPr>
        <w:t xml:space="preserve">Deployment state:</w:t>
      </w:r>
      <w:r>
        <w:t xml:space="preserve"> </w:t>
      </w:r>
      <w:r>
        <w:t xml:space="preserve">v11 in production. v12 proposed by the MFC DBA team, awaiting iA review.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problem"/>
      <w:r>
        <w:t xml:space="preserve">Problem</w:t>
      </w:r>
      <w:bookmarkEnd w:id="21"/>
    </w:p>
    <w:p>
      <w:pPr>
        <w:pStyle w:val="FirstParagraph"/>
      </w:pPr>
      <w:r>
        <w:t xml:space="preserve">v11 of</w:t>
      </w:r>
      <w:r>
        <w:t xml:space="preserve"> </w:t>
      </w:r>
      <w:r>
        <w:rPr>
          <w:rStyle w:val="VerbatimChar"/>
        </w:rPr>
        <w:t xml:space="preserve">dbo.lsp_OrdSetGroupPriBoost</w:t>
      </w:r>
      <w:r>
        <w:t xml:space="preserve"> </w:t>
      </w:r>
      <w:r>
        <w:t xml:space="preserve">updates the priority-boost digit (character position 4 of</w:t>
      </w:r>
      <w:r>
        <w:t xml:space="preserve"> </w:t>
      </w:r>
      <w:r>
        <w:rPr>
          <w:rStyle w:val="VerbatimChar"/>
        </w:rPr>
        <w:t xml:space="preserve">PriInternal</w:t>
      </w:r>
      <w:r>
        <w:t xml:space="preserve">) on every Rx in a group or split-package super-group whose current boost is lower than the target boost, then logs both a group-level event and a per-Rx event for audit. The procedure appears on two of four expense lists (Duration #12, Expense #8) with</w:t>
      </w:r>
      <w:r>
        <w:t xml:space="preserve"> </w:t>
      </w:r>
      <w:r>
        <w:t xml:space="preserve">“</w:t>
      </w:r>
      <w:r>
        <w:t xml:space="preserve">algorithmic / plan rewrite candidate</w:t>
      </w:r>
      <w:r>
        <w:t xml:space="preserve">”</w:t>
      </w:r>
      <w:r>
        <w:t xml:space="preserve"> </w:t>
      </w:r>
      <w:r>
        <w:t xml:space="preserve">as the dominant heuristic. Parameter sniffing is not the cost driver; the structural issues are.</w:t>
      </w:r>
    </w:p>
    <w:p>
      <w:pPr>
        <w:pStyle w:val="BodyText"/>
      </w:pPr>
      <w:r>
        <w:t xml:space="preserve">The five issues:</w:t>
      </w:r>
    </w:p>
    <w:p>
      <w:pPr>
        <w:numPr>
          <w:ilvl w:val="0"/>
          <w:numId w:val="1001"/>
        </w:numPr>
        <w:pStyle w:val="Compact"/>
      </w:pPr>
      <w:r>
        <w:t xml:space="preserve">OR predicate combining equality and LIKE on the same column.</w:t>
      </w:r>
      <w:r>
        <w:t xml:space="preserve"> </w:t>
      </w:r>
      <w:r>
        <w:rPr>
          <w:rStyle w:val="VerbatimChar"/>
        </w:rPr>
        <w:t xml:space="preserve">(GroupNum = @GroupNum Or GroupNum Like @SuperGroupNum + '[A-Z]')</w:t>
      </w:r>
      <w:r>
        <w:t xml:space="preserve"> </w:t>
      </w:r>
      <w:r>
        <w:t xml:space="preserve">cannot be satisfied with a single clean seek into the GroupNum index. The optimizer either scans or falls back to an index-scan-with-residual pattern.</w:t>
      </w:r>
    </w:p>
    <w:p>
      <w:pPr>
        <w:numPr>
          <w:ilvl w:val="0"/>
          <w:numId w:val="1001"/>
        </w:numPr>
        <w:pStyle w:val="Compact"/>
      </w:pPr>
      <w:r>
        <w:t xml:space="preserve">Three reads of</w:t>
      </w:r>
      <w:r>
        <w:t xml:space="preserve"> </w:t>
      </w:r>
      <w:r>
        <w:rPr>
          <w:rStyle w:val="VerbatimChar"/>
        </w:rPr>
        <w:t xml:space="preserve">OeOrder</w:t>
      </w:r>
      <w:r>
        <w:t xml:space="preserve"> </w:t>
      </w:r>
      <w:r>
        <w:t xml:space="preserve">for the same row set.</w:t>
      </w:r>
      <w:r>
        <w:t xml:space="preserve"> </w:t>
      </w:r>
      <w:r>
        <w:rPr>
          <w:rStyle w:val="VerbatimChar"/>
        </w:rPr>
        <w:t xml:space="preserve">#GroupRxs</w:t>
      </w:r>
      <w:r>
        <w:t xml:space="preserve"> </w:t>
      </w:r>
      <w:r>
        <w:t xml:space="preserve">carries only</w:t>
      </w:r>
      <w:r>
        <w:t xml:space="preserve"> </w:t>
      </w:r>
      <w:r>
        <w:rPr>
          <w:rStyle w:val="VerbatimChar"/>
        </w:rPr>
        <w:t xml:space="preserve">OrderId</w:t>
      </w:r>
      <w:r>
        <w:t xml:space="preserve">, so the UPDATE and the per-Rx event INSERT both re-read</w:t>
      </w:r>
      <w:r>
        <w:t xml:space="preserve"> </w:t>
      </w:r>
      <w:r>
        <w:rPr>
          <w:rStyle w:val="VerbatimChar"/>
        </w:rPr>
        <w:t xml:space="preserve">PriInternal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OeOrder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Non-SARGable</w:t>
      </w:r>
      <w:r>
        <w:t xml:space="preserve"> </w:t>
      </w:r>
      <w:r>
        <w:rPr>
          <w:rStyle w:val="VerbatimChar"/>
        </w:rPr>
        <w:t xml:space="preserve">SubString(PriInternal, 4, 1) &gt; Cast(@PriBoost As Char(1))</w:t>
      </w:r>
      <w:r>
        <w:t xml:space="preserve"> </w:t>
      </w:r>
      <w:r>
        <w:t xml:space="preserve">predicate. The Substring on the column defeats any index seek on</w:t>
      </w:r>
      <w:r>
        <w:t xml:space="preserve"> </w:t>
      </w:r>
      <w:r>
        <w:rPr>
          <w:rStyle w:val="VerbatimChar"/>
        </w:rPr>
        <w:t xml:space="preserve">PriInternal</w:t>
      </w:r>
      <w:r>
        <w:t xml:space="preserve">. Unavoidable without a schema change; mitigated by narrowing the row count before the predicate evaluates.</w:t>
      </w:r>
    </w:p>
    <w:p>
      <w:pPr>
        <w:numPr>
          <w:ilvl w:val="0"/>
          <w:numId w:val="1001"/>
        </w:numPr>
        <w:pStyle w:val="Compact"/>
      </w:pPr>
      <w:r>
        <w:t xml:space="preserve">Misleading</w:t>
      </w:r>
      <w:r>
        <w:t xml:space="preserve"> </w:t>
      </w:r>
      <w:r>
        <w:rPr>
          <w:rStyle w:val="VerbatimChar"/>
        </w:rPr>
        <w:t xml:space="preserve">with (nolock)</w:t>
      </w:r>
      <w:r>
        <w:t xml:space="preserve"> </w:t>
      </w:r>
      <w:r>
        <w:t xml:space="preserve">hint on the UPDATE target. The engine ignores NoLock on update targets; the hint is documentation drift rather than effective behavior.</w:t>
      </w:r>
    </w:p>
    <w:p>
      <w:pPr>
        <w:numPr>
          <w:ilvl w:val="0"/>
          <w:numId w:val="1001"/>
        </w:numPr>
        <w:pStyle w:val="Compact"/>
      </w:pPr>
      <w:r>
        <w:t xml:space="preserve">No local-variable indirection for the input parameters.</w:t>
      </w:r>
    </w:p>
    <w:p>
      <w:pPr>
        <w:pStyle w:val="Heading2"/>
      </w:pPr>
      <w:bookmarkStart w:id="22" w:name="recommendation"/>
      <w:r>
        <w:t xml:space="preserve">Recommendation</w:t>
      </w:r>
      <w:bookmarkEnd w:id="22"/>
    </w:p>
    <w:p>
      <w:pPr>
        <w:pStyle w:val="FirstParagraph"/>
      </w:pPr>
      <w:r>
        <w:t xml:space="preserve">Ship v12 as a single deployment unit. The package splits the OR into two focused INSERTs that each seek into the GroupNum index, carries</w:t>
      </w:r>
      <w:r>
        <w:t xml:space="preserve"> </w:t>
      </w:r>
      <w:r>
        <w:rPr>
          <w:rStyle w:val="VerbatimChar"/>
        </w:rPr>
        <w:t xml:space="preserve">PriInternal</w:t>
      </w:r>
      <w:r>
        <w:t xml:space="preserve"> </w:t>
      </w:r>
      <w:r>
        <w:t xml:space="preserve">forward through</w:t>
      </w:r>
      <w:r>
        <w:t xml:space="preserve"> </w:t>
      </w:r>
      <w:r>
        <w:rPr>
          <w:rStyle w:val="VerbatimChar"/>
        </w:rPr>
        <w:t xml:space="preserve">#GroupRxs</w:t>
      </w:r>
      <w:r>
        <w:t xml:space="preserve"> </w:t>
      </w:r>
      <w:r>
        <w:t xml:space="preserve">to eliminate two re-reads, removes the misleading UPDATE NoLock hint, and adds local-variable indirection. No schema change. The procedure is fast in absolute terms; the win is structural.</w:t>
      </w:r>
    </w:p>
    <w:p>
      <w:pPr>
        <w:numPr>
          <w:ilvl w:val="0"/>
          <w:numId w:val="1002"/>
        </w:numPr>
        <w:pStyle w:val="Compact"/>
      </w:pPr>
      <w:r>
        <w:t xml:space="preserve">Add local variables for the input parameters and precompute</w:t>
      </w:r>
      <w:r>
        <w:t xml:space="preserve"> </w:t>
      </w:r>
      <w:r>
        <w:rPr>
          <w:rStyle w:val="VerbatimChar"/>
        </w:rPr>
        <w:t xml:space="preserve">@SuperGroupLikePattern</w:t>
      </w:r>
      <w:r>
        <w:t xml:space="preserve"> </w:t>
      </w:r>
      <w:r>
        <w:t xml:space="preserve">once at the top of the procedure.</w:t>
      </w:r>
    </w:p>
    <w:p>
      <w:pPr>
        <w:numPr>
          <w:ilvl w:val="0"/>
          <w:numId w:val="1002"/>
        </w:numPr>
        <w:pStyle w:val="Compact"/>
      </w:pPr>
      <w:r>
        <w:t xml:space="preserve">Replace the OR-combined predicate with two INSERTs into</w:t>
      </w:r>
      <w:r>
        <w:t xml:space="preserve"> </w:t>
      </w:r>
      <w:r>
        <w:rPr>
          <w:rStyle w:val="VerbatimChar"/>
        </w:rPr>
        <w:t xml:space="preserve">#GroupRxs</w:t>
      </w:r>
      <w:r>
        <w:t xml:space="preserve">. The first INSERT seeks by</w:t>
      </w:r>
      <w:r>
        <w:t xml:space="preserve"> </w:t>
      </w:r>
      <w:r>
        <w:rPr>
          <w:rStyle w:val="VerbatimChar"/>
        </w:rPr>
        <w:t xml:space="preserve">GroupNum = @LocalGroupNum</w:t>
      </w:r>
      <w:r>
        <w:t xml:space="preserve">; the second seeks by</w:t>
      </w:r>
      <w:r>
        <w:t xml:space="preserve"> </w:t>
      </w:r>
      <w:r>
        <w:rPr>
          <w:rStyle w:val="VerbatimChar"/>
        </w:rPr>
        <w:t xml:space="preserve">GroupNum Like @SuperGroupLikePattern</w:t>
      </w:r>
      <w:r>
        <w:t xml:space="preserve"> </w:t>
      </w:r>
      <w:r>
        <w:t xml:space="preserve">and uses a</w:t>
      </w:r>
      <w:r>
        <w:t xml:space="preserve"> </w:t>
      </w:r>
      <w:r>
        <w:rPr>
          <w:rStyle w:val="VerbatimChar"/>
        </w:rPr>
        <w:t xml:space="preserve">Left Join #GroupRxs ... Where Is Null</w:t>
      </w:r>
      <w:r>
        <w:t xml:space="preserve"> </w:t>
      </w:r>
      <w:r>
        <w:t xml:space="preserve">anti-join to prevent duplicates.</w:t>
      </w:r>
    </w:p>
    <w:p>
      <w:pPr>
        <w:numPr>
          <w:ilvl w:val="0"/>
          <w:numId w:val="1002"/>
        </w:numPr>
        <w:pStyle w:val="Compact"/>
      </w:pPr>
      <w:r>
        <w:t xml:space="preserve">Declare</w:t>
      </w:r>
      <w:r>
        <w:t xml:space="preserve"> </w:t>
      </w:r>
      <w:r>
        <w:rPr>
          <w:rStyle w:val="VerbatimChar"/>
        </w:rPr>
        <w:t xml:space="preserve">#GroupRxs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(OrderId, PriInternal)</w:t>
      </w:r>
      <w:r>
        <w:t xml:space="preserve"> </w:t>
      </w:r>
      <w:r>
        <w:t xml:space="preserve">and a primary key on</w:t>
      </w:r>
      <w:r>
        <w:t xml:space="preserve"> </w:t>
      </w:r>
      <w:r>
        <w:rPr>
          <w:rStyle w:val="VerbatimChar"/>
        </w:rPr>
        <w:t xml:space="preserve">OrderId</w:t>
      </w:r>
      <w:r>
        <w:t xml:space="preserve">. The PriInternal column carries the pre-update value forward, so the UPDATE no longer needs to re-read it from</w:t>
      </w:r>
      <w:r>
        <w:t xml:space="preserve"> </w:t>
      </w:r>
      <w:r>
        <w:rPr>
          <w:rStyle w:val="VerbatimChar"/>
        </w:rPr>
        <w:t xml:space="preserve">OeOrder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Remove the</w:t>
      </w:r>
      <w:r>
        <w:t xml:space="preserve"> </w:t>
      </w:r>
      <w:r>
        <w:rPr>
          <w:rStyle w:val="VerbatimChar"/>
        </w:rPr>
        <w:t xml:space="preserve">with (nolock)</w:t>
      </w:r>
      <w:r>
        <w:t xml:space="preserve"> </w:t>
      </w:r>
      <w:r>
        <w:t xml:space="preserve">hint from the UPDATE target.</w:t>
      </w:r>
    </w:p>
    <w:p>
      <w:pPr>
        <w:numPr>
          <w:ilvl w:val="0"/>
          <w:numId w:val="1002"/>
        </w:numPr>
        <w:pStyle w:val="Compact"/>
      </w:pPr>
      <w:r>
        <w:t xml:space="preserve">The per-Rx event INSERT reads the post-update</w:t>
      </w:r>
      <w:r>
        <w:t xml:space="preserve"> </w:t>
      </w:r>
      <w:r>
        <w:rPr>
          <w:rStyle w:val="VerbatimChar"/>
        </w:rPr>
        <w:t xml:space="preserve">PriInternal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OeOrder</w:t>
      </w:r>
      <w:r>
        <w:t xml:space="preserve"> </w:t>
      </w:r>
      <w:r>
        <w:t xml:space="preserve">once (the UPDATE has already written the new value in the same transaction).</w:t>
      </w:r>
    </w:p>
    <w:p>
      <w:pPr>
        <w:pStyle w:val="FirstParagraph"/>
      </w:pPr>
      <w:r>
        <w:t xml:space="preserve">The full v12 body is in</w:t>
      </w:r>
      <w:r>
        <w:t xml:space="preserve"> </w:t>
      </w:r>
      <w:r>
        <w:rPr>
          <w:rStyle w:val="VerbatimChar"/>
        </w:rPr>
        <w:t xml:space="preserve">Refactored.sql</w:t>
      </w:r>
      <w:r>
        <w:t xml:space="preserve">. The v11 body is in</w:t>
      </w:r>
      <w:r>
        <w:t xml:space="preserve"> </w:t>
      </w:r>
      <w:r>
        <w:rPr>
          <w:rStyle w:val="VerbatimChar"/>
        </w:rPr>
        <w:t xml:space="preserve">Original.sql</w:t>
      </w:r>
      <w:r>
        <w:t xml:space="preserve"> </w:t>
      </w:r>
      <w:r>
        <w:t xml:space="preserve">for diff and rollback.</w:t>
      </w:r>
    </w:p>
    <w:p>
      <w:pPr>
        <w:pStyle w:val="Heading2"/>
      </w:pPr>
      <w:bookmarkStart w:id="23" w:name="first-principles"/>
      <w:r>
        <w:t xml:space="preserve">First Principles</w:t>
      </w:r>
      <w:bookmarkEnd w:id="23"/>
    </w:p>
    <w:p>
      <w:pPr>
        <w:pStyle w:val="FirstParagraph"/>
      </w:pPr>
      <w:r>
        <w:rPr>
          <w:b/>
        </w:rPr>
        <w:t xml:space="preserve">OR across different access paths defeats a clean seek.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masterclass/LEFT JOIN OR Anti-Pattern.md</w:t>
      </w:r>
      <w:r>
        <w:t xml:space="preserve">:</w:t>
      </w:r>
    </w:p>
    <w:p>
      <w:pPr>
        <w:pStyle w:val="BlockText"/>
      </w:pPr>
      <w:r>
        <w:t xml:space="preserve">The optimizer needs to satisfy</w:t>
      </w:r>
      <w:r>
        <w:t xml:space="preserve"> </w:t>
      </w:r>
      <w:r>
        <w:rPr>
          <w:rStyle w:val="VerbatimChar"/>
        </w:rPr>
        <w:t xml:space="preserve">Condition_A OR Condition_B</w:t>
      </w:r>
      <w:r>
        <w:t xml:space="preserve"> </w:t>
      </w:r>
      <w:r>
        <w:t xml:space="preserve">where A and B involve different tables. It can’t seek on table X’s index AND table M’s index simultaneously for an OR.</w:t>
      </w:r>
    </w:p>
    <w:p>
      <w:pPr>
        <w:pStyle w:val="BlockText"/>
      </w:pPr>
      <w:r>
        <w:t xml:space="preserve">The textbook refactor splits the query into two branches, one per join path, and combines them with UNION:</w:t>
      </w:r>
    </w:p>
    <w:p>
      <w:pPr>
        <w:pStyle w:val="FirstParagraph"/>
      </w:pPr>
      <w:r>
        <w:t xml:space="preserve">The textbook fix is UNION ALL across the two paths. The same principle applies here even though the OR is on a single table: two focused INSERTs into</w:t>
      </w:r>
      <w:r>
        <w:t xml:space="preserve"> </w:t>
      </w:r>
      <w:r>
        <w:rPr>
          <w:rStyle w:val="VerbatimChar"/>
        </w:rPr>
        <w:t xml:space="preserve">#GroupRxs</w:t>
      </w:r>
      <w:r>
        <w:t xml:space="preserve">, one per branch of the OR, let the optimizer seek into the GroupNum index for each and avoid the scan-or-fallback that the combined predicate forces. The anti-join in the second INSERT prevents duplicates in the edge case where a GroupNum matches both predicates.</w:t>
      </w:r>
    </w:p>
    <w:p>
      <w:pPr>
        <w:pStyle w:val="BodyText"/>
      </w:pPr>
      <w:r>
        <w:rPr>
          <w:b/>
        </w:rPr>
        <w:t xml:space="preserve">Non-SARGable predicates: narrow before you evaluate.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masterclass/Non-SARGable Predicates.md</w:t>
      </w:r>
      <w:r>
        <w:t xml:space="preserve">:</w:t>
      </w:r>
    </w:p>
    <w:p>
      <w:pPr>
        <w:pStyle w:val="BlockText"/>
      </w:pPr>
      <w:r>
        <w:t xml:space="preserve">Not every non-SARGable predicate needs to be fixed. If the table is small (under 10,000 rows), a scan is fine. Don’t over-optimize. If the predicate is on a joined table (not the driving table), the scan cost may be negligible.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SubString(PriInternal, 4, 1) &gt; @PriBoostChar</w:t>
      </w:r>
      <w:r>
        <w:t xml:space="preserve"> </w:t>
      </w:r>
      <w:r>
        <w:t xml:space="preserve">predicate is fundamentally non-SARGable without a schema change. The mitigation is to bound the row count the predicate evaluates against. v12’s two-branch structure filters by GroupNum first (seekable), leaving a small intermediate set on which the Substring is cheap. The schema-level fix (a persisted computed column on the boost digit, indexed) is documented in Section 11.1 of the analysis.</w:t>
      </w:r>
    </w:p>
    <w:p>
      <w:pPr>
        <w:pStyle w:val="BodyText"/>
      </w:pPr>
      <w:r>
        <w:rPr>
          <w:b/>
        </w:rPr>
        <w:t xml:space="preserve">Carry forward needed columns through the temp table.</w:t>
      </w:r>
      <w:r>
        <w:t xml:space="preserve"> </w:t>
      </w:r>
      <w:r>
        <w:t xml:space="preserve">A temp table that holds only a join key forces every downstream consumer to re-read the source for any additional column.</w:t>
      </w:r>
      <w:r>
        <w:t xml:space="preserve"> </w:t>
      </w:r>
      <w:r>
        <w:rPr>
          <w:rStyle w:val="VerbatimChar"/>
        </w:rPr>
        <w:t xml:space="preserve">#GroupRxs</w:t>
      </w:r>
      <w:r>
        <w:t xml:space="preserve"> </w:t>
      </w:r>
      <w:r>
        <w:t xml:space="preserve">in v11 carries only</w:t>
      </w:r>
      <w:r>
        <w:t xml:space="preserve"> </w:t>
      </w:r>
      <w:r>
        <w:rPr>
          <w:rStyle w:val="VerbatimChar"/>
        </w:rPr>
        <w:t xml:space="preserve">OrderId</w:t>
      </w:r>
      <w:r>
        <w:t xml:space="preserve">, so the UPDATE and the per-Rx event INSERT each re-read</w:t>
      </w:r>
      <w:r>
        <w:t xml:space="preserve"> </w:t>
      </w:r>
      <w:r>
        <w:rPr>
          <w:rStyle w:val="VerbatimChar"/>
        </w:rPr>
        <w:t xml:space="preserve">PriInternal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OeOrder</w:t>
      </w:r>
      <w:r>
        <w:t xml:space="preserve">. Carrying</w:t>
      </w:r>
      <w:r>
        <w:t xml:space="preserve"> </w:t>
      </w:r>
      <w:r>
        <w:rPr>
          <w:rStyle w:val="VerbatimChar"/>
        </w:rPr>
        <w:t xml:space="preserve">PriInternal</w:t>
      </w:r>
      <w:r>
        <w:t xml:space="preserve"> </w:t>
      </w:r>
      <w:r>
        <w:t xml:space="preserve">forward into</w:t>
      </w:r>
      <w:r>
        <w:t xml:space="preserve"> </w:t>
      </w:r>
      <w:r>
        <w:rPr>
          <w:rStyle w:val="VerbatimChar"/>
        </w:rPr>
        <w:t xml:space="preserve">#GroupRxs</w:t>
      </w:r>
      <w:r>
        <w:t xml:space="preserve"> </w:t>
      </w:r>
      <w:r>
        <w:t xml:space="preserve">eliminates one full read of</w:t>
      </w:r>
      <w:r>
        <w:t xml:space="preserve"> </w:t>
      </w:r>
      <w:r>
        <w:rPr>
          <w:rStyle w:val="VerbatimChar"/>
        </w:rPr>
        <w:t xml:space="preserve">OeOrder</w:t>
      </w:r>
      <w:r>
        <w:t xml:space="preserve"> </w:t>
      </w:r>
      <w:r>
        <w:t xml:space="preserve">for the UPDATE’s read of the existing value. The pre-update</w:t>
      </w:r>
      <w:r>
        <w:t xml:space="preserve"> </w:t>
      </w:r>
      <w:r>
        <w:rPr>
          <w:rStyle w:val="VerbatimChar"/>
        </w:rPr>
        <w:t xml:space="preserve">PriInternal</w:t>
      </w:r>
      <w:r>
        <w:t xml:space="preserve"> </w:t>
      </w:r>
      <w:r>
        <w:t xml:space="preserve">is in cache from the temp-table population; the post-update value is computed in the UPDATE and read once from</w:t>
      </w:r>
      <w:r>
        <w:t xml:space="preserve"> </w:t>
      </w:r>
      <w:r>
        <w:rPr>
          <w:rStyle w:val="VerbatimChar"/>
        </w:rPr>
        <w:t xml:space="preserve">OeOrder</w:t>
      </w:r>
      <w:r>
        <w:t xml:space="preserve"> </w:t>
      </w:r>
      <w:r>
        <w:t xml:space="preserve">for the event log.</w:t>
      </w:r>
    </w:p>
    <w:p>
      <w:pPr>
        <w:pStyle w:val="Heading2"/>
      </w:pPr>
      <w:bookmarkStart w:id="24" w:name="ms-learn-citations"/>
      <w:r>
        <w:t xml:space="preserve">MS Learn Citations</w:t>
      </w:r>
      <w:bookmarkEnd w:id="24"/>
    </w:p>
    <w:p>
      <w:pPr>
        <w:pStyle w:val="FirstParagraph"/>
      </w:pPr>
      <w:r>
        <w:t xml:space="preserve">The techniques in this refactor anchor to the following Transact-SQL reference pages.</w:t>
      </w:r>
    </w:p>
    <w:p>
      <w:pPr>
        <w:numPr>
          <w:ilvl w:val="0"/>
          <w:numId w:val="1003"/>
        </w:numPr>
        <w:pStyle w:val="Compact"/>
      </w:pPr>
      <w:r>
        <w:t xml:space="preserve">Set operators.</w:t>
      </w:r>
      <w:r>
        <w:t xml:space="preserve"> </w:t>
      </w:r>
      <w:hyperlink r:id="rId25">
        <w:r>
          <w:rPr>
            <w:rStyle w:val="Hyperlink"/>
          </w:rPr>
          <w:t xml:space="preserve">UNION (Transact-SQL)</w:t>
        </w:r>
      </w:hyperlink>
      <w:r>
        <w:t xml:space="preserve"> </w:t>
      </w:r>
      <w:r>
        <w:t xml:space="preserve">covers the principle behind the two-INSERT pattern that replaces the OR predicate.</w:t>
      </w:r>
    </w:p>
    <w:p>
      <w:pPr>
        <w:numPr>
          <w:ilvl w:val="0"/>
          <w:numId w:val="1003"/>
        </w:numPr>
        <w:pStyle w:val="Compact"/>
      </w:pPr>
      <w:r>
        <w:t xml:space="preserve">Predicates.</w:t>
      </w:r>
      <w:r>
        <w:t xml:space="preserve"> </w:t>
      </w:r>
      <w:hyperlink r:id="rId26">
        <w:r>
          <w:rPr>
            <w:rStyle w:val="Hyperlink"/>
          </w:rPr>
          <w:t xml:space="preserve">Predicates (SARGability reference)</w:t>
        </w:r>
      </w:hyperlink>
      <w:r>
        <w:t xml:space="preserve"> </w:t>
      </w:r>
      <w:r>
        <w:t xml:space="preserve">describes the SARGability rules that the GroupNum predicates satisfy and the Substring predicate violates.</w:t>
      </w:r>
    </w:p>
    <w:p>
      <w:pPr>
        <w:numPr>
          <w:ilvl w:val="0"/>
          <w:numId w:val="1003"/>
        </w:numPr>
        <w:pStyle w:val="Compact"/>
      </w:pPr>
      <w:r>
        <w:t xml:space="preserve">Index support.</w:t>
      </w:r>
      <w:r>
        <w:t xml:space="preserve"> </w:t>
      </w:r>
      <w:hyperlink r:id="rId27">
        <w:r>
          <w:rPr>
            <w:rStyle w:val="Hyperlink"/>
          </w:rPr>
          <w:t xml:space="preserve">CREATE INDEX (Transact-SQL)</w:t>
        </w:r>
      </w:hyperlink>
      <w:r>
        <w:t xml:space="preserve"> </w:t>
      </w:r>
      <w:r>
        <w:t xml:space="preserve">covers the primary key on</w:t>
      </w:r>
      <w:r>
        <w:t xml:space="preserve"> </w:t>
      </w:r>
      <w:r>
        <w:rPr>
          <w:rStyle w:val="VerbatimChar"/>
        </w:rPr>
        <w:t xml:space="preserve">#GroupRxs.OrderId</w:t>
      </w:r>
      <w:r>
        <w:t xml:space="preserve"> </w:t>
      </w:r>
      <w:r>
        <w:t xml:space="preserve">that supports the downstream joins.</w:t>
      </w:r>
    </w:p>
    <w:p>
      <w:pPr>
        <w:numPr>
          <w:ilvl w:val="0"/>
          <w:numId w:val="1003"/>
        </w:numPr>
        <w:pStyle w:val="Compact"/>
      </w:pPr>
      <w:r>
        <w:t xml:space="preserve">Table hints.</w:t>
      </w:r>
      <w:r>
        <w:t xml:space="preserve"> </w:t>
      </w:r>
      <w:hyperlink r:id="rId28">
        <w:r>
          <w:rPr>
            <w:rStyle w:val="Hyperlink"/>
          </w:rPr>
          <w:t xml:space="preserve">Table Hints (Transact-SQL)</w:t>
        </w:r>
      </w:hyperlink>
      <w:r>
        <w:t xml:space="preserve"> </w:t>
      </w:r>
      <w:r>
        <w:t xml:space="preserve">documents that NoLock has no effect on update targets, which is the basis for removing the misleading hint.</w:t>
      </w:r>
    </w:p>
    <w:p>
      <w:pPr>
        <w:pStyle w:val="Heading2"/>
      </w:pPr>
      <w:bookmarkStart w:id="29" w:name="risk-note"/>
      <w:r>
        <w:t xml:space="preserve">Risk Note</w:t>
      </w:r>
      <w:bookmarkEnd w:id="29"/>
    </w:p>
    <w:p>
      <w:pPr>
        <w:pStyle w:val="FirstParagraph"/>
      </w:pPr>
      <w:r>
        <w:t xml:space="preserve">The two-branch UNION ALL preserves row identity through the primary key on</w:t>
      </w:r>
      <w:r>
        <w:t xml:space="preserve"> </w:t>
      </w:r>
      <w:r>
        <w:rPr>
          <w:rStyle w:val="VerbatimChar"/>
        </w:rPr>
        <w:t xml:space="preserve">#GroupRxs.OrderId</w:t>
      </w:r>
      <w:r>
        <w:t xml:space="preserve">. The anti-join in the second INSERT prevents duplicates in the edge case where a GroupNum somehow matches both the equality and the LIKE pattern (which should not occur given the trailing-letter convention, but the anti-join is defensive). The Substring predicate is preserved in both branches; the row count it evaluates against is bounded by the GroupNum-filtered intermediate set, which is typically dozens. Removing the UPDATE NoLock hint is mechanical; the engine ignores NoLock on update targets, so the hint had no effect on locking behavior. Watch the first 24 hours for plan shape on the two</w:t>
      </w:r>
      <w:r>
        <w:t xml:space="preserve"> </w:t>
      </w:r>
      <w:r>
        <w:rPr>
          <w:rStyle w:val="VerbatimChar"/>
        </w:rPr>
        <w:t xml:space="preserve">#GroupRxs</w:t>
      </w:r>
      <w:r>
        <w:t xml:space="preserve"> </w:t>
      </w:r>
      <w:r>
        <w:t xml:space="preserve">INSERTs (expected: two clean index seeks into GroupNum), row count parity between v11 and v12 on the same data state, and same PriInternal values written. Rollback is a pure DDL revert; redeploy v11 from</w:t>
      </w:r>
      <w:r>
        <w:t xml:space="preserve"> </w:t>
      </w:r>
      <w:r>
        <w:rPr>
          <w:rStyle w:val="VerbatimChar"/>
        </w:rPr>
        <w:t xml:space="preserve">Original.sql</w:t>
      </w:r>
      <w:r>
        <w:t xml:space="preserve">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ptos" w:hAnsi="Aptos" w:cs="Aptos"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5" Target="https://learn.microsoft.com/en-us/sql/t-sql/language-elements/set-operators-union-transact-sql" TargetMode="External" /><Relationship Type="http://schemas.openxmlformats.org/officeDocument/2006/relationships/hyperlink" Id="rId28" Target="https://learn.microsoft.com/en-us/sql/t-sql/queries/hints-transact-sql-table" TargetMode="External" /><Relationship Type="http://schemas.openxmlformats.org/officeDocument/2006/relationships/hyperlink" Id="rId26" Target="https://learn.microsoft.com/en-us/sql/t-sql/queries/predicates" TargetMode="External" /><Relationship Type="http://schemas.openxmlformats.org/officeDocument/2006/relationships/hyperlink" Id="rId27" Target="https://learn.microsoft.com/en-us/sql/t-sql/statements/create-index-transact-sql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5" Target="https://learn.microsoft.com/en-us/sql/t-sql/language-elements/set-operators-union-transact-sql" TargetMode="External" /><Relationship Type="http://schemas.openxmlformats.org/officeDocument/2006/relationships/hyperlink" Id="rId28" Target="https://learn.microsoft.com/en-us/sql/t-sql/queries/hints-transact-sql-table" TargetMode="External" /><Relationship Type="http://schemas.openxmlformats.org/officeDocument/2006/relationships/hyperlink" Id="rId26" Target="https://learn.microsoft.com/en-us/sql/t-sql/queries/predicates" TargetMode="External" /><Relationship Type="http://schemas.openxmlformats.org/officeDocument/2006/relationships/hyperlink" Id="rId27" Target="https://learn.microsoft.com/en-us/sql/t-sql/statements/create-index-transact-sq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ptos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2026-05-14T14:42:08Z</dcterms:created>
  <dcterms:modified xsi:type="dcterms:W3CDTF">2026-05-14T14:42:08Z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