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12a2dad2212d8c3e3c9d78a530131cc7295b1f"/>
      <w:r>
        <w:t xml:space="preserve">Refactor Recommendation: lsp_PwkGetVerifiedRxsWithManualPriority</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 v3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v2 of</w:t>
      </w:r>
      <w:r>
        <w:t xml:space="preserve"> </w:t>
      </w:r>
      <w:r>
        <w:rPr>
          <w:rStyle w:val="VerbatimChar"/>
        </w:rPr>
        <w:t xml:space="preserve">dbo.lsp_PwkGetVerifiedRxsWithManualPriority</w:t>
      </w:r>
      <w:r>
        <w:t xml:space="preserve"> </w:t>
      </w:r>
      <w:r>
        <w:t xml:space="preserve">runs the paperwork poller. The cross-list capture puts it on all four expense lists (Volume rank 21, Duration 11, Expense 12, Plan 18) with a 1,409x worst-case-to-average ratio. Cost concentrates on two correlated subqueries against</w:t>
      </w:r>
      <w:r>
        <w:t xml:space="preserve"> </w:t>
      </w:r>
      <w:r>
        <w:rPr>
          <w:rStyle w:val="VerbatimChar"/>
        </w:rPr>
        <w:t xml:space="preserve">OrderToteAssoc</w:t>
      </w:r>
      <w:r>
        <w:t xml:space="preserve"> </w:t>
      </w:r>
      <w:r>
        <w:t xml:space="preserve">that run once per candidate parent and on a non-SARGable modulo-10 mask predicate that drives parameter-sniffing volatility.</w:t>
      </w:r>
    </w:p>
    <w:p>
      <w:pPr>
        <w:pStyle w:val="BodyText"/>
      </w:pPr>
      <w:r>
        <w:t xml:space="preserve">The five structural issues:</w:t>
      </w:r>
    </w:p>
    <w:p>
      <w:pPr>
        <w:numPr>
          <w:ilvl w:val="0"/>
          <w:numId w:val="1001"/>
        </w:numPr>
        <w:pStyle w:val="Compact"/>
      </w:pPr>
      <w:r>
        <w:t xml:space="preserve">Correlated scalar subquery for the in-tote ToteId.</w:t>
      </w:r>
      <w:r>
        <w:t xml:space="preserve"> </w:t>
      </w:r>
      <w:r>
        <w:rPr>
          <w:rStyle w:val="VerbatimChar"/>
        </w:rPr>
        <w:t xml:space="preserve">IsNull((Select Top 1 ToteId From OrderToteAssoc ... Where (OrderId Like O.OrderId + '-[0-9][0-9]' Or OrderId = O.OrderId) And OrderToteStateCode = 'I'), '')</w:t>
      </w:r>
      <w:r>
        <w:t xml:space="preserve"> </w:t>
      </w:r>
      <w:r>
        <w:t xml:space="preserve">runs once per outer row with a non-SARGable LIKE.</w:t>
      </w:r>
    </w:p>
    <w:p>
      <w:pPr>
        <w:numPr>
          <w:ilvl w:val="0"/>
          <w:numId w:val="1001"/>
        </w:numPr>
        <w:pStyle w:val="Compact"/>
      </w:pPr>
      <w:r>
        <w:t xml:space="preserve">Correlated scalar Count subquery for child-vial completeness. Same shape, executed per Split/MV parent, also non-SARGable.</w:t>
      </w:r>
    </w:p>
    <w:p>
      <w:pPr>
        <w:numPr>
          <w:ilvl w:val="0"/>
          <w:numId w:val="1001"/>
        </w:numPr>
        <w:pStyle w:val="Compact"/>
      </w:pPr>
      <w:r>
        <w:t xml:space="preserve">Non-SARGable mask filter on PatCustId.</w:t>
      </w:r>
      <w:r>
        <w:t xml:space="preserve"> </w:t>
      </w:r>
      <w:r>
        <w:rPr>
          <w:rStyle w:val="VerbatimChar"/>
        </w:rPr>
        <w:t xml:space="preserve">@PatCustIdMask Like '%' + Cast((PatCustId % 10) As varchar) + '%'</w:t>
      </w:r>
      <w:r>
        <w:t xml:space="preserve"> </w:t>
      </w:r>
      <w:r>
        <w:t xml:space="preserve">is fundamentally non-seekable and is repeated identically in both UNION branches.</w:t>
      </w:r>
    </w:p>
    <w:p>
      <w:pPr>
        <w:numPr>
          <w:ilvl w:val="0"/>
          <w:numId w:val="1001"/>
        </w:numPr>
        <w:pStyle w:val="Compact"/>
      </w:pPr>
      <w:r>
        <w:t xml:space="preserve">Parameter sniffing on</w:t>
      </w:r>
      <w:r>
        <w:t xml:space="preserve"> </w:t>
      </w:r>
      <w:r>
        <w:rPr>
          <w:rStyle w:val="VerbatimChar"/>
        </w:rPr>
        <w:t xml:space="preserve">@PatCustIdMask</w:t>
      </w:r>
      <w:r>
        <w:t xml:space="preserve"> </w:t>
      </w:r>
      <w:r>
        <w:t xml:space="preserve">and</w:t>
      </w:r>
      <w:r>
        <w:t xml:space="preserve"> </w:t>
      </w:r>
      <w:r>
        <w:rPr>
          <w:rStyle w:val="VerbatimChar"/>
        </w:rPr>
        <w:t xml:space="preserve">@MultiToteRequired</w:t>
      </w:r>
      <w:r>
        <w:t xml:space="preserve">. No local-variable indirection.</w:t>
      </w:r>
    </w:p>
    <w:p>
      <w:pPr>
        <w:numPr>
          <w:ilvl w:val="0"/>
          <w:numId w:val="1001"/>
        </w:numPr>
        <w:pStyle w:val="Compact"/>
      </w:pPr>
      <w:r>
        <w:t xml:space="preserve">Legacy</w:t>
      </w:r>
      <w:r>
        <w:t xml:space="preserve"> </w:t>
      </w:r>
      <w:r>
        <w:rPr>
          <w:rStyle w:val="VerbatimChar"/>
        </w:rPr>
        <w:t xml:space="preserve">Object_Id</w:t>
      </w:r>
      <w:r>
        <w:t xml:space="preserve"> </w:t>
      </w:r>
      <w:r>
        <w:t xml:space="preserve">temp-table check. Modern equivalent is</w:t>
      </w:r>
      <w:r>
        <w:t xml:space="preserve"> </w:t>
      </w:r>
      <w:r>
        <w:rPr>
          <w:rStyle w:val="VerbatimChar"/>
        </w:rPr>
        <w:t xml:space="preserve">Drop Table If Exists</w:t>
      </w:r>
      <w:r>
        <w:t xml:space="preserve">.</w:t>
      </w:r>
    </w:p>
    <w:p>
      <w:pPr>
        <w:pStyle w:val="Heading2"/>
      </w:pPr>
      <w:bookmarkStart w:id="22" w:name="recommendation"/>
      <w:r>
        <w:t xml:space="preserve">Recommendation</w:t>
      </w:r>
      <w:bookmarkEnd w:id="22"/>
    </w:p>
    <w:p>
      <w:pPr>
        <w:pStyle w:val="FirstParagraph"/>
      </w:pPr>
      <w:r>
        <w:t xml:space="preserve">Apply v3 as proposed. No schema change. No index change. The package handles correlation, sniffing, and the legacy idiom in a single deployment unit.</w:t>
      </w:r>
    </w:p>
    <w:p>
      <w:pPr>
        <w:numPr>
          <w:ilvl w:val="0"/>
          <w:numId w:val="1002"/>
        </w:numPr>
        <w:pStyle w:val="Compact"/>
      </w:pPr>
      <w:r>
        <w:t xml:space="preserve">Pre-materialize</w:t>
      </w:r>
      <w:r>
        <w:t xml:space="preserve"> </w:t>
      </w:r>
      <w:r>
        <w:rPr>
          <w:rStyle w:val="VerbatimChar"/>
        </w:rPr>
        <w:t xml:space="preserve">OrderToteAssoc</w:t>
      </w:r>
      <w:r>
        <w:t xml:space="preserve"> </w:t>
      </w:r>
      <w:r>
        <w:t xml:space="preserve">filtered to</w:t>
      </w:r>
      <w:r>
        <w:t xml:space="preserve"> </w:t>
      </w:r>
      <w:r>
        <w:rPr>
          <w:rStyle w:val="VerbatimChar"/>
        </w:rPr>
        <w:t xml:space="preserve">OrderToteStateCode = 'I'</w:t>
      </w:r>
      <w:r>
        <w:t xml:space="preserve"> </w:t>
      </w:r>
      <w:r>
        <w:t xml:space="preserve">into</w:t>
      </w:r>
      <w:r>
        <w:t xml:space="preserve"> </w:t>
      </w:r>
      <w:r>
        <w:rPr>
          <w:rStyle w:val="VerbatimChar"/>
        </w:rPr>
        <w:t xml:space="preserve">#ToteState</w:t>
      </w:r>
      <w:r>
        <w:t xml:space="preserve">, deriving</w:t>
      </w:r>
      <w:r>
        <w:t xml:space="preserve"> </w:t>
      </w:r>
      <w:r>
        <w:rPr>
          <w:rStyle w:val="VerbatimChar"/>
        </w:rPr>
        <w:t xml:space="preserve">ParentOrderId</w:t>
      </w:r>
      <w:r>
        <w:t xml:space="preserve"> </w:t>
      </w:r>
      <w:r>
        <w:t xml:space="preserve">once per row via</w:t>
      </w:r>
      <w:r>
        <w:t xml:space="preserve"> </w:t>
      </w:r>
      <w:r>
        <w:rPr>
          <w:rStyle w:val="VerbatimChar"/>
        </w:rPr>
        <w:t xml:space="preserve">Left(OrderId, Len(OrderId) - 3)</w:t>
      </w:r>
      <w:r>
        <w:t xml:space="preserve"> </w:t>
      </w:r>
      <w:r>
        <w:t xml:space="preserve">when the OrderId matches</w:t>
      </w:r>
      <w:r>
        <w:t xml:space="preserve"> </w:t>
      </w:r>
      <w:r>
        <w:rPr>
          <w:rStyle w:val="VerbatimChar"/>
        </w:rPr>
        <w:t xml:space="preserve">'%-[0-9][0-9]'</w:t>
      </w:r>
      <w:r>
        <w:t xml:space="preserve">, else OrderId.</w:t>
      </w:r>
    </w:p>
    <w:p>
      <w:pPr>
        <w:numPr>
          <w:ilvl w:val="0"/>
          <w:numId w:val="1002"/>
        </w:numPr>
        <w:pStyle w:val="Compact"/>
      </w:pPr>
      <w:r>
        <w:t xml:space="preserve">Index</w:t>
      </w:r>
      <w:r>
        <w:t xml:space="preserve"> </w:t>
      </w:r>
      <w:r>
        <w:rPr>
          <w:rStyle w:val="VerbatimChar"/>
        </w:rPr>
        <w:t xml:space="preserve">#ToteState(ParentOrderId)</w:t>
      </w:r>
      <w:r>
        <w:t xml:space="preserve"> </w:t>
      </w:r>
      <w:r>
        <w:t xml:space="preserve">after population.</w:t>
      </w:r>
    </w:p>
    <w:p>
      <w:pPr>
        <w:numPr>
          <w:ilvl w:val="0"/>
          <w:numId w:val="1002"/>
        </w:numPr>
        <w:pStyle w:val="Compact"/>
      </w:pPr>
      <w:r>
        <w:t xml:space="preserve">Aggregate the in-tote state in a single</w:t>
      </w:r>
      <w:r>
        <w:t xml:space="preserve"> </w:t>
      </w:r>
      <w:r>
        <w:rPr>
          <w:rStyle w:val="VerbatimChar"/>
        </w:rPr>
        <w:t xml:space="preserve">InToteAgg</w:t>
      </w:r>
      <w:r>
        <w:t xml:space="preserve"> </w:t>
      </w:r>
      <w:r>
        <w:t xml:space="preserve">CTE that returns</w:t>
      </w:r>
      <w:r>
        <w:t xml:space="preserve"> </w:t>
      </w:r>
      <w:r>
        <w:rPr>
          <w:rStyle w:val="VerbatimChar"/>
        </w:rPr>
        <w:t xml:space="preserve">ChildCount</w:t>
      </w:r>
      <w:r>
        <w:t xml:space="preserve"> </w:t>
      </w:r>
      <w:r>
        <w:t xml:space="preserve">and</w:t>
      </w:r>
      <w:r>
        <w:t xml:space="preserve"> </w:t>
      </w:r>
      <w:r>
        <w:rPr>
          <w:rStyle w:val="VerbatimChar"/>
        </w:rPr>
        <w:t xml:space="preserve">FirstToteId</w:t>
      </w:r>
      <w:r>
        <w:t xml:space="preserve"> </w:t>
      </w:r>
      <w:r>
        <w:t xml:space="preserve">per parent, joined once into the candidate build.</w:t>
      </w:r>
    </w:p>
    <w:p>
      <w:pPr>
        <w:numPr>
          <w:ilvl w:val="0"/>
          <w:numId w:val="1002"/>
        </w:numPr>
        <w:pStyle w:val="Compact"/>
      </w:pPr>
      <w:r>
        <w:t xml:space="preserve">Assign</w:t>
      </w:r>
      <w:r>
        <w:t xml:space="preserve"> </w:t>
      </w:r>
      <w:r>
        <w:rPr>
          <w:rStyle w:val="VerbatimChar"/>
        </w:rPr>
        <w:t xml:space="preserve">@LocalPatCustIdMask</w:t>
      </w:r>
      <w:r>
        <w:t xml:space="preserve"> </w:t>
      </w:r>
      <w:r>
        <w:t xml:space="preserve">and</w:t>
      </w:r>
      <w:r>
        <w:t xml:space="preserve"> </w:t>
      </w:r>
      <w:r>
        <w:rPr>
          <w:rStyle w:val="VerbatimChar"/>
        </w:rPr>
        <w:t xml:space="preserve">@LocalMultiToteRequired</w:t>
      </w:r>
      <w:r>
        <w:t xml:space="preserve"> </w:t>
      </w:r>
      <w:r>
        <w:t xml:space="preserve">after parameter normalization and reference the locals downstream.</w:t>
      </w:r>
    </w:p>
    <w:p>
      <w:pPr>
        <w:numPr>
          <w:ilvl w:val="0"/>
          <w:numId w:val="1002"/>
        </w:numPr>
        <w:pStyle w:val="Compact"/>
      </w:pPr>
      <w:r>
        <w:t xml:space="preserve">Apply the mask predicate inside a</w:t>
      </w:r>
      <w:r>
        <w:t xml:space="preserve"> </w:t>
      </w:r>
      <w:r>
        <w:rPr>
          <w:rStyle w:val="VerbatimChar"/>
        </w:rPr>
        <w:t xml:space="preserve">Filtered</w:t>
      </w:r>
      <w:r>
        <w:t xml:space="preserve"> </w:t>
      </w:r>
      <w:r>
        <w:t xml:space="preserve">CTE so it is evaluated once over the candidate set, and drive the two UNION branches off that filtered set.</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final SELECT so the per-call plan sees the actual mask selectivity.</w:t>
      </w:r>
    </w:p>
    <w:p>
      <w:pPr>
        <w:numPr>
          <w:ilvl w:val="0"/>
          <w:numId w:val="1002"/>
        </w:numPr>
        <w:pStyle w:val="Compact"/>
      </w:pPr>
      <w:r>
        <w:t xml:space="preserve">Replace the</w:t>
      </w:r>
      <w:r>
        <w:t xml:space="preserve"> </w:t>
      </w:r>
      <w:r>
        <w:rPr>
          <w:rStyle w:val="VerbatimChar"/>
        </w:rPr>
        <w:t xml:space="preserve">Object_Id</w:t>
      </w:r>
      <w:r>
        <w:t xml:space="preserve"> </w:t>
      </w:r>
      <w:r>
        <w:t xml:space="preserve">check with</w:t>
      </w:r>
      <w:r>
        <w:t xml:space="preserve"> </w:t>
      </w:r>
      <w:r>
        <w:rPr>
          <w:rStyle w:val="VerbatimChar"/>
        </w:rPr>
        <w:t xml:space="preserve">Drop Table If Exists</w:t>
      </w:r>
      <w:r>
        <w:t xml:space="preserve">.</w:t>
      </w:r>
    </w:p>
    <w:p>
      <w:pPr>
        <w:pStyle w:val="FirstParagraph"/>
      </w:pPr>
      <w:r>
        <w:t xml:space="preserve">The full v3 body is in</w:t>
      </w:r>
      <w:r>
        <w:t xml:space="preserve"> </w:t>
      </w:r>
      <w:r>
        <w:rPr>
          <w:rStyle w:val="VerbatimChar"/>
        </w:rPr>
        <w:t xml:space="preserve">Refactored.sql</w:t>
      </w:r>
      <w:r>
        <w:t xml:space="preserve">. The v2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A correlated subquery is per-row evaluation.</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FirstParagraph"/>
      </w:pPr>
      <w:r>
        <w:t xml:space="preserve">Both v2 subqueries share the same filter (</w:t>
      </w:r>
      <w:r>
        <w:rPr>
          <w:rStyle w:val="VerbatimChar"/>
        </w:rPr>
        <w:t xml:space="preserve">OrderToteStateCode = 'I'</w:t>
      </w:r>
      <w:r>
        <w:t xml:space="preserve">) and the same parent-child relationship. v3 scans</w:t>
      </w:r>
      <w:r>
        <w:t xml:space="preserve"> </w:t>
      </w:r>
      <w:r>
        <w:rPr>
          <w:rStyle w:val="VerbatimChar"/>
        </w:rPr>
        <w:t xml:space="preserve">OrderToteAssoc</w:t>
      </w:r>
      <w:r>
        <w:t xml:space="preserve"> </w:t>
      </w:r>
      <w:r>
        <w:t xml:space="preserve">once into</w:t>
      </w:r>
      <w:r>
        <w:t xml:space="preserve"> </w:t>
      </w:r>
      <w:r>
        <w:rPr>
          <w:rStyle w:val="VerbatimChar"/>
        </w:rPr>
        <w:t xml:space="preserve">#ToteState</w:t>
      </w:r>
      <w:r>
        <w:t xml:space="preserve">, derives</w:t>
      </w:r>
      <w:r>
        <w:t xml:space="preserve"> </w:t>
      </w:r>
      <w:r>
        <w:rPr>
          <w:rStyle w:val="VerbatimChar"/>
        </w:rPr>
        <w:t xml:space="preserve">ParentOrderId</w:t>
      </w:r>
      <w:r>
        <w:t xml:space="preserve"> </w:t>
      </w:r>
      <w:r>
        <w:t xml:space="preserve">at materialization time, and joins back via an indexed lookup. The aggregate (</w:t>
      </w:r>
      <w:r>
        <w:rPr>
          <w:rStyle w:val="VerbatimChar"/>
        </w:rPr>
        <w:t xml:space="preserve">ChildCount</w:t>
      </w:r>
      <w:r>
        <w:t xml:space="preserve">,</w:t>
      </w:r>
      <w:r>
        <w:t xml:space="preserve"> </w:t>
      </w:r>
      <w:r>
        <w:rPr>
          <w:rStyle w:val="VerbatimChar"/>
        </w:rPr>
        <w:t xml:space="preserve">FirstToteId</w:t>
      </w:r>
      <w:r>
        <w:t xml:space="preserve">) is produced in one pass; the outer query reads the materialized columns directly. Reads on</w:t>
      </w:r>
      <w:r>
        <w:t xml:space="preserve"> </w:t>
      </w:r>
      <w:r>
        <w:rPr>
          <w:rStyle w:val="VerbatimChar"/>
        </w:rPr>
        <w:t xml:space="preserve">OrderToteAssoc</w:t>
      </w:r>
      <w:r>
        <w:t xml:space="preserve"> </w:t>
      </w:r>
      <w:r>
        <w:t xml:space="preserve">drop from N (one per candidate) to 1 (one filtered scan).</w:t>
      </w:r>
    </w:p>
    <w:p>
      <w:pPr>
        <w:pStyle w:val="BodyText"/>
      </w:pPr>
      <w:r>
        <w:rPr>
          <w:b/>
        </w:rPr>
        <w:t xml:space="preserve">Local variables defeat sniffing by removing the value the optimizer would otherwise sniff.</w:t>
      </w:r>
      <w:r>
        <w:t xml:space="preserve"> </w:t>
      </w:r>
      <w:r>
        <w:t xml:space="preserve">From</w:t>
      </w:r>
      <w:r>
        <w:t xml:space="preserve"> </w:t>
      </w:r>
      <w:r>
        <w:rPr>
          <w:rStyle w:val="VerbatimChar"/>
        </w:rPr>
        <w:t xml:space="preserve">masterclass/Parameter Sniffing.md</w:t>
      </w:r>
      <w:r>
        <w:t xml:space="preserve">:</w:t>
      </w:r>
    </w:p>
    <w:p>
      <w:pPr>
        <w:pStyle w:val="BlockText"/>
      </w:pPr>
      <w:r>
        <w:t xml:space="preserve">Why it works: the optimizer knows it can’t see the runtime value of a local variable at compile time, so it falls back to density-based estimates. It uses the [[Density Vector]] statistics (average rows per distinct value) instead of the histogram for a specific value. This produces a middle-of-the-road plan that is never optimal for any single value but is acceptably good for all values.</w:t>
      </w:r>
    </w:p>
    <w:p>
      <w:pPr>
        <w:pStyle w:val="FirstParagraph"/>
      </w:pPr>
      <w:r>
        <w:rPr>
          <w:rStyle w:val="VerbatimChar"/>
        </w:rPr>
        <w:t xml:space="preserve">@LocalPatCustIdMask</w:t>
      </w:r>
      <w:r>
        <w:t xml:space="preserve"> </w:t>
      </w:r>
      <w:r>
        <w:t xml:space="preserve">and</w:t>
      </w:r>
      <w:r>
        <w:t xml:space="preserve"> </w:t>
      </w:r>
      <w:r>
        <w:rPr>
          <w:rStyle w:val="VerbatimChar"/>
        </w:rPr>
        <w:t xml:space="preserve">@LocalMultiToteRequired</w:t>
      </w:r>
      <w:r>
        <w:t xml:space="preserve"> </w:t>
      </w:r>
      <w:r>
        <w:t xml:space="preserve">give the optimizer a density-based plan rather than a histogram-based plan tied to whatever the first caller passed. The mask predicate is non-SARGable regardless, so the goal is not to enable a seek; the goal is to take the value out of the optimizer’s compile-time view so that successive callers do not share a plan tuned to a different selectivity.</w:t>
      </w:r>
      <w:r>
        <w:t xml:space="preserve"> </w:t>
      </w:r>
      <w:r>
        <w:rPr>
          <w:rStyle w:val="VerbatimChar"/>
        </w:rPr>
        <w:t xml:space="preserve">Option (Recompile)</w:t>
      </w:r>
      <w:r>
        <w:t xml:space="preserve"> </w:t>
      </w:r>
      <w:r>
        <w:t xml:space="preserve">on the final SELECT pays the per-call compile cost in exchange for accurate selectivity estimates on the local-variable form.</w:t>
      </w:r>
    </w:p>
    <w:p>
      <w:pPr>
        <w:pStyle w:val="BodyText"/>
      </w:pPr>
      <w:r>
        <w:rPr>
          <w:b/>
        </w:rPr>
        <w:t xml:space="preserve">Apply non-SARGable filters once, over the smallest possible set.</w:t>
      </w:r>
      <w:r>
        <w:t xml:space="preserve"> </w:t>
      </w:r>
      <w:r>
        <w:t xml:space="preserve">The modulo-10 mask cannot be made seekable without a persisted computed column on PatCustId. v3 does not rewrite the predicate; it reduces the row count the predicate is evaluated against by pulling the filter into the</w:t>
      </w:r>
      <w:r>
        <w:t xml:space="preserve"> </w:t>
      </w:r>
      <w:r>
        <w:rPr>
          <w:rStyle w:val="VerbatimChar"/>
        </w:rPr>
        <w:t xml:space="preserve">Filtered</w:t>
      </w:r>
      <w:r>
        <w:t xml:space="preserve"> </w:t>
      </w:r>
      <w:r>
        <w:t xml:space="preserve">CTE so the candidate set is already small (bounded by the upstream</w:t>
      </w:r>
      <w:r>
        <w:t xml:space="preserve"> </w:t>
      </w:r>
      <w:r>
        <w:rPr>
          <w:rStyle w:val="VerbatimChar"/>
        </w:rPr>
        <w:t xml:space="preserve">OrderStatus</w:t>
      </w:r>
      <w:r>
        <w:t xml:space="preserve"> </w:t>
      </w:r>
      <w:r>
        <w:t xml:space="preserve">filter) before the mask runs.</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 materialization and consumption.</w:t>
      </w:r>
      <w:r>
        <w:t xml:space="preserve"> </w:t>
      </w:r>
      <w:hyperlink r:id="rId25">
        <w:r>
          <w:rPr>
            <w:rStyle w:val="Hyperlink"/>
          </w:rPr>
          <w:t xml:space="preserve">WITH common_table_expression (CTE)</w:t>
        </w:r>
      </w:hyperlink>
      <w:r>
        <w:t xml:space="preserve"> </w:t>
      </w:r>
      <w:r>
        <w:t xml:space="preserve">documents the syntax and semantics for both the</w:t>
      </w:r>
      <w:r>
        <w:t xml:space="preserve"> </w:t>
      </w:r>
      <w:r>
        <w:rPr>
          <w:rStyle w:val="VerbatimChar"/>
        </w:rPr>
        <w:t xml:space="preserve">InToteAgg</w:t>
      </w:r>
      <w:r>
        <w:t xml:space="preserve"> </w:t>
      </w:r>
      <w:r>
        <w:t xml:space="preserve">aggregation and the</w:t>
      </w:r>
      <w:r>
        <w:t xml:space="preserve"> </w:t>
      </w:r>
      <w:r>
        <w:rPr>
          <w:rStyle w:val="VerbatimChar"/>
        </w:rPr>
        <w:t xml:space="preserve">Filtered</w:t>
      </w:r>
      <w:r>
        <w:t xml:space="preserve"> </w:t>
      </w:r>
      <w:r>
        <w:t xml:space="preserve">candidate set.</w:t>
      </w:r>
    </w:p>
    <w:p>
      <w:pPr>
        <w:numPr>
          <w:ilvl w:val="0"/>
          <w:numId w:val="1003"/>
        </w:numPr>
        <w:pStyle w:val="Compact"/>
      </w:pPr>
      <w:r>
        <w:t xml:space="preserve">Recompile semantics.</w:t>
      </w:r>
      <w:r>
        <w:t xml:space="preserve"> </w:t>
      </w:r>
      <w:hyperlink r:id="rId26">
        <w:r>
          <w:rPr>
            <w:rStyle w:val="Hyperlink"/>
          </w:rPr>
          <w:t xml:space="preserve">Query Hints (Transact-SQL)</w:t>
        </w:r>
      </w:hyperlink>
      <w:r>
        <w:t xml:space="preserve"> </w:t>
      </w:r>
      <w:r>
        <w:t xml:space="preserve">and</w:t>
      </w:r>
      <w:r>
        <w:t xml:space="preserve"> </w:t>
      </w:r>
      <w:hyperlink r:id="rId27">
        <w:r>
          <w:rPr>
            <w:rStyle w:val="Hyperlink"/>
          </w:rPr>
          <w:t xml:space="preserve">Recompile a Stored Procedure</w:t>
        </w:r>
      </w:hyperlink>
      <w:r>
        <w:t xml:space="preserve"> </w:t>
      </w:r>
      <w:r>
        <w:t xml:space="preserve">cover the</w:t>
      </w:r>
      <w:r>
        <w:t xml:space="preserve"> </w:t>
      </w:r>
      <w:r>
        <w:rPr>
          <w:rStyle w:val="VerbatimChar"/>
        </w:rPr>
        <w:t xml:space="preserve">Option (Recompile)</w:t>
      </w:r>
      <w:r>
        <w:t xml:space="preserve"> </w:t>
      </w:r>
      <w:r>
        <w:t xml:space="preserve">behavior and its trade-off against plan-cache reuse.</w:t>
      </w:r>
    </w:p>
    <w:p>
      <w:pPr>
        <w:numPr>
          <w:ilvl w:val="0"/>
          <w:numId w:val="1003"/>
        </w:numPr>
        <w:pStyle w:val="Compact"/>
      </w:pPr>
      <w:r>
        <w:t xml:space="preserve">Predicate SARGability.</w:t>
      </w:r>
      <w:r>
        <w:t xml:space="preserve"> </w:t>
      </w:r>
      <w:hyperlink r:id="rId28">
        <w:r>
          <w:rPr>
            <w:rStyle w:val="Hyperlink"/>
          </w:rPr>
          <w:t xml:space="preserve">Predicates</w:t>
        </w:r>
      </w:hyperlink>
      <w:r>
        <w:t xml:space="preserve"> </w:t>
      </w:r>
      <w:r>
        <w:t xml:space="preserve">describes the seek-versus-scan distinction that the modulo-10 mask predicate fails on.</w:t>
      </w:r>
    </w:p>
    <w:p>
      <w:pPr>
        <w:pStyle w:val="Heading2"/>
      </w:pPr>
      <w:bookmarkStart w:id="29" w:name="risk-note"/>
      <w:r>
        <w:t xml:space="preserve">Risk Note</w:t>
      </w:r>
      <w:bookmarkEnd w:id="29"/>
    </w:p>
    <w:p>
      <w:pPr>
        <w:pStyle w:val="FirstParagraph"/>
      </w:pPr>
      <w:r>
        <w:t xml:space="preserve">The principal semantic risk is the</w:t>
      </w:r>
      <w:r>
        <w:t xml:space="preserve"> </w:t>
      </w:r>
      <w:r>
        <w:rPr>
          <w:rStyle w:val="VerbatimChar"/>
        </w:rPr>
        <w:t xml:space="preserve">ChildCount</w:t>
      </w:r>
      <w:r>
        <w:t xml:space="preserve"> </w:t>
      </w:r>
      <w:r>
        <w:t xml:space="preserve">aggregate. v2 counted children only via</w:t>
      </w:r>
      <w:r>
        <w:t xml:space="preserve"> </w:t>
      </w:r>
      <w:r>
        <w:rPr>
          <w:rStyle w:val="VerbatimChar"/>
        </w:rPr>
        <w:t xml:space="preserve">OrderId Like O.OrderId + '-[0-9][0-9]'</w:t>
      </w:r>
      <w:r>
        <w:t xml:space="preserve">, which excludes the parent. v3’s</w:t>
      </w:r>
      <w:r>
        <w:t xml:space="preserve"> </w:t>
      </w:r>
      <w:r>
        <w:rPr>
          <w:rStyle w:val="VerbatimChar"/>
        </w:rPr>
        <w:t xml:space="preserve">InToteAgg</w:t>
      </w:r>
      <w:r>
        <w:t xml:space="preserve"> </w:t>
      </w:r>
      <w:r>
        <w:t xml:space="preserve">aggregates by the derived</w:t>
      </w:r>
      <w:r>
        <w:t xml:space="preserve"> </w:t>
      </w:r>
      <w:r>
        <w:rPr>
          <w:rStyle w:val="VerbatimChar"/>
        </w:rPr>
        <w:t xml:space="preserve">ParentOrderId</w:t>
      </w:r>
      <w:r>
        <w:t xml:space="preserve">, which can include the parent row when the parent itself is in a tote. For the</w:t>
      </w:r>
      <w:r>
        <w:t xml:space="preserve"> </w:t>
      </w:r>
      <w:r>
        <w:rPr>
          <w:rStyle w:val="VerbatimChar"/>
        </w:rPr>
        <w:t xml:space="preserve">@MultiToteRequired = 1</w:t>
      </w:r>
      <w:r>
        <w:t xml:space="preserve"> </w:t>
      </w:r>
      <w:r>
        <w:t xml:space="preserve">completeness check, this can differ by one row. Section 11.1 of the analysis carries the children-only</w:t>
      </w:r>
      <w:r>
        <w:t xml:space="preserve"> </w:t>
      </w:r>
      <w:r>
        <w:rPr>
          <w:rStyle w:val="VerbatimChar"/>
        </w:rPr>
        <w:t xml:space="preserve">Sum(Case When OrderId &lt;&gt; ParentOrderId Then 1 Else 0 End)</w:t>
      </w:r>
      <w:r>
        <w:t xml:space="preserve"> </w:t>
      </w:r>
      <w:r>
        <w:t xml:space="preserve">form as the safer alternative; apply it if the validation check flags a row-count divergence. First 24 hours: watch the</w:t>
      </w:r>
      <w:r>
        <w:t xml:space="preserve"> </w:t>
      </w:r>
      <w:r>
        <w:rPr>
          <w:rStyle w:val="VerbatimChar"/>
        </w:rPr>
        <w:t xml:space="preserve">OrderToteAssoc</w:t>
      </w:r>
      <w:r>
        <w:t xml:space="preserve"> </w:t>
      </w:r>
      <w:r>
        <w:t xml:space="preserve">read count per call (expected to drop from N to 1), the plan variant count per site, and the max-vs-avg ratio. Rollback is</w:t>
      </w:r>
      <w:r>
        <w:t xml:space="preserve"> </w:t>
      </w:r>
      <w:r>
        <w:rPr>
          <w:rStyle w:val="VerbatimChar"/>
        </w:rPr>
        <w:t xml:space="preserve">Alter Procedure</w:t>
      </w:r>
      <w:r>
        <w:t xml:space="preserve"> </w:t>
      </w:r>
      <w:r>
        <w:t xml:space="preserve">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6" Target="https://learn.microsoft.com/en-us/sql/t-sql/queries/hints-transact-sql-query"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25" Target="https://learn.microsoft.com/en-us/sql/t-sql/queries/with-common-table-expression-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relational-databases/stored-procedures/recompile-a-stored-procedure" TargetMode="External" /><Relationship Type="http://schemas.openxmlformats.org/officeDocument/2006/relationships/hyperlink" Id="rId26" Target="https://learn.microsoft.com/en-us/sql/t-sql/queries/hints-transact-sql-query"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25" Target="https://learn.microsoft.com/en-us/sql/t-sql/queries/with-common-table-expression-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2026-05-14T14:42:09Z</dcterms:created>
  <dcterms:modified xsi:type="dcterms:W3CDTF">2026-05-14T14:42:09Z</dcterms:modified>
</cp:coreProperties>
</file>

<file path=docProps/custom.xml><?xml version="1.0" encoding="utf-8"?>
<Properties xmlns="http://schemas.openxmlformats.org/officeDocument/2006/custom-properties" xmlns:vt="http://schemas.openxmlformats.org/officeDocument/2006/docPropsVTypes"/>
</file>