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7372373903854939a568b449c0b4eff9bb50d8"/>
      <w:r>
        <w:t xml:space="preserve">Refactor Recommendation: lsp_RxfGetListOfManualFillGroups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2026-05-07</w:t>
      </w:r>
      <w:r>
        <w:t xml:space="preserve"> </w:t>
      </w:r>
      <w:r>
        <w:rPr>
          <w:b/>
        </w:rPr>
        <w:t xml:space="preserve">Companion analysis:</w:t>
      </w:r>
      <w:r>
        <w:t xml:space="preserve"> </w:t>
      </w:r>
      <w:r>
        <w:rPr>
          <w:rStyle w:val="VerbatimChar"/>
        </w:rPr>
        <w:t xml:space="preserve">Analysis.md</w:t>
      </w:r>
      <w:r>
        <w:t xml:space="preserve"> </w:t>
      </w:r>
      <w:r>
        <w:t xml:space="preserve">in this folder.</w:t>
      </w:r>
      <w:r>
        <w:t xml:space="preserve"> </w:t>
      </w:r>
      <w:r>
        <w:rPr>
          <w:b/>
        </w:rPr>
        <w:t xml:space="preserve">Deployment state:</w:t>
      </w:r>
      <w:r>
        <w:t xml:space="preserve"> </w:t>
      </w:r>
      <w:r>
        <w:t xml:space="preserve">In iA Review. v49 Merged_v1 body submitted; v48 is the committed baseline.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roblem"/>
      <w:r>
        <w:t xml:space="preserve">Problem</w:t>
      </w:r>
      <w:bookmarkEnd w:id="21"/>
    </w:p>
    <w:p>
      <w:pPr>
        <w:pStyle w:val="FirstParagraph"/>
      </w:pPr>
      <w:r>
        <w:t xml:space="preserve">v48 of</w:t>
      </w:r>
      <w:r>
        <w:t xml:space="preserve"> </w:t>
      </w:r>
      <w:r>
        <w:rPr>
          <w:rStyle w:val="VerbatimChar"/>
        </w:rPr>
        <w:t xml:space="preserve">dbo.lsp_RxfGetListOfManualFillGroups</w:t>
      </w:r>
      <w:r>
        <w:t xml:space="preserve"> </w:t>
      </w:r>
      <w:r>
        <w:t xml:space="preserve">drives the Manual Fill station UI. The body is 459 lines, the call frequency scales with active manual-fill workstations, and the cost is spread across five structural drivers rather than concentrated in one. The cross-list capture flags the procedure on three of four expense lists (Duration 5, Expense 6, Plan 2) with</w:t>
      </w:r>
      <w:r>
        <w:t xml:space="preserve"> </w:t>
      </w:r>
      <w:r>
        <w:t xml:space="preserve">“</w:t>
      </w:r>
      <w:r>
        <w:t xml:space="preserve">severe parameter sniffing</w:t>
      </w:r>
      <w:r>
        <w:t xml:space="preserve">”</w:t>
      </w:r>
      <w:r>
        <w:t xml:space="preserve"> </w:t>
      </w:r>
      <w:r>
        <w:t xml:space="preserve">as the dominant heuristic. The proc has been associated with operational cancellations at multiple MFCs.</w:t>
      </w:r>
    </w:p>
    <w:p>
      <w:pPr>
        <w:pStyle w:val="BodyText"/>
      </w:pPr>
      <w:r>
        <w:t xml:space="preserve">The structural issues:</w:t>
      </w:r>
    </w:p>
    <w:p>
      <w:pPr>
        <w:numPr>
          <w:ilvl w:val="0"/>
          <w:numId w:val="1001"/>
        </w:numPr>
        <w:pStyle w:val="Compact"/>
      </w:pPr>
      <w:r>
        <w:t xml:space="preserve">Scalar UDF (</w:t>
      </w:r>
      <w:r>
        <w:rPr>
          <w:rStyle w:val="VerbatimChar"/>
        </w:rPr>
        <w:t xml:space="preserve">dbo.fOrdGroupingCritValForDisplay</w:t>
      </w:r>
      <w:r>
        <w:t xml:space="preserve">) on every output row. The UDF serializes the entire surrounding plan and carries its own per-row</w:t>
      </w:r>
      <w:r>
        <w:t xml:space="preserve"> </w:t>
      </w:r>
      <w:r>
        <w:rPr>
          <w:rStyle w:val="VerbatimChar"/>
        </w:rPr>
        <w:t xml:space="preserve">OeGroupSplitCodeAssoc</w:t>
      </w:r>
      <w:r>
        <w:t xml:space="preserve"> </w:t>
      </w:r>
      <w:r>
        <w:t xml:space="preserve">join.</w:t>
      </w:r>
    </w:p>
    <w:p>
      <w:pPr>
        <w:numPr>
          <w:ilvl w:val="0"/>
          <w:numId w:val="1001"/>
        </w:numPr>
        <w:pStyle w:val="Compact"/>
      </w:pPr>
      <w:r>
        <w:t xml:space="preserve">Three correlated subqueries against</w:t>
      </w:r>
      <w:r>
        <w:t xml:space="preserve"> </w:t>
      </w:r>
      <w:r>
        <w:rPr>
          <w:rStyle w:val="VerbatimChar"/>
        </w:rPr>
        <w:t xml:space="preserve">CfStoreDeliveryCourierCutOff</w:t>
      </w:r>
      <w:r>
        <w:t xml:space="preserve"> </w:t>
      </w:r>
      <w:r>
        <w:t xml:space="preserve">for the per-pharmacy next-delivery-day computation. Same target table, related but not identical predicates, all evaluated per outer row.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@ToteGroups</w:t>
      </w:r>
      <w:r>
        <w:t xml:space="preserve"> </w:t>
      </w:r>
      <w:r>
        <w:t xml:space="preserve">table variable joined to large base tables. One-row cardinality estimate forces nested loops everywhere downstream.</w:t>
      </w:r>
    </w:p>
    <w:p>
      <w:pPr>
        <w:numPr>
          <w:ilvl w:val="0"/>
          <w:numId w:val="1001"/>
        </w:numPr>
        <w:pStyle w:val="Compact"/>
      </w:pPr>
      <w:r>
        <w:t xml:space="preserve">Parameter sniffing across the seven input parameters. The proc normalizes inputs at entry but then references the raw parameter symbols in downstream queries.</w:t>
      </w:r>
    </w:p>
    <w:p>
      <w:pPr>
        <w:numPr>
          <w:ilvl w:val="0"/>
          <w:numId w:val="1001"/>
        </w:numPr>
        <w:pStyle w:val="Compact"/>
      </w:pPr>
      <w:r>
        <w:t xml:space="preserve">Three independent CTEs for hazardous flags. Each scans</w:t>
      </w:r>
      <w:r>
        <w:t xml:space="preserve"> </w:t>
      </w:r>
      <w:r>
        <w:rPr>
          <w:rStyle w:val="VerbatimChar"/>
        </w:rPr>
        <w:t xml:space="preserve">InvFlaggedProducts</w:t>
      </w:r>
      <w:r>
        <w:t xml:space="preserve"> </w:t>
      </w:r>
      <w:r>
        <w:t xml:space="preserve">and is left-joined separately into the main result build.</w:t>
      </w:r>
    </w:p>
    <w:p>
      <w:pPr>
        <w:numPr>
          <w:ilvl w:val="0"/>
          <w:numId w:val="1001"/>
        </w:numPr>
        <w:pStyle w:val="Compact"/>
      </w:pPr>
      <w:r>
        <w:t xml:space="preserve">Heuristic per-group flags computed in the SELECT list rather than once per group.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Select *</w:t>
      </w:r>
      <w:r>
        <w:t xml:space="preserve"> </w:t>
      </w:r>
      <w:r>
        <w:t xml:space="preserve">and implicit column lists across</w:t>
      </w:r>
      <w:r>
        <w:t xml:space="preserve"> </w:t>
      </w:r>
      <w:r>
        <w:rPr>
          <w:rStyle w:val="VerbatimChar"/>
        </w:rPr>
        <w:t xml:space="preserve">Insert Into #OeDataUserLocs</w:t>
      </w:r>
      <w:r>
        <w:t xml:space="preserve">. Fragile against schema change.</w:t>
      </w:r>
    </w:p>
    <w:p>
      <w:pPr>
        <w:pStyle w:val="Heading2"/>
      </w:pPr>
      <w:bookmarkStart w:id="22" w:name="recommendation"/>
      <w:r>
        <w:t xml:space="preserve">Recommendation</w:t>
      </w:r>
      <w:bookmarkEnd w:id="22"/>
    </w:p>
    <w:p>
      <w:pPr>
        <w:pStyle w:val="FirstParagraph"/>
      </w:pPr>
      <w:r>
        <w:t xml:space="preserve">Apply v49 Merged_v1 as a single deployment unit. The five fixes are each independent, but the combination is the right size for one review pass. Per-MFC post-deployment monitoring is non-optional given the breadth of the change.</w:t>
      </w:r>
    </w:p>
    <w:p>
      <w:pPr>
        <w:numPr>
          <w:ilvl w:val="0"/>
          <w:numId w:val="1002"/>
        </w:numPr>
        <w:pStyle w:val="Compact"/>
      </w:pPr>
      <w:r>
        <w:t xml:space="preserve">Assign</w:t>
      </w:r>
      <w:r>
        <w:t xml:space="preserve"> </w:t>
      </w:r>
      <w:r>
        <w:rPr>
          <w:rStyle w:val="VerbatimChar"/>
        </w:rPr>
        <w:t xml:space="preserve">@LocalStationId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@LocalFillType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@LocalToteId</w:t>
      </w:r>
      <w:r>
        <w:t xml:space="preserve">,</w:t>
      </w:r>
      <w:r>
        <w:t xml:space="preserve"> </w:t>
      </w:r>
      <w:r>
        <w:rPr>
          <w:rStyle w:val="VerbatimChar"/>
        </w:rPr>
        <w:t xml:space="preserve">@LocalBatchFillId</w:t>
      </w:r>
      <w:r>
        <w:t xml:space="preserve"> </w:t>
      </w:r>
      <w:r>
        <w:t xml:space="preserve">(and the other locals) after the parameter normalization block, and reference the locals exclusively downstream.</w:t>
      </w:r>
    </w:p>
    <w:p>
      <w:pPr>
        <w:numPr>
          <w:ilvl w:val="0"/>
          <w:numId w:val="1002"/>
        </w:numPr>
        <w:pStyle w:val="Compact"/>
      </w:pPr>
      <w:r>
        <w:t xml:space="preserve">Convert</w:t>
      </w:r>
      <w:r>
        <w:t xml:space="preserve"> </w:t>
      </w:r>
      <w:r>
        <w:rPr>
          <w:rStyle w:val="VerbatimChar"/>
        </w:rPr>
        <w:t xml:space="preserve">@ToteGroups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#ToteGroups</w:t>
      </w:r>
      <w:r>
        <w:t xml:space="preserve"> </w:t>
      </w:r>
      <w:r>
        <w:t xml:space="preserve">and add</w:t>
      </w:r>
      <w:r>
        <w:t xml:space="preserve"> </w:t>
      </w:r>
      <w:r>
        <w:rPr>
          <w:rStyle w:val="VerbatimChar"/>
        </w:rPr>
        <w:t xml:space="preserve">IX_ToteGroups_GroupNum</w:t>
      </w:r>
      <w:r>
        <w:t xml:space="preserve"> </w:t>
      </w:r>
      <w:r>
        <w:t xml:space="preserve">after population.</w:t>
      </w:r>
    </w:p>
    <w:p>
      <w:pPr>
        <w:numPr>
          <w:ilvl w:val="0"/>
          <w:numId w:val="1002"/>
        </w:numPr>
        <w:pStyle w:val="Compact"/>
      </w:pPr>
      <w:r>
        <w:t xml:space="preserve">Replace the scalar UDF with the</w:t>
      </w:r>
      <w:r>
        <w:t xml:space="preserve"> </w:t>
      </w:r>
      <w:r>
        <w:rPr>
          <w:rStyle w:val="VerbatimChar"/>
        </w:rPr>
        <w:t xml:space="preserve">GroupingCriteria</w:t>
      </w:r>
      <w:r>
        <w:t xml:space="preserve"> </w:t>
      </w:r>
      <w:r>
        <w:t xml:space="preserve">CTE driven by</w:t>
      </w:r>
      <w:r>
        <w:t xml:space="preserve"> </w:t>
      </w:r>
      <w:r>
        <w:rPr>
          <w:rStyle w:val="VerbatimChar"/>
        </w:rPr>
        <w:t xml:space="preserve">String_Agg(SC.Descrip, '; ')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OeGroupSplitCodeAssoc</w:t>
      </w:r>
      <w:r>
        <w:t xml:space="preserve"> </w:t>
      </w:r>
      <w:r>
        <w:t xml:space="preserve">joined to</w:t>
      </w:r>
      <w:r>
        <w:t xml:space="preserve"> </w:t>
      </w:r>
      <w:r>
        <w:rPr>
          <w:rStyle w:val="VerbatimChar"/>
        </w:rPr>
        <w:t xml:space="preserve">OeGroupSplitCode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Consolidate the three correlated</w:t>
      </w:r>
      <w:r>
        <w:t xml:space="preserve"> </w:t>
      </w:r>
      <w:r>
        <w:rPr>
          <w:rStyle w:val="VerbatimChar"/>
        </w:rPr>
        <w:t xml:space="preserve">CfStoreDeliveryCourierCutOff</w:t>
      </w:r>
      <w:r>
        <w:t xml:space="preserve"> </w:t>
      </w:r>
      <w:r>
        <w:t xml:space="preserve">subqueries into the</w:t>
      </w:r>
      <w:r>
        <w:t xml:space="preserve"> </w:t>
      </w:r>
      <w:r>
        <w:rPr>
          <w:rStyle w:val="VerbatimChar"/>
        </w:rPr>
        <w:t xml:space="preserve">NextDeliveryDay</w:t>
      </w:r>
      <w:r>
        <w:t xml:space="preserve"> </w:t>
      </w:r>
      <w:r>
        <w:t xml:space="preserve">CTE that computes</w:t>
      </w:r>
      <w:r>
        <w:t xml:space="preserve"> </w:t>
      </w:r>
      <w:r>
        <w:rPr>
          <w:rStyle w:val="VerbatimChar"/>
        </w:rPr>
        <w:t xml:space="preserve">ThisWeekDay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FirstWeekDay</w:t>
      </w:r>
      <w:r>
        <w:t xml:space="preserve"> </w:t>
      </w:r>
      <w:r>
        <w:t xml:space="preserve">per pharmacy in one pass.</w:t>
      </w:r>
    </w:p>
    <w:p>
      <w:pPr>
        <w:numPr>
          <w:ilvl w:val="0"/>
          <w:numId w:val="1002"/>
        </w:numPr>
        <w:pStyle w:val="Compact"/>
      </w:pPr>
      <w:r>
        <w:t xml:space="preserve">Produce all per-group hazmat, controlled-substance, cold-storage, and pen/sulfa flags in the</w:t>
      </w:r>
      <w:r>
        <w:t xml:space="preserve"> </w:t>
      </w:r>
      <w:r>
        <w:rPr>
          <w:rStyle w:val="VerbatimChar"/>
        </w:rPr>
        <w:t xml:space="preserve">InventoryFlags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ProductFlags</w:t>
      </w:r>
      <w:r>
        <w:t xml:space="preserve"> </w:t>
      </w:r>
      <w:r>
        <w:t xml:space="preserve">CTEs via</w:t>
      </w:r>
      <w:r>
        <w:t xml:space="preserve"> </w:t>
      </w:r>
      <w:r>
        <w:rPr>
          <w:rStyle w:val="VerbatimChar"/>
        </w:rPr>
        <w:t xml:space="preserve">Max(Case ...)</w:t>
      </w:r>
      <w:r>
        <w:t xml:space="preserve">. The final SELECT consumes them with</w:t>
      </w:r>
      <w:r>
        <w:t xml:space="preserve"> </w:t>
      </w:r>
      <w:r>
        <w:rPr>
          <w:rStyle w:val="VerbatimChar"/>
        </w:rPr>
        <w:t xml:space="preserve">Coalesce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Add explicit indexes to</w:t>
      </w:r>
      <w:r>
        <w:t xml:space="preserve"> </w:t>
      </w:r>
      <w:r>
        <w:rPr>
          <w:rStyle w:val="VerbatimChar"/>
        </w:rPr>
        <w:t xml:space="preserve">#Hubs(Hub)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#OeDataUserLocs(OrderId)</w:t>
      </w:r>
      <w:r>
        <w:t xml:space="preserve"> </w:t>
      </w:r>
      <w:r>
        <w:t xml:space="preserve">to match the join shapes in the final result build.</w:t>
      </w:r>
    </w:p>
    <w:p>
      <w:pPr>
        <w:numPr>
          <w:ilvl w:val="0"/>
          <w:numId w:val="1002"/>
        </w:numPr>
        <w:pStyle w:val="Compact"/>
      </w:pPr>
      <w:r>
        <w:t xml:space="preserve">Make all</w:t>
      </w:r>
      <w:r>
        <w:t xml:space="preserve"> </w:t>
      </w:r>
      <w:r>
        <w:rPr>
          <w:rStyle w:val="VerbatimChar"/>
        </w:rPr>
        <w:t xml:space="preserve">Insert Into #OeDataUserLocs</w:t>
      </w:r>
      <w:r>
        <w:t xml:space="preserve"> </w:t>
      </w:r>
      <w:r>
        <w:t xml:space="preserve">column lists explicit.</w:t>
      </w:r>
    </w:p>
    <w:p>
      <w:pPr>
        <w:pStyle w:val="FirstParagraph"/>
      </w:pPr>
      <w:r>
        <w:t xml:space="preserve">The full v49 body is in</w:t>
      </w:r>
      <w:r>
        <w:t xml:space="preserve"> </w:t>
      </w:r>
      <w:r>
        <w:rPr>
          <w:rStyle w:val="VerbatimChar"/>
        </w:rPr>
        <w:t xml:space="preserve">Refactored.sql</w:t>
      </w:r>
      <w:r>
        <w:t xml:space="preserve">. The v48 body is in</w:t>
      </w:r>
      <w:r>
        <w:t xml:space="preserve"> </w:t>
      </w:r>
      <w:r>
        <w:rPr>
          <w:rStyle w:val="VerbatimChar"/>
        </w:rPr>
        <w:t xml:space="preserve">Original.sql</w:t>
      </w:r>
      <w:r>
        <w:t xml:space="preserve"> </w:t>
      </w:r>
      <w:r>
        <w:t xml:space="preserve">for diff and rollback.</w:t>
      </w:r>
    </w:p>
    <w:p>
      <w:pPr>
        <w:pStyle w:val="Heading2"/>
      </w:pPr>
      <w:bookmarkStart w:id="23" w:name="first-principles"/>
      <w:r>
        <w:t xml:space="preserve">First Principles</w:t>
      </w:r>
      <w:bookmarkEnd w:id="23"/>
    </w:p>
    <w:p>
      <w:pPr>
        <w:pStyle w:val="FirstParagraph"/>
      </w:pPr>
      <w:r>
        <w:rPr>
          <w:b/>
        </w:rPr>
        <w:t xml:space="preserve">Scalar UDFs serialize the surrounding plan.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masterclass/Scalar UDF Parallelism Barrier.md</w:t>
      </w:r>
      <w:r>
        <w:t xml:space="preserve">:</w:t>
      </w:r>
    </w:p>
    <w:p>
      <w:pPr>
        <w:pStyle w:val="BlockText"/>
      </w:pPr>
      <w:r>
        <w:t xml:space="preserve">In SQL Server (pre-2019, or 2019+ without scalar UDF inlining enabled), a scalar user-defined function (UDF) in a query forces the entire query to run in a serial plan. The optimizer will not consider parallel execution for any part of the query if a scalar UDF is present anywhere in the SELECT list, WHERE clause, or JOIN conditions.</w:t>
      </w:r>
    </w:p>
    <w:p>
      <w:pPr>
        <w:pStyle w:val="FirstParagraph"/>
      </w:pPr>
      <w:r>
        <w:rPr>
          <w:rStyle w:val="VerbatimChar"/>
        </w:rPr>
        <w:t xml:space="preserve">dbo.fOrdGroupingCritValForDisplay</w:t>
      </w:r>
      <w:r>
        <w:t xml:space="preserve"> </w:t>
      </w:r>
      <w:r>
        <w:t xml:space="preserve">is invoked per row of the final SELECT. Removing it via the</w:t>
      </w:r>
      <w:r>
        <w:t xml:space="preserve"> </w:t>
      </w:r>
      <w:r>
        <w:rPr>
          <w:rStyle w:val="VerbatimChar"/>
        </w:rPr>
        <w:t xml:space="preserve">GroupingCriteria</w:t>
      </w:r>
      <w:r>
        <w:t xml:space="preserve"> </w:t>
      </w:r>
      <w:r>
        <w:t xml:space="preserve">CTE restores parallelism to the entire enrichment query. The split-suffix portion that the UDF computed per row becomes a one-time set-based aggregation via</w:t>
      </w:r>
      <w:r>
        <w:t xml:space="preserve"> </w:t>
      </w:r>
      <w:r>
        <w:rPr>
          <w:rStyle w:val="VerbatimChar"/>
        </w:rPr>
        <w:t xml:space="preserve">String_Agg</w:t>
      </w:r>
      <w:r>
        <w:t xml:space="preserve">, which produces an identical output shape with a single pass over</w:t>
      </w:r>
      <w:r>
        <w:t xml:space="preserve"> </w:t>
      </w:r>
      <w:r>
        <w:rPr>
          <w:rStyle w:val="VerbatimChar"/>
        </w:rPr>
        <w:t xml:space="preserve">OeGroupSplitCodeAssoc</w:t>
      </w:r>
      <w:r>
        <w:t xml:space="preserve">.</w:t>
      </w:r>
    </w:p>
    <w:p>
      <w:pPr>
        <w:pStyle w:val="BodyText"/>
      </w:pPr>
      <w:r>
        <w:rPr>
          <w:b/>
        </w:rPr>
        <w:t xml:space="preserve">Correlated subqueries become CTEs that compute once and join back.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masterclass/Correlated Subqueries to CTEs.md</w:t>
      </w:r>
      <w:r>
        <w:t xml:space="preserve">:</w:t>
      </w:r>
    </w:p>
    <w:p>
      <w:pPr>
        <w:pStyle w:val="BlockText"/>
      </w:pPr>
      <w:r>
        <w:t xml:space="preserve">The key insight: the CTE scans</w:t>
      </w:r>
      <w:r>
        <w:t xml:space="preserve"> </w:t>
      </w:r>
      <w:r>
        <w:rPr>
          <w:rStyle w:val="VerbatimChar"/>
        </w:rPr>
        <w:t xml:space="preserve">CfStoreDeliveryCourierCutOff</w:t>
      </w:r>
      <w:r>
        <w:t xml:space="preserve"> </w:t>
      </w:r>
      <w:r>
        <w:t xml:space="preserve">once, groups by pharmacy, and produces a small result set. The join back to the outer query is a simple lookup. Total reads on the delivery table: 6 logical reads instead of thousands.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NextDeliveryDay</w:t>
      </w:r>
      <w:r>
        <w:t xml:space="preserve"> </w:t>
      </w:r>
      <w:r>
        <w:t xml:space="preserve">CTE is the exact pattern. Three correlated subqueries become one</w:t>
      </w:r>
      <w:r>
        <w:t xml:space="preserve"> </w:t>
      </w:r>
      <w:r>
        <w:rPr>
          <w:rStyle w:val="VerbatimChar"/>
        </w:rPr>
        <w:t xml:space="preserve">Group By SysEndPharmacyId</w:t>
      </w:r>
      <w:r>
        <w:t xml:space="preserve"> </w:t>
      </w:r>
      <w:r>
        <w:t xml:space="preserve">aggregation with</w:t>
      </w:r>
      <w:r>
        <w:t xml:space="preserve"> </w:t>
      </w:r>
      <w:r>
        <w:rPr>
          <w:rStyle w:val="VerbatimChar"/>
        </w:rPr>
        <w:t xml:space="preserve">Min(Case ...)</w:t>
      </w:r>
      <w:r>
        <w:t xml:space="preserve"> </w:t>
      </w:r>
      <w:r>
        <w:t xml:space="preserve">for the</w:t>
      </w:r>
      <w:r>
        <w:t xml:space="preserve"> </w:t>
      </w:r>
      <w:r>
        <w:t xml:space="preserve">“</w:t>
      </w:r>
      <w:r>
        <w:t xml:space="preserve">this week</w:t>
      </w:r>
      <w:r>
        <w:t xml:space="preserve">”</w:t>
      </w:r>
      <w:r>
        <w:t xml:space="preserve"> </w:t>
      </w:r>
      <w:r>
        <w:t xml:space="preserve">branch and</w:t>
      </w:r>
      <w:r>
        <w:t xml:space="preserve"> </w:t>
      </w:r>
      <w:r>
        <w:rPr>
          <w:rStyle w:val="VerbatimChar"/>
        </w:rPr>
        <w:t xml:space="preserve">Min(WeekDayCode)</w:t>
      </w:r>
      <w:r>
        <w:t xml:space="preserve"> </w:t>
      </w:r>
      <w:r>
        <w:t xml:space="preserve">for the wrap-around. The main result build joins on</w:t>
      </w:r>
      <w:r>
        <w:t xml:space="preserve"> </w:t>
      </w:r>
      <w:r>
        <w:rPr>
          <w:rStyle w:val="VerbatimChar"/>
        </w:rPr>
        <w:t xml:space="preserve">SysEndPharmacyId</w:t>
      </w:r>
      <w:r>
        <w:t xml:space="preserve"> </w:t>
      </w:r>
      <w:r>
        <w:t xml:space="preserve">and reads</w:t>
      </w:r>
      <w:r>
        <w:t xml:space="preserve"> </w:t>
      </w:r>
      <w:r>
        <w:rPr>
          <w:rStyle w:val="VerbatimChar"/>
        </w:rPr>
        <w:t xml:space="preserve">Coalesce(NDD.ThisWeekDay, NDD.FirstWeekDay)</w:t>
      </w:r>
      <w:r>
        <w:t xml:space="preserve">.</w:t>
      </w:r>
    </w:p>
    <w:p>
      <w:pPr>
        <w:pStyle w:val="BodyText"/>
      </w:pPr>
      <w:r>
        <w:rPr>
          <w:b/>
        </w:rPr>
        <w:t xml:space="preserve">Table variables get a 1-row cardinality estimate regardless of actual content.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masterclass/Table Variables vs Temp Tables.md</w:t>
      </w:r>
      <w:r>
        <w:t xml:space="preserve">:</w:t>
      </w:r>
    </w:p>
    <w:p>
      <w:pPr>
        <w:pStyle w:val="BlockText"/>
      </w:pPr>
      <w:r>
        <w:t xml:space="preserve">When the optimizer thinks a table has 1 row, it makes decisions that are catastrophic for larger datasets. It chooses nested loop joins (perfect for 1 row, disastrous for 10,000), skips parallelism, and underestimates memory grants (which causes spills to tempdb).</w:t>
      </w:r>
    </w:p>
    <w:p>
      <w:pPr>
        <w:pStyle w:val="FirstParagraph"/>
      </w:pPr>
      <w:r>
        <w:rPr>
          <w:rStyle w:val="VerbatimChar"/>
        </w:rPr>
        <w:t xml:space="preserve">@ToteGroups</w:t>
      </w:r>
      <w:r>
        <w:t xml:space="preserve"> </w:t>
      </w:r>
      <w:r>
        <w:t xml:space="preserve">is the textbook case: populated conditionally, joined to multiple base tables, never indexed. Converting to</w:t>
      </w:r>
      <w:r>
        <w:t xml:space="preserve"> </w:t>
      </w:r>
      <w:r>
        <w:rPr>
          <w:rStyle w:val="VerbatimChar"/>
        </w:rPr>
        <w:t xml:space="preserve">#ToteGroups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IX_ToteGroups_GroupNum</w:t>
      </w:r>
      <w:r>
        <w:t xml:space="preserve"> </w:t>
      </w:r>
      <w:r>
        <w:t xml:space="preserve">lets the optimizer see the real row count and pick hash or merge joins where the data shape supports them.</w:t>
      </w:r>
    </w:p>
    <w:p>
      <w:pPr>
        <w:pStyle w:val="BodyText"/>
      </w:pPr>
      <w:r>
        <w:rPr>
          <w:b/>
        </w:rPr>
        <w:t xml:space="preserve">Local variables stabilize plan choice across a sniffing-prone parameter set.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masterclass/Parameter Sniffing.md</w:t>
      </w:r>
      <w:r>
        <w:t xml:space="preserve">:</w:t>
      </w:r>
    </w:p>
    <w:p>
      <w:pPr>
        <w:pStyle w:val="BlockText"/>
      </w:pPr>
      <w:r>
        <w:t xml:space="preserve">Local variables give you plan stability at the cost of plan optimality. You will never get the best possible plan for a specific value, but you will also never get a catastrophically bad plan. For high-frequency OLTP procedures, stability almost always wins.</w:t>
      </w:r>
    </w:p>
    <w:p>
      <w:pPr>
        <w:pStyle w:val="FirstParagraph"/>
      </w:pPr>
      <w:r>
        <w:t xml:space="preserve">Seven parameters means many sniff-prone shapes. The local-variable form gives a density-based plan that is acceptably good for all parameter shapes the proc receives in practice.</w:t>
      </w:r>
    </w:p>
    <w:p>
      <w:pPr>
        <w:pStyle w:val="BodyText"/>
      </w:pPr>
      <w:r>
        <w:rPr>
          <w:b/>
        </w:rPr>
        <w:t xml:space="preserve">Same-source flags consolidate into one aggregate pass.</w:t>
      </w:r>
      <w:r>
        <w:t xml:space="preserve"> </w:t>
      </w:r>
      <w:r>
        <w:t xml:space="preserve">The hazmat, controlled, cold-storage, and pen/sulfa flags all come from</w:t>
      </w:r>
      <w:r>
        <w:t xml:space="preserve"> </w:t>
      </w:r>
      <w:r>
        <w:rPr>
          <w:rStyle w:val="VerbatimChar"/>
        </w:rPr>
        <w:t xml:space="preserve">vInvMasterWithUserOverrides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InvFlaggedProducts</w:t>
      </w:r>
      <w:r>
        <w:t xml:space="preserve"> </w:t>
      </w:r>
      <w:r>
        <w:t xml:space="preserve">on a per-product basis. v49 produces all flags from one source in one</w:t>
      </w:r>
      <w:r>
        <w:t xml:space="preserve"> </w:t>
      </w:r>
      <w:r>
        <w:rPr>
          <w:rStyle w:val="VerbatimChar"/>
        </w:rPr>
        <w:t xml:space="preserve">Group By GroupNum</w:t>
      </w:r>
      <w:r>
        <w:t xml:space="preserve"> </w:t>
      </w:r>
      <w:r>
        <w:t xml:space="preserve">aggregation with</w:t>
      </w:r>
      <w:r>
        <w:t xml:space="preserve"> </w:t>
      </w:r>
      <w:r>
        <w:rPr>
          <w:rStyle w:val="VerbatimChar"/>
        </w:rPr>
        <w:t xml:space="preserve">Max(Case ...)</w:t>
      </w:r>
      <w:r>
        <w:t xml:space="preserve"> </w:t>
      </w:r>
      <w:r>
        <w:t xml:space="preserve">per flag. Three independent left-joins collapse into one.</w:t>
      </w:r>
    </w:p>
    <w:p>
      <w:pPr>
        <w:pStyle w:val="Heading2"/>
      </w:pPr>
      <w:bookmarkStart w:id="24" w:name="ms-learn-citations"/>
      <w:r>
        <w:t xml:space="preserve">MS Learn Citations</w:t>
      </w:r>
      <w:bookmarkEnd w:id="24"/>
    </w:p>
    <w:p>
      <w:pPr>
        <w:pStyle w:val="FirstParagraph"/>
      </w:pPr>
      <w:r>
        <w:t xml:space="preserve">The techniques in this refactor anchor to the following Transact-SQL reference pages.</w:t>
      </w:r>
    </w:p>
    <w:p>
      <w:pPr>
        <w:numPr>
          <w:ilvl w:val="0"/>
          <w:numId w:val="1003"/>
        </w:numPr>
        <w:pStyle w:val="Compact"/>
      </w:pPr>
      <w:r>
        <w:t xml:space="preserve">Scalar UDF removal.</w:t>
      </w:r>
      <w:r>
        <w:t xml:space="preserve"> </w:t>
      </w:r>
      <w:hyperlink r:id="rId25">
        <w:r>
          <w:rPr>
            <w:rStyle w:val="Hyperlink"/>
          </w:rPr>
          <w:t xml:space="preserve">Scalar UDF Inlining</w:t>
        </w:r>
      </w:hyperlink>
      <w:r>
        <w:t xml:space="preserve"> </w:t>
      </w:r>
      <w:r>
        <w:t xml:space="preserve">documents the automatic-inlining feature available under compat level 150, and explains why manual inlining remains the reliable approach when the compat level or function eligibility is not guaranteed.</w:t>
      </w:r>
    </w:p>
    <w:p>
      <w:pPr>
        <w:numPr>
          <w:ilvl w:val="0"/>
          <w:numId w:val="1003"/>
        </w:numPr>
        <w:pStyle w:val="Compact"/>
      </w:pPr>
      <w:r>
        <w:t xml:space="preserve">String aggregation.</w:t>
      </w:r>
      <w:r>
        <w:t xml:space="preserve"> </w:t>
      </w:r>
      <w:hyperlink r:id="rId26">
        <w:r>
          <w:rPr>
            <w:rStyle w:val="Hyperlink"/>
          </w:rPr>
          <w:t xml:space="preserve">STRING_AGG</w:t>
        </w:r>
      </w:hyperlink>
      <w:r>
        <w:t xml:space="preserve"> </w:t>
      </w:r>
      <w:r>
        <w:t xml:space="preserve">covers the set-based replacement for cursor-style concatenation inside the original UDF.</w:t>
      </w:r>
    </w:p>
    <w:p>
      <w:pPr>
        <w:numPr>
          <w:ilvl w:val="0"/>
          <w:numId w:val="1003"/>
        </w:numPr>
        <w:pStyle w:val="Compact"/>
      </w:pPr>
      <w:r>
        <w:t xml:space="preserve">CTE consolidation.</w:t>
      </w:r>
      <w:r>
        <w:t xml:space="preserve"> </w:t>
      </w:r>
      <w:hyperlink r:id="rId27">
        <w:r>
          <w:rPr>
            <w:rStyle w:val="Hyperlink"/>
          </w:rPr>
          <w:t xml:space="preserve">WITH common_table_expression (CTE)</w:t>
        </w:r>
      </w:hyperlink>
      <w:r>
        <w:t xml:space="preserve"> </w:t>
      </w:r>
      <w:r>
        <w:t xml:space="preserve">covers the syntax for</w:t>
      </w:r>
      <w:r>
        <w:t xml:space="preserve"> </w:t>
      </w:r>
      <w:r>
        <w:rPr>
          <w:rStyle w:val="VerbatimChar"/>
        </w:rPr>
        <w:t xml:space="preserve">NextDeliveryDay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GroupingCriteria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InventoryFlags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ProductFlags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Window-free aggregation.</w:t>
      </w:r>
      <w:r>
        <w:t xml:space="preserve"> </w:t>
      </w:r>
      <w:hyperlink r:id="rId28">
        <w:r>
          <w:rPr>
            <w:rStyle w:val="Hyperlink"/>
          </w:rPr>
          <w:t xml:space="preserve">Aggregate Functions</w:t>
        </w:r>
      </w:hyperlink>
      <w:r>
        <w:t xml:space="preserve"> </w:t>
      </w:r>
      <w:r>
        <w:t xml:space="preserve">covers</w:t>
      </w:r>
      <w:r>
        <w:t xml:space="preserve"> </w:t>
      </w:r>
      <w:r>
        <w:rPr>
          <w:rStyle w:val="VerbatimChar"/>
        </w:rPr>
        <w:t xml:space="preserve">Max(Case ...)</w:t>
      </w:r>
      <w:r>
        <w:t xml:space="preserve"> </w:t>
      </w:r>
      <w:r>
        <w:t xml:space="preserve">pivot semantics used in the flag consolidation.</w:t>
      </w:r>
    </w:p>
    <w:p>
      <w:pPr>
        <w:numPr>
          <w:ilvl w:val="0"/>
          <w:numId w:val="1003"/>
        </w:numPr>
        <w:pStyle w:val="Compact"/>
      </w:pPr>
      <w:r>
        <w:t xml:space="preserve">Temp-table indexing.</w:t>
      </w:r>
      <w:r>
        <w:t xml:space="preserve"> </w:t>
      </w:r>
      <w:hyperlink r:id="rId29">
        <w:r>
          <w:rPr>
            <w:rStyle w:val="Hyperlink"/>
          </w:rPr>
          <w:t xml:space="preserve">CREATE INDEX (Transact-SQL)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Index Architecture and Design Guide</w:t>
        </w:r>
      </w:hyperlink>
      <w:r>
        <w:t xml:space="preserve"> </w:t>
      </w:r>
      <w:r>
        <w:t xml:space="preserve">cover the temp-table index additions.</w:t>
      </w:r>
    </w:p>
    <w:p>
      <w:pPr>
        <w:pStyle w:val="Heading2"/>
      </w:pPr>
      <w:bookmarkStart w:id="31" w:name="risk-note"/>
      <w:r>
        <w:t xml:space="preserve">Risk Note</w:t>
      </w:r>
      <w:bookmarkEnd w:id="31"/>
    </w:p>
    <w:p>
      <w:pPr>
        <w:pStyle w:val="FirstParagraph"/>
      </w:pPr>
      <w:r>
        <w:t xml:space="preserve">The breadth of v49 is the principal risk. Five distinct refactor patterns ship together; one or two MFCs may see a plan shape that diverges from the median. The</w:t>
      </w:r>
      <w:r>
        <w:t xml:space="preserve"> </w:t>
      </w:r>
      <w:r>
        <w:rPr>
          <w:rStyle w:val="VerbatimChar"/>
        </w:rPr>
        <w:t xml:space="preserve">NextDeliveryDay</w:t>
      </w:r>
      <w:r>
        <w:t xml:space="preserve"> </w:t>
      </w:r>
      <w:r>
        <w:t xml:space="preserve">CTE must match v48’s fallback semantics;</w:t>
      </w:r>
      <w:r>
        <w:t xml:space="preserve"> </w:t>
      </w:r>
      <w:r>
        <w:rPr>
          <w:rStyle w:val="VerbatimChar"/>
        </w:rPr>
        <w:t xml:space="preserve">Coalesce(ThisWeekDay, FirstWeekDay)</w:t>
      </w:r>
      <w:r>
        <w:t xml:space="preserve"> </w:t>
      </w:r>
      <w:r>
        <w:t xml:space="preserve">reproduces the v48 wrap-around when the pharmacy has no remaining delivery days this week. The scalar UDF inlining preserves</w:t>
      </w:r>
      <w:r>
        <w:t xml:space="preserve"> </w:t>
      </w:r>
      <w:r>
        <w:rPr>
          <w:rStyle w:val="VerbatimChar"/>
        </w:rPr>
        <w:t xml:space="preserve">String_Agg</w:t>
      </w:r>
      <w:r>
        <w:t xml:space="preserve"> </w:t>
      </w:r>
      <w:r>
        <w:t xml:space="preserve">output, but Section 11.3 of the analysis flags the</w:t>
      </w:r>
      <w:r>
        <w:t xml:space="preserve"> </w:t>
      </w:r>
      <w:r>
        <w:rPr>
          <w:rStyle w:val="VerbatimChar"/>
        </w:rPr>
        <w:t xml:space="preserve">Within Group (Order By ...)</w:t>
      </w:r>
      <w:r>
        <w:t xml:space="preserve"> </w:t>
      </w:r>
      <w:r>
        <w:t xml:space="preserve">clause as the deterministic-ordering safeguard if the v48 UDF produced a stable order operationally. First 24 hours: per-MFC plan stability, result set row count parity, and absence of</w:t>
      </w:r>
      <w:r>
        <w:t xml:space="preserve"> </w:t>
      </w:r>
      <w:r>
        <w:rPr>
          <w:rStyle w:val="VerbatimChar"/>
        </w:rPr>
        <w:t xml:space="preserve">NonParallelPlanReason: NoParallelScalarUDFs</w:t>
      </w:r>
      <w:r>
        <w:t xml:space="preserve"> </w:t>
      </w:r>
      <w:r>
        <w:t xml:space="preserve">in the v49 plan. Rollback is</w:t>
      </w:r>
      <w:r>
        <w:t xml:space="preserve"> </w:t>
      </w:r>
      <w:r>
        <w:rPr>
          <w:rStyle w:val="VerbatimChar"/>
        </w:rPr>
        <w:t xml:space="preserve">Alter Procedure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Original.sql</w:t>
      </w:r>
      <w:r>
        <w:t xml:space="preserve">. No schema change.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hAnsi="Aptos" w:cs="Aptos"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learn.microsoft.com/en-us/sql/relational-databases/sql-server-index-design-guide" TargetMode="External" /><Relationship Type="http://schemas.openxmlformats.org/officeDocument/2006/relationships/hyperlink" Id="rId25" Target="https://learn.microsoft.com/en-us/sql/relational-databases/user-defined-functions/scalar-udf-inlining" TargetMode="External" /><Relationship Type="http://schemas.openxmlformats.org/officeDocument/2006/relationships/hyperlink" Id="rId28" Target="https://learn.microsoft.com/en-us/sql/t-sql/functions/aggregate-functions-transact-sql" TargetMode="External" /><Relationship Type="http://schemas.openxmlformats.org/officeDocument/2006/relationships/hyperlink" Id="rId26" Target="https://learn.microsoft.com/en-us/sql/t-sql/functions/string-agg-transact-sql" TargetMode="External" /><Relationship Type="http://schemas.openxmlformats.org/officeDocument/2006/relationships/hyperlink" Id="rId27" Target="https://learn.microsoft.com/en-us/sql/t-sql/queries/with-common-table-expression-transact-sql" TargetMode="External" /><Relationship Type="http://schemas.openxmlformats.org/officeDocument/2006/relationships/hyperlink" Id="rId29" Target="https://learn.microsoft.com/en-us/sql/t-sql/statements/create-index-transact-sql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s://learn.microsoft.com/en-us/sql/relational-databases/sql-server-index-design-guide" TargetMode="External" /><Relationship Type="http://schemas.openxmlformats.org/officeDocument/2006/relationships/hyperlink" Id="rId25" Target="https://learn.microsoft.com/en-us/sql/relational-databases/user-defined-functions/scalar-udf-inlining" TargetMode="External" /><Relationship Type="http://schemas.openxmlformats.org/officeDocument/2006/relationships/hyperlink" Id="rId28" Target="https://learn.microsoft.com/en-us/sql/t-sql/functions/aggregate-functions-transact-sql" TargetMode="External" /><Relationship Type="http://schemas.openxmlformats.org/officeDocument/2006/relationships/hyperlink" Id="rId26" Target="https://learn.microsoft.com/en-us/sql/t-sql/functions/string-agg-transact-sql" TargetMode="External" /><Relationship Type="http://schemas.openxmlformats.org/officeDocument/2006/relationships/hyperlink" Id="rId27" Target="https://learn.microsoft.com/en-us/sql/t-sql/queries/with-common-table-expression-transact-sql" TargetMode="External" /><Relationship Type="http://schemas.openxmlformats.org/officeDocument/2006/relationships/hyperlink" Id="rId29" Target="https://learn.microsoft.com/en-us/sql/t-sql/statements/create-index-transact-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2026-05-14T14:42:09Z</dcterms:created>
  <dcterms:modified xsi:type="dcterms:W3CDTF">2026-05-14T14:42:09Z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