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02afd23fdb620759828a638ab518483ea9feba"/>
      <w:r>
        <w:t xml:space="preserve">Refactor Recommendation: lsp_RxvGetRxsQueuedForVerification</w:t>
      </w:r>
      <w:bookmarkEnd w:id="20"/>
    </w:p>
    <w:p>
      <w:pPr>
        <w:pStyle w:val="FirstParagraph"/>
      </w:pPr>
      <w:r>
        <w:rPr>
          <w:b/>
        </w:rPr>
        <w:t xml:space="preserve">Date:</w:t>
      </w:r>
      <w:r>
        <w:t xml:space="preserve"> </w:t>
      </w:r>
      <w:r>
        <w:t xml:space="preserve">2026-05-07</w:t>
      </w:r>
      <w:r>
        <w:t xml:space="preserve"> </w:t>
      </w:r>
      <w:r>
        <w:rPr>
          <w:b/>
        </w:rPr>
        <w:t xml:space="preserve">Companion analysis:</w:t>
      </w:r>
      <w:r>
        <w:t xml:space="preserve"> </w:t>
      </w:r>
      <w:r>
        <w:rPr>
          <w:rStyle w:val="VerbatimChar"/>
        </w:rPr>
        <w:t xml:space="preserve">Analysis.md</w:t>
      </w:r>
      <w:r>
        <w:t xml:space="preserve"> </w:t>
      </w:r>
      <w:r>
        <w:t xml:space="preserve">in this folder.</w:t>
      </w:r>
      <w:r>
        <w:t xml:space="preserve"> </w:t>
      </w:r>
      <w:r>
        <w:rPr>
          <w:b/>
        </w:rPr>
        <w:t xml:space="preserve">Deployment state:</w:t>
      </w:r>
      <w:r>
        <w:t xml:space="preserve"> </w:t>
      </w:r>
      <w:r>
        <w:t xml:space="preserve">v7 deployed across the MFC fleet; v8 cataloged as the proposed deployment, captured 2026-05-07.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problem"/>
      <w:r>
        <w:t xml:space="preserve">Problem</w:t>
      </w:r>
      <w:bookmarkEnd w:id="21"/>
    </w:p>
    <w:p>
      <w:pPr>
        <w:pStyle w:val="FirstParagraph"/>
      </w:pPr>
      <w:r>
        <w:t xml:space="preserve">v7 of</w:t>
      </w:r>
      <w:r>
        <w:t xml:space="preserve"> </w:t>
      </w:r>
      <w:r>
        <w:rPr>
          <w:rStyle w:val="VerbatimChar"/>
        </w:rPr>
        <w:t xml:space="preserve">dbo.lsp_RxvGetRxsQueuedForVerification</w:t>
      </w:r>
      <w:r>
        <w:t xml:space="preserve"> </w:t>
      </w:r>
      <w:r>
        <w:t xml:space="preserve">is the verification-queue loader for the Verification UI. The cross-MFC capture from 2026-05-07 puts it at roughly 772 billion logical reads per month across 19.2 million executions, distributed across 7 of 14 reporting sites, and Indy, Liberty, and Memphis each carry three plan variants on the same statement (avg-duration spreads of 2.3x to 3.8x between variants). The cost concentrates in the duplicate</w:t>
      </w:r>
      <w:r>
        <w:t xml:space="preserve"> </w:t>
      </w:r>
      <w:r>
        <w:rPr>
          <w:rStyle w:val="VerbatimChar"/>
        </w:rPr>
        <w:t xml:space="preserve">#QueuedRxs</w:t>
      </w:r>
      <w:r>
        <w:t xml:space="preserve"> </w:t>
      </w:r>
      <w:r>
        <w:t xml:space="preserve">build and the 4-level nested OR/AND in the</w:t>
      </w:r>
      <w:r>
        <w:t xml:space="preserve"> </w:t>
      </w:r>
      <w:r>
        <w:rPr>
          <w:rStyle w:val="VerbatimChar"/>
        </w:rPr>
        <w:t xml:space="preserve">#RxList</w:t>
      </w:r>
      <w:r>
        <w:t xml:space="preserve"> </w:t>
      </w:r>
      <w:r>
        <w:t xml:space="preserve">WHERE clause.</w:t>
      </w:r>
    </w:p>
    <w:p>
      <w:pPr>
        <w:pStyle w:val="BodyText"/>
      </w:pPr>
      <w:r>
        <w:t xml:space="preserve">The five structural issues:</w:t>
      </w:r>
    </w:p>
    <w:p>
      <w:pPr>
        <w:numPr>
          <w:ilvl w:val="0"/>
          <w:numId w:val="1001"/>
        </w:numPr>
        <w:pStyle w:val="Compact"/>
      </w:pPr>
      <w:r>
        <w:t xml:space="preserve">LEFT JOIN OR pattern. The first INSERT into</w:t>
      </w:r>
      <w:r>
        <w:t xml:space="preserve"> </w:t>
      </w:r>
      <w:r>
        <w:rPr>
          <w:rStyle w:val="VerbatimChar"/>
        </w:rPr>
        <w:t xml:space="preserve">#QueuedRxs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LEFT JOIN ImgImage ... Where ContentCode In (2,3) Or @CfgRxDigitalVerificationMode = 'Local'</w:t>
      </w:r>
      <w:r>
        <w:t xml:space="preserve">. The OR path lets the row survive without a join match, so the optimizer cannot push the predicate into the join and ends up with a scan-with-residual-filter shape on #RxList.</w:t>
      </w:r>
    </w:p>
    <w:p>
      <w:pPr>
        <w:numPr>
          <w:ilvl w:val="0"/>
          <w:numId w:val="1001"/>
        </w:numPr>
        <w:pStyle w:val="Compact"/>
      </w:pPr>
      <w:r>
        <w:t xml:space="preserve">Duplicate INSERT pair into</w:t>
      </w:r>
      <w:r>
        <w:t xml:space="preserve"> </w:t>
      </w:r>
      <w:r>
        <w:rPr>
          <w:rStyle w:val="VerbatimChar"/>
        </w:rPr>
        <w:t xml:space="preserve">#QueuedRxs</w:t>
      </w:r>
      <w:r>
        <w:t xml:space="preserve">. Two near-identical INSERTs that differ only in image table (</w:t>
      </w:r>
      <w:r>
        <w:rPr>
          <w:rStyle w:val="VerbatimChar"/>
        </w:rPr>
        <w:t xml:space="preserve">ImgImage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ImgImage_IntId</w:t>
      </w:r>
      <w:r>
        <w:t xml:space="preserve">) and a trailing OR. Each carries its own</w:t>
      </w:r>
      <w:r>
        <w:t xml:space="preserve"> </w:t>
      </w:r>
      <w:r>
        <w:rPr>
          <w:rStyle w:val="VerbatimChar"/>
        </w:rPr>
        <w:t xml:space="preserve">Select Distinct</w:t>
      </w:r>
      <w:r>
        <w:t xml:space="preserve"> </w:t>
      </w:r>
      <w:r>
        <w:t xml:space="preserve">dedup.</w:t>
      </w:r>
    </w:p>
    <w:p>
      <w:pPr>
        <w:numPr>
          <w:ilvl w:val="0"/>
          <w:numId w:val="1001"/>
        </w:numPr>
        <w:pStyle w:val="Compact"/>
      </w:pPr>
      <w:r>
        <w:t xml:space="preserve">4-level nested OR/AND in the #RxList WHERE clause. The autofill exclusion logic mixes configuration constants and row-level predicates inside the nest, defeating clean index usage on</w:t>
      </w:r>
      <w:r>
        <w:t xml:space="preserve"> </w:t>
      </w:r>
      <w:r>
        <w:rPr>
          <w:rStyle w:val="VerbatimChar"/>
        </w:rPr>
        <w:t xml:space="preserve">ByOrderStatusFillTypeAddrBank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Duplicate config reads.</w:t>
      </w:r>
      <w:r>
        <w:t xml:space="preserve"> </w:t>
      </w:r>
      <w:r>
        <w:rPr>
          <w:rStyle w:val="VerbatimChar"/>
        </w:rPr>
        <w:t xml:space="preserve">vCfgSystemParamVal</w:t>
      </w:r>
      <w:r>
        <w:t xml:space="preserve"> </w:t>
      </w:r>
      <w:r>
        <w:t xml:space="preserve">is scanned twice per call, once per parameter.</w:t>
      </w:r>
    </w:p>
    <w:p>
      <w:pPr>
        <w:numPr>
          <w:ilvl w:val="0"/>
          <w:numId w:val="1001"/>
        </w:numPr>
        <w:pStyle w:val="Compact"/>
      </w:pPr>
      <w:r>
        <w:t xml:space="preserve">Unindexed temp tables.</w:t>
      </w:r>
      <w:r>
        <w:t xml:space="preserve"> </w:t>
      </w:r>
      <w:r>
        <w:rPr>
          <w:rStyle w:val="VerbatimChar"/>
        </w:rPr>
        <w:t xml:space="preserve">#RxList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#AuditRxs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#SemiAutoFillBanks</w:t>
      </w:r>
      <w:r>
        <w:t xml:space="preserve"> </w:t>
      </w:r>
      <w:r>
        <w:t xml:space="preserve">are all joined downstream as heaps.</w:t>
      </w:r>
      <w:r>
        <w:t xml:space="preserve"> </w:t>
      </w:r>
      <w:r>
        <w:rPr>
          <w:rStyle w:val="VerbatimChar"/>
        </w:rPr>
        <w:t xml:space="preserve">#AuditRxs</w:t>
      </w:r>
      <w:r>
        <w:t xml:space="preserve"> </w:t>
      </w:r>
      <w:r>
        <w:t xml:space="preserve">also row-multiplies when an OrderId has multiple audit rules.</w:t>
      </w:r>
    </w:p>
    <w:p>
      <w:pPr>
        <w:pStyle w:val="Heading2"/>
      </w:pPr>
      <w:bookmarkStart w:id="22" w:name="recommendation"/>
      <w:r>
        <w:t xml:space="preserve">Recommendation</w:t>
      </w:r>
      <w:bookmarkEnd w:id="22"/>
    </w:p>
    <w:p>
      <w:pPr>
        <w:pStyle w:val="FirstParagraph"/>
      </w:pPr>
      <w:r>
        <w:t xml:space="preserve">Apply the v8 package as a single deployment unit. No schema change. No index change against base tables. All five fixes are independent and additive.</w:t>
      </w:r>
    </w:p>
    <w:p>
      <w:pPr>
        <w:numPr>
          <w:ilvl w:val="0"/>
          <w:numId w:val="1002"/>
        </w:numPr>
        <w:pStyle w:val="Compact"/>
      </w:pPr>
      <w:r>
        <w:t xml:space="preserve">Consolidate the two INSERTs into one</w:t>
      </w:r>
      <w:r>
        <w:t xml:space="preserve"> </w:t>
      </w:r>
      <w:r>
        <w:rPr>
          <w:rStyle w:val="VerbatimChar"/>
        </w:rPr>
        <w:t xml:space="preserve">INSERT ... SELECT DISTINCT</w:t>
      </w:r>
      <w:r>
        <w:t xml:space="preserve"> </w:t>
      </w:r>
      <w:r>
        <w:t xml:space="preserve">over a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 </w:t>
      </w:r>
      <w:r>
        <w:t xml:space="preserve">of three INNER JOIN branches (ImgImage path, ImgImage_IntId path, Local-mode pass-through).</w:t>
      </w:r>
    </w:p>
    <w:p>
      <w:pPr>
        <w:numPr>
          <w:ilvl w:val="0"/>
          <w:numId w:val="1002"/>
        </w:numPr>
        <w:pStyle w:val="Compact"/>
      </w:pPr>
      <w:r>
        <w:t xml:space="preserve">Flatten the nested OR/AND. Compute</w:t>
      </w:r>
      <w:r>
        <w:t xml:space="preserve"> </w:t>
      </w:r>
      <w:r>
        <w:rPr>
          <w:rStyle w:val="VerbatimChar"/>
        </w:rPr>
        <w:t xml:space="preserve">@ExcludeAutoFill = @CfgRxInheritsCanisterVerification</w:t>
      </w:r>
      <w:r>
        <w:t xml:space="preserve"> </w:t>
      </w:r>
      <w:r>
        <w:t xml:space="preserve">once and rewrite the WHERE as a flat OR list with one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probe against</w:t>
      </w:r>
      <w:r>
        <w:t xml:space="preserve"> </w:t>
      </w:r>
      <w:r>
        <w:rPr>
          <w:rStyle w:val="VerbatimChar"/>
        </w:rPr>
        <w:t xml:space="preserve">#SemiAutoFillBanks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Fold the two</w:t>
      </w:r>
      <w:r>
        <w:t xml:space="preserve"> </w:t>
      </w:r>
      <w:r>
        <w:rPr>
          <w:rStyle w:val="VerbatimChar"/>
        </w:rPr>
        <w:t xml:space="preserve">vCfgSystemParamVal</w:t>
      </w:r>
      <w:r>
        <w:t xml:space="preserve"> </w:t>
      </w:r>
      <w:r>
        <w:t xml:space="preserve">reads into one</w:t>
      </w:r>
      <w:r>
        <w:t xml:space="preserve"> </w:t>
      </w:r>
      <w:r>
        <w:rPr>
          <w:rStyle w:val="VerbatimChar"/>
        </w:rPr>
        <w:t xml:space="preserve">Max(Case ...)</w:t>
      </w:r>
      <w:r>
        <w:t xml:space="preserve"> </w:t>
      </w:r>
      <w:r>
        <w:t xml:space="preserve">pivot scan.</w:t>
      </w:r>
    </w:p>
    <w:p>
      <w:pPr>
        <w:numPr>
          <w:ilvl w:val="0"/>
          <w:numId w:val="1002"/>
        </w:numPr>
        <w:pStyle w:val="Compact"/>
      </w:pPr>
      <w:r>
        <w:t xml:space="preserve">Add clustered indexes to</w:t>
      </w:r>
      <w:r>
        <w:t xml:space="preserve"> </w:t>
      </w:r>
      <w:r>
        <w:rPr>
          <w:rStyle w:val="VerbatimChar"/>
        </w:rPr>
        <w:t xml:space="preserve">#RxList(OrderId, HistoryDtTm)</w:t>
      </w:r>
      <w:r>
        <w:t xml:space="preserve">,</w:t>
      </w:r>
      <w:r>
        <w:t xml:space="preserve"> </w:t>
      </w:r>
      <w:r>
        <w:rPr>
          <w:rStyle w:val="VerbatimChar"/>
        </w:rPr>
        <w:t xml:space="preserve">#AuditRxs(OrderId)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#SemiAutoFillBanks(Bank)</w:t>
      </w:r>
      <w:r>
        <w:t xml:space="preserve"> </w:t>
      </w:r>
      <w:r>
        <w:t xml:space="preserve">after population.</w:t>
      </w:r>
    </w:p>
    <w:p>
      <w:pPr>
        <w:numPr>
          <w:ilvl w:val="0"/>
          <w:numId w:val="1002"/>
        </w:numPr>
        <w:pStyle w:val="Compact"/>
      </w:pPr>
      <w:r>
        <w:t xml:space="preserve">Aggregate</w:t>
      </w:r>
      <w:r>
        <w:t xml:space="preserve"> </w:t>
      </w:r>
      <w:r>
        <w:rPr>
          <w:rStyle w:val="VerbatimChar"/>
        </w:rPr>
        <w:t xml:space="preserve">#AuditRxs</w:t>
      </w:r>
      <w:r>
        <w:t xml:space="preserve"> </w:t>
      </w:r>
      <w:r>
        <w:t xml:space="preserve">to one row per OrderId via</w:t>
      </w:r>
      <w:r>
        <w:t xml:space="preserve"> </w:t>
      </w:r>
      <w:r>
        <w:rPr>
          <w:rStyle w:val="VerbatimChar"/>
        </w:rPr>
        <w:t xml:space="preserve">Max(Cast(IsVisualOnly As Int))</w:t>
      </w:r>
      <w:r>
        <w:t xml:space="preserve"> </w:t>
      </w:r>
      <w:r>
        <w:t xml:space="preserve">to eliminate the multi-rule row multiplication.</w:t>
      </w:r>
    </w:p>
    <w:p>
      <w:pPr>
        <w:pStyle w:val="FirstParagraph"/>
      </w:pPr>
      <w:r>
        <w:t xml:space="preserve">The full v8 body is in</w:t>
      </w:r>
      <w:r>
        <w:t xml:space="preserve"> </w:t>
      </w:r>
      <w:r>
        <w:rPr>
          <w:rStyle w:val="VerbatimChar"/>
        </w:rPr>
        <w:t xml:space="preserve">Refactored.sql</w:t>
      </w:r>
      <w:r>
        <w:t xml:space="preserve">. The v7 body is in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 </w:t>
      </w:r>
      <w:r>
        <w:t xml:space="preserve">for diff and rollback.</w:t>
      </w:r>
    </w:p>
    <w:p>
      <w:pPr>
        <w:pStyle w:val="Heading2"/>
      </w:pPr>
      <w:bookmarkStart w:id="23" w:name="first-principles"/>
      <w:r>
        <w:t xml:space="preserve">First Principles</w:t>
      </w:r>
      <w:bookmarkEnd w:id="23"/>
    </w:p>
    <w:p>
      <w:pPr>
        <w:pStyle w:val="FirstParagraph"/>
      </w:pPr>
      <w:r>
        <w:rPr>
          <w:b/>
        </w:rPr>
        <w:t xml:space="preserve">LEFT JOIN OR is two access paths the optimizer cannot plan together.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masterclass/LEFT JOIN OR Anti-Pattern.md</w:t>
      </w:r>
      <w:r>
        <w:t xml:space="preserve">:</w:t>
      </w:r>
    </w:p>
    <w:p>
      <w:pPr>
        <w:pStyle w:val="BlockText"/>
      </w:pPr>
      <w:r>
        <w:t xml:space="preserve">The optimizer needs to satisfy</w:t>
      </w:r>
      <w:r>
        <w:t xml:space="preserve"> </w:t>
      </w:r>
      <w:r>
        <w:rPr>
          <w:rStyle w:val="VerbatimChar"/>
        </w:rPr>
        <w:t xml:space="preserve">Condition_A OR Condition_B</w:t>
      </w:r>
      <w:r>
        <w:t xml:space="preserve"> </w:t>
      </w:r>
      <w:r>
        <w:t xml:space="preserve">where A and B involve different tables. It can’t seek on table X’s index AND table M’s index simultaneously for an OR.</w:t>
      </w:r>
    </w:p>
    <w:p>
      <w:pPr>
        <w:pStyle w:val="FirstParagraph"/>
      </w:pPr>
      <w:r>
        <w:t xml:space="preserve">The first v7 INSERT is the disguised form: the LEFT JOIN to</w:t>
      </w:r>
      <w:r>
        <w:t xml:space="preserve"> </w:t>
      </w:r>
      <w:r>
        <w:rPr>
          <w:rStyle w:val="VerbatimChar"/>
        </w:rPr>
        <w:t xml:space="preserve">ImgImage</w:t>
      </w:r>
      <w:r>
        <w:t xml:space="preserve"> </w:t>
      </w:r>
      <w:r>
        <w:t xml:space="preserve">is path 1 and the</w:t>
      </w:r>
      <w:r>
        <w:t xml:space="preserve"> </w:t>
      </w:r>
      <w:r>
        <w:rPr>
          <w:rStyle w:val="VerbatimChar"/>
        </w:rPr>
        <w:t xml:space="preserve">@CfgRxDigitalVerificationMode = 'Local'</w:t>
      </w:r>
      <w:r>
        <w:t xml:space="preserve"> </w:t>
      </w:r>
      <w:r>
        <w:t xml:space="preserve">survival is path 2. The v8 split into three explicit INNER JOIN branches inside a single UNION ALL gives each path its own sub-plan with its own cardinality estimate, and the outer</w:t>
      </w:r>
      <w:r>
        <w:t xml:space="preserve"> </w:t>
      </w:r>
      <w:r>
        <w:rPr>
          <w:rStyle w:val="VerbatimChar"/>
        </w:rPr>
        <w:t xml:space="preserve">Select Distinct</w:t>
      </w:r>
      <w:r>
        <w:t xml:space="preserve"> </w:t>
      </w:r>
      <w:r>
        <w:t xml:space="preserve">collapses any cross-branch overlap in a single sort instead of two per-INSERT sorts. In non-Local mode the optimizer constant-folds the Local-mode branch to false and prunes it from execution.</w:t>
      </w:r>
    </w:p>
    <w:p>
      <w:pPr>
        <w:pStyle w:val="BodyText"/>
      </w:pPr>
      <w:r>
        <w:rPr>
          <w:b/>
        </w:rPr>
        <w:t xml:space="preserve">Statistics on intermediate temp tables drive join strategy.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masterclass/Table Variables vs Temp Tables.md</w:t>
      </w:r>
      <w:r>
        <w:t xml:space="preserve">:</w:t>
      </w:r>
    </w:p>
    <w:p>
      <w:pPr>
        <w:pStyle w:val="BlockText"/>
      </w:pPr>
      <w:r>
        <w:t xml:space="preserve">The</w:t>
      </w:r>
      <w:r>
        <w:t xml:space="preserve"> </w:t>
      </w:r>
      <w:r>
        <w:t xml:space="preserve">“</w:t>
      </w:r>
      <w:r>
        <w:t xml:space="preserve">insert then index</w:t>
      </w:r>
      <w:r>
        <w:t xml:space="preserve">”</w:t>
      </w:r>
      <w:r>
        <w:t xml:space="preserve"> </w:t>
      </w:r>
      <w:r>
        <w:t xml:space="preserve">pattern is a best practice. Building the index on the complete dataset is a single efficient sort, versus maintaining the b-tree during every insert.</w:t>
      </w:r>
    </w:p>
    <w:p>
      <w:pPr>
        <w:pStyle w:val="FirstParagraph"/>
      </w:pPr>
      <w:r>
        <w:rPr>
          <w:rStyle w:val="VerbatimChar"/>
        </w:rPr>
        <w:t xml:space="preserve">#RxList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#AuditRxs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#SemiAutoFillBanks</w:t>
      </w:r>
      <w:r>
        <w:t xml:space="preserve"> </w:t>
      </w:r>
      <w:r>
        <w:t xml:space="preserve">are all joined downstream against base tables. v7 leaves them as heaps, so each join is a scan of the temp table. v8 indexes each after population at the natural lookup column. The clustered index on</w:t>
      </w:r>
      <w:r>
        <w:t xml:space="preserve"> </w:t>
      </w:r>
      <w:r>
        <w:rPr>
          <w:rStyle w:val="VerbatimChar"/>
        </w:rPr>
        <w:t xml:space="preserve">#RxList(OrderId, HistoryDtTm)</w:t>
      </w:r>
      <w:r>
        <w:t xml:space="preserve"> </w:t>
      </w:r>
      <w:r>
        <w:t xml:space="preserve">is the highest-leverage one because the consolidated INSERT into</w:t>
      </w:r>
      <w:r>
        <w:t xml:space="preserve"> </w:t>
      </w:r>
      <w:r>
        <w:rPr>
          <w:rStyle w:val="VerbatimChar"/>
        </w:rPr>
        <w:t xml:space="preserve">#QueuedRxs</w:t>
      </w:r>
      <w:r>
        <w:t xml:space="preserve"> </w:t>
      </w:r>
      <w:r>
        <w:t xml:space="preserve">joins it to</w:t>
      </w:r>
      <w:r>
        <w:t xml:space="preserve"> </w:t>
      </w:r>
      <w:r>
        <w:rPr>
          <w:rStyle w:val="VerbatimChar"/>
        </w:rPr>
        <w:t xml:space="preserve">ImgRxImgAssoc</w:t>
      </w:r>
      <w:r>
        <w:t xml:space="preserve"> </w:t>
      </w:r>
      <w:r>
        <w:t xml:space="preserve">on those exact columns.</w:t>
      </w:r>
    </w:p>
    <w:p>
      <w:pPr>
        <w:pStyle w:val="BodyText"/>
      </w:pPr>
      <w:r>
        <w:rPr>
          <w:b/>
        </w:rPr>
        <w:t xml:space="preserve">Pre-computed configuration flags fold at runtime.</w:t>
      </w:r>
      <w:r>
        <w:t xml:space="preserve"> </w:t>
      </w:r>
      <w:r>
        <w:t xml:space="preserve">The 4-level nested OR/AND mixes</w:t>
      </w:r>
      <w:r>
        <w:t xml:space="preserve"> </w:t>
      </w:r>
      <w:r>
        <w:rPr>
          <w:rStyle w:val="VerbatimChar"/>
        </w:rPr>
        <w:t xml:space="preserve">@CfgRxInheritsCanisterVerification</w:t>
      </w:r>
      <w:r>
        <w:t xml:space="preserve"> </w:t>
      </w:r>
      <w:r>
        <w:t xml:space="preserve">(a configuration constant for the call) with row-level FillType conditions. The optimizer plans for both branches because it cannot prove the configuration value is stable for the duration of the call. Lifting the flag into</w:t>
      </w:r>
      <w:r>
        <w:t xml:space="preserve"> </w:t>
      </w:r>
      <w:r>
        <w:rPr>
          <w:rStyle w:val="VerbatimChar"/>
        </w:rPr>
        <w:t xml:space="preserve">@ExcludeAutoFill</w:t>
      </w:r>
      <w:r>
        <w:t xml:space="preserve"> </w:t>
      </w:r>
      <w:r>
        <w:t xml:space="preserve">at the top and reading it in a flat predicate gives the optimizer a constant to fold and gives the reader a clearer split between configuration cases and row-level filters.</w:t>
      </w:r>
    </w:p>
    <w:p>
      <w:pPr>
        <w:pStyle w:val="BodyText"/>
      </w:pPr>
      <w:r>
        <w:rPr>
          <w:b/>
        </w:rPr>
        <w:t xml:space="preserve">Same-table repeated reads consolidate to one scan.</w:t>
      </w:r>
      <w:r>
        <w:t xml:space="preserve"> </w:t>
      </w:r>
      <w:r>
        <w:t xml:space="preserve">Two SELECTs against</w:t>
      </w:r>
      <w:r>
        <w:t xml:space="preserve"> </w:t>
      </w:r>
      <w:r>
        <w:rPr>
          <w:rStyle w:val="VerbatimChar"/>
        </w:rPr>
        <w:t xml:space="preserve">vCfgSystemParamVal</w:t>
      </w:r>
      <w:r>
        <w:t xml:space="preserve"> </w:t>
      </w:r>
      <w:r>
        <w:t xml:space="preserve">(one per parameter) collapse to one scan with a</w:t>
      </w:r>
      <w:r>
        <w:t xml:space="preserve"> </w:t>
      </w:r>
      <w:r>
        <w:rPr>
          <w:rStyle w:val="VerbatimChar"/>
        </w:rPr>
        <w:t xml:space="preserve">Max(Case When Parameter = ... Then ...)</w:t>
      </w:r>
      <w:r>
        <w:t xml:space="preserve"> </w:t>
      </w:r>
      <w:r>
        <w:t xml:space="preserve">pivot. Single scan, single compile, two scalars assigned. The per-call cost is small in absolute terms but at 19 million monthly executions the doubled work is meaningful.</w:t>
      </w:r>
    </w:p>
    <w:p>
      <w:pPr>
        <w:pStyle w:val="Heading2"/>
      </w:pPr>
      <w:bookmarkStart w:id="24" w:name="ms-learn-citations"/>
      <w:r>
        <w:t xml:space="preserve">MS Learn Citations</w:t>
      </w:r>
      <w:bookmarkEnd w:id="24"/>
    </w:p>
    <w:p>
      <w:pPr>
        <w:pStyle w:val="FirstParagraph"/>
      </w:pPr>
      <w:r>
        <w:t xml:space="preserve">The techniques in this refactor anchor to the following Transact-SQL reference pages.</w:t>
      </w:r>
    </w:p>
    <w:p>
      <w:pPr>
        <w:numPr>
          <w:ilvl w:val="0"/>
          <w:numId w:val="1003"/>
        </w:numPr>
        <w:pStyle w:val="Compact"/>
      </w:pPr>
      <w:r>
        <w:t xml:space="preserve">UNION ALL consolidation.</w:t>
      </w:r>
      <w:r>
        <w:t xml:space="preserve"> </w:t>
      </w:r>
      <w:hyperlink r:id="rId25">
        <w:r>
          <w:rPr>
            <w:rStyle w:val="Hyperlink"/>
          </w:rPr>
          <w:t xml:space="preserve">UNION (Transact-SQL)</w:t>
        </w:r>
      </w:hyperlink>
      <w:r>
        <w:t xml:space="preserve"> </w:t>
      </w:r>
      <w:r>
        <w:t xml:space="preserve">documents the set-operator semantics and the difference between</w:t>
      </w:r>
      <w:r>
        <w:t xml:space="preserve"> </w:t>
      </w:r>
      <w:r>
        <w:rPr>
          <w:rStyle w:val="VerbatimChar"/>
        </w:rPr>
        <w:t xml:space="preserve">UNION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UNION ALL</w:t>
      </w:r>
      <w:r>
        <w:t xml:space="preserve">. The outer</w:t>
      </w:r>
      <w:r>
        <w:t xml:space="preserve"> </w:t>
      </w:r>
      <w:r>
        <w:rPr>
          <w:rStyle w:val="VerbatimChar"/>
        </w:rPr>
        <w:t xml:space="preserve">Select Distinct</w:t>
      </w:r>
      <w:r>
        <w:t xml:space="preserve"> </w:t>
      </w:r>
      <w:r>
        <w:t xml:space="preserve">after the UNION ALL is what handles the cross-branch dedup.</w:t>
      </w:r>
    </w:p>
    <w:p>
      <w:pPr>
        <w:numPr>
          <w:ilvl w:val="0"/>
          <w:numId w:val="1003"/>
        </w:numPr>
        <w:pStyle w:val="Compact"/>
      </w:pPr>
      <w:r>
        <w:t xml:space="preserve">Existence checks.</w:t>
      </w:r>
      <w:r>
        <w:t xml:space="preserve"> </w:t>
      </w:r>
      <w:hyperlink r:id="rId26">
        <w:r>
          <w:rPr>
            <w:rStyle w:val="Hyperlink"/>
          </w:rPr>
          <w:t xml:space="preserve">EXISTS (Transact-SQL)</w:t>
        </w:r>
      </w:hyperlink>
      <w:r>
        <w:t xml:space="preserve"> </w:t>
      </w:r>
      <w:r>
        <w:t xml:space="preserve">specifies the short-circuit behavior the</w:t>
      </w:r>
      <w:r>
        <w:t xml:space="preserve"> </w:t>
      </w:r>
      <w:r>
        <w:rPr>
          <w:rStyle w:val="VerbatimChar"/>
        </w:rPr>
        <w:t xml:space="preserve">Exists</w:t>
      </w:r>
      <w:r>
        <w:t xml:space="preserve"> </w:t>
      </w:r>
      <w:r>
        <w:t xml:space="preserve">probe against</w:t>
      </w:r>
      <w:r>
        <w:t xml:space="preserve"> </w:t>
      </w:r>
      <w:r>
        <w:rPr>
          <w:rStyle w:val="VerbatimChar"/>
        </w:rPr>
        <w:t xml:space="preserve">#SemiAutoFillBanks</w:t>
      </w:r>
      <w:r>
        <w:t xml:space="preserve"> </w:t>
      </w:r>
      <w:r>
        <w:t xml:space="preserve">depends on.</w:t>
      </w:r>
    </w:p>
    <w:p>
      <w:pPr>
        <w:numPr>
          <w:ilvl w:val="0"/>
          <w:numId w:val="1003"/>
        </w:numPr>
        <w:pStyle w:val="Compact"/>
      </w:pPr>
      <w:r>
        <w:t xml:space="preserve">Temp-table indexing.</w:t>
      </w:r>
      <w:r>
        <w:t xml:space="preserve"> </w:t>
      </w:r>
      <w:hyperlink r:id="rId27">
        <w:r>
          <w:rPr>
            <w:rStyle w:val="Hyperlink"/>
          </w:rPr>
          <w:t xml:space="preserve">CREATE INDEX (Transact-SQL)</w:t>
        </w:r>
      </w:hyperlink>
      <w:r>
        <w:t xml:space="preserve"> </w:t>
      </w:r>
      <w:r>
        <w:t xml:space="preserve">and the</w:t>
      </w:r>
      <w:r>
        <w:t xml:space="preserve"> </w:t>
      </w:r>
      <w:hyperlink r:id="rId28">
        <w:r>
          <w:rPr>
            <w:rStyle w:val="Hyperlink"/>
          </w:rPr>
          <w:t xml:space="preserve">Index Architecture and Design Guide</w:t>
        </w:r>
      </w:hyperlink>
      <w:r>
        <w:t xml:space="preserve"> </w:t>
      </w:r>
      <w:r>
        <w:t xml:space="preserve">cover the</w:t>
      </w:r>
      <w:r>
        <w:t xml:space="preserve"> </w:t>
      </w:r>
      <w:r>
        <w:t xml:space="preserve">“</w:t>
      </w:r>
      <w:r>
        <w:t xml:space="preserve">insert then index</w:t>
      </w:r>
      <w:r>
        <w:t xml:space="preserve">”</w:t>
      </w:r>
      <w:r>
        <w:t xml:space="preserve"> </w:t>
      </w:r>
      <w:r>
        <w:t xml:space="preserve">pattern and the statistics that the optimizer reads from temp tables once they are populated.</w:t>
      </w:r>
    </w:p>
    <w:p>
      <w:pPr>
        <w:numPr>
          <w:ilvl w:val="0"/>
          <w:numId w:val="1003"/>
        </w:numPr>
        <w:pStyle w:val="Compact"/>
      </w:pPr>
      <w:r>
        <w:t xml:space="preserve">Window-free aggregation.</w:t>
      </w:r>
      <w:r>
        <w:t xml:space="preserve"> </w:t>
      </w:r>
      <w:hyperlink r:id="rId29">
        <w:r>
          <w:rPr>
            <w:rStyle w:val="Hyperlink"/>
          </w:rPr>
          <w:t xml:space="preserve">Aggregate Functions</w:t>
        </w:r>
      </w:hyperlink>
      <w:r>
        <w:t xml:space="preserve"> </w:t>
      </w:r>
      <w:r>
        <w:t xml:space="preserve">covers</w:t>
      </w:r>
      <w:r>
        <w:t xml:space="preserve"> </w:t>
      </w:r>
      <w:r>
        <w:rPr>
          <w:rStyle w:val="VerbatimChar"/>
        </w:rPr>
        <w:t xml:space="preserve">Max(Case ...)</w:t>
      </w:r>
      <w:r>
        <w:t xml:space="preserve"> </w:t>
      </w:r>
      <w:r>
        <w:t xml:space="preserve">pivot semantics for the consolidated config read.</w:t>
      </w:r>
    </w:p>
    <w:p>
      <w:pPr>
        <w:pStyle w:val="Heading2"/>
      </w:pPr>
      <w:bookmarkStart w:id="30" w:name="risk-note"/>
      <w:r>
        <w:t xml:space="preserve">Risk Note</w:t>
      </w:r>
      <w:bookmarkEnd w:id="30"/>
    </w:p>
    <w:p>
      <w:pPr>
        <w:pStyle w:val="FirstParagraph"/>
      </w:pPr>
      <w:r>
        <w:t xml:space="preserve">Semantic risk concentrates on two fixes. The LEFT JOIN OR split must produce row-count parity with v7 across Local and non-Local modes; the outer</w:t>
      </w:r>
      <w:r>
        <w:t xml:space="preserve"> </w:t>
      </w:r>
      <w:r>
        <w:rPr>
          <w:rStyle w:val="VerbatimChar"/>
        </w:rPr>
        <w:t xml:space="preserve">Select Distinct</w:t>
      </w:r>
      <w:r>
        <w:t xml:space="preserve"> </w:t>
      </w:r>
      <w:r>
        <w:t xml:space="preserve">handles any cross-branch overlap by construction. The</w:t>
      </w:r>
      <w:r>
        <w:t xml:space="preserve"> </w:t>
      </w:r>
      <w:r>
        <w:rPr>
          <w:rStyle w:val="VerbatimChar"/>
        </w:rPr>
        <w:t xml:space="preserve">#AuditRxs</w:t>
      </w:r>
      <w:r>
        <w:t xml:space="preserve"> </w:t>
      </w:r>
      <w:r>
        <w:t xml:space="preserve">aggregation must preserve the</w:t>
      </w:r>
      <w:r>
        <w:t xml:space="preserve"> </w:t>
      </w:r>
      <w:r>
        <w:t xml:space="preserve">“</w:t>
      </w:r>
      <w:r>
        <w:t xml:space="preserve">any visual-only rule wins</w:t>
      </w:r>
      <w:r>
        <w:t xml:space="preserve">”</w:t>
      </w:r>
      <w:r>
        <w:t xml:space="preserve"> </w:t>
      </w:r>
      <w:r>
        <w:t xml:space="preserve">semantics, which</w:t>
      </w:r>
      <w:r>
        <w:t xml:space="preserve"> </w:t>
      </w:r>
      <w:r>
        <w:rPr>
          <w:rStyle w:val="VerbatimChar"/>
        </w:rPr>
        <w:t xml:space="preserve">Max(Cast(IsVisualOnly As Int))</w:t>
      </w:r>
      <w:r>
        <w:t xml:space="preserve"> </w:t>
      </w:r>
      <w:r>
        <w:t xml:space="preserve">does provided the application’s intent matches that interpretation. Confirm with the iA team before deployment. First 24 hours: watch Query Store plan count for the Indy, Liberty, and Memphis statements (should converge to 1 to 2), watch the Verification UI for empty result sets or duplicate rows, and watch tempdb extent churn at high-volume sites. Rollback is</w:t>
      </w:r>
      <w:r>
        <w:t xml:space="preserve"> </w:t>
      </w:r>
      <w:r>
        <w:rPr>
          <w:rStyle w:val="VerbatimChar"/>
        </w:rPr>
        <w:t xml:space="preserve">Alter Procedure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Original.sql</w:t>
      </w:r>
      <w:r>
        <w:t xml:space="preserve">. No schema or index change to revert.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ptos" w:hAnsi="Aptos" w:cs="Aptos"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https://learn.microsoft.com/en-us/sql/relational-databases/sql-server-index-design-guide" TargetMode="External" /><Relationship Type="http://schemas.openxmlformats.org/officeDocument/2006/relationships/hyperlink" Id="rId29" Target="https://learn.microsoft.com/en-us/sql/t-sql/functions/aggregate-functions-transact-sql" TargetMode="External" /><Relationship Type="http://schemas.openxmlformats.org/officeDocument/2006/relationships/hyperlink" Id="rId26" Target="https://learn.microsoft.com/en-us/sql/t-sql/language-elements/exists-transact-sql" TargetMode="External" /><Relationship Type="http://schemas.openxmlformats.org/officeDocument/2006/relationships/hyperlink" Id="rId25" Target="https://learn.microsoft.com/en-us/sql/t-sql/language-elements/set-operators-union-transact-sql" TargetMode="External" /><Relationship Type="http://schemas.openxmlformats.org/officeDocument/2006/relationships/hyperlink" Id="rId27" Target="https://learn.microsoft.com/en-us/sql/t-sql/statements/create-index-transact-sq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https://learn.microsoft.com/en-us/sql/relational-databases/sql-server-index-design-guide" TargetMode="External" /><Relationship Type="http://schemas.openxmlformats.org/officeDocument/2006/relationships/hyperlink" Id="rId29" Target="https://learn.microsoft.com/en-us/sql/t-sql/functions/aggregate-functions-transact-sql" TargetMode="External" /><Relationship Type="http://schemas.openxmlformats.org/officeDocument/2006/relationships/hyperlink" Id="rId26" Target="https://learn.microsoft.com/en-us/sql/t-sql/language-elements/exists-transact-sql" TargetMode="External" /><Relationship Type="http://schemas.openxmlformats.org/officeDocument/2006/relationships/hyperlink" Id="rId25" Target="https://learn.microsoft.com/en-us/sql/t-sql/language-elements/set-operators-union-transact-sql" TargetMode="External" /><Relationship Type="http://schemas.openxmlformats.org/officeDocument/2006/relationships/hyperlink" Id="rId27" Target="https://learn.microsoft.com/en-us/sql/t-sql/statements/create-index-transact-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2026-05-14T14:42:09Z</dcterms:created>
  <dcterms:modified xsi:type="dcterms:W3CDTF">2026-05-14T14:42:09Z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