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742e06929e7448701c2a1167b17396418397e51"/>
      <w:r>
        <w:t xml:space="preserve">Refactor Recommendation: lsp_TcdGetNextCountLauncherRx</w:t>
      </w:r>
      <w:bookmarkEnd w:id="20"/>
    </w:p>
    <w:p>
      <w:pPr>
        <w:pStyle w:val="FirstParagraph"/>
      </w:pPr>
      <w:r>
        <w:rPr>
          <w:b/>
        </w:rPr>
        <w:t xml:space="preserve">Date:</w:t>
      </w:r>
      <w:r>
        <w:t xml:space="preserve"> </w:t>
      </w:r>
      <w:r>
        <w:t xml:space="preserve">2026-05-08</w:t>
      </w:r>
      <w:r>
        <w:t xml:space="preserve"> </w:t>
      </w:r>
      <w:r>
        <w:rPr>
          <w:b/>
        </w:rPr>
        <w:t xml:space="preserve">Companion analysis:</w:t>
      </w:r>
      <w:r>
        <w:t xml:space="preserve"> </w:t>
      </w:r>
      <w:r>
        <w:rPr>
          <w:rStyle w:val="VerbatimChar"/>
        </w:rPr>
        <w:t xml:space="preserve">Analysis.md</w:t>
      </w:r>
      <w:r>
        <w:t xml:space="preserve"> </w:t>
      </w:r>
      <w:r>
        <w:t xml:space="preserve">in this folder.</w:t>
      </w:r>
      <w:r>
        <w:t xml:space="preserve"> </w:t>
      </w:r>
      <w:r>
        <w:rPr>
          <w:b/>
        </w:rPr>
        <w:t xml:space="preserve">Deployment state:</w:t>
      </w:r>
      <w:r>
        <w:t xml:space="preserve"> </w:t>
      </w:r>
      <w:r>
        <w:t xml:space="preserve">Cataloged. Refactored.sql is a proposed v10 awaiting iA review.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problem"/>
      <w:r>
        <w:t xml:space="preserve">Problem</w:t>
      </w:r>
      <w:bookmarkEnd w:id="21"/>
    </w:p>
    <w:p>
      <w:pPr>
        <w:pStyle w:val="FirstParagraph"/>
      </w:pPr>
      <w:r>
        <w:t xml:space="preserve">v9 returns the next Scheduled Auto-Fill Rx for the TCD Controller Count Launcher to attempt to count within a cabinet bank. The cross-list capture flags it on all four expense lists (Volume #3, Duration #1, Expense #4, Plan #24) with a 6,024x worst-case-to-average ratio. A 6,024x spread on the same statement is a plan-volatility problem, not a query-shape problem; the optimizer is producing wildly different plans for the same statement depending on what parameter values it sniffs at compile time, and on a tight-loop caller the worst-case plan is what the operator sees during the bad windows.</w:t>
      </w:r>
    </w:p>
    <w:p>
      <w:pPr>
        <w:numPr>
          <w:ilvl w:val="0"/>
          <w:numId w:val="1001"/>
        </w:numPr>
        <w:pStyle w:val="Compact"/>
      </w:pPr>
      <w:r>
        <w:t xml:space="preserve">Non-SARGable</w:t>
      </w:r>
      <w:r>
        <w:t xml:space="preserve"> </w:t>
      </w:r>
      <w:r>
        <w:rPr>
          <w:rStyle w:val="VerbatimChar"/>
        </w:rPr>
        <w:t xml:space="preserve">O.PriCodeSys &lt;&gt; Case @InclFillByNotReachedPriRxs When 1 Then -1 Else 60 End</w:t>
      </w:r>
      <w:r>
        <w:t xml:space="preserve"> </w:t>
      </w:r>
      <w:r>
        <w:t xml:space="preserve">predicate. The Case inside the WHERE clause defeats index seek on</w:t>
      </w:r>
      <w:r>
        <w:t xml:space="preserve"> </w:t>
      </w:r>
      <w:r>
        <w:rPr>
          <w:rStyle w:val="VerbatimChar"/>
        </w:rPr>
        <w:t xml:space="preserve">PriCodeSys</w:t>
      </w:r>
      <w:r>
        <w:t xml:space="preserve"> </w:t>
      </w:r>
      <w:r>
        <w:t xml:space="preserve">and forces one cached plan across two distinct operational modes.</w:t>
      </w:r>
    </w:p>
    <w:p>
      <w:pPr>
        <w:numPr>
          <w:ilvl w:val="0"/>
          <w:numId w:val="1001"/>
        </w:numPr>
        <w:pStyle w:val="Compact"/>
      </w:pPr>
      <w:r>
        <w:t xml:space="preserve">Parameter sniffing on</w:t>
      </w:r>
      <w:r>
        <w:t xml:space="preserve"> </w:t>
      </w:r>
      <w:r>
        <w:rPr>
          <w:rStyle w:val="VerbatimChar"/>
        </w:rPr>
        <w:t xml:space="preserve">@AddrBank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@InclFillByNotReachedPriRxs</w:t>
      </w:r>
      <w:r>
        <w:t xml:space="preserve">. The cabinet banks vary significantly in candidate population; the bimodal</w:t>
      </w:r>
      <w:r>
        <w:t xml:space="preserve"> </w:t>
      </w:r>
      <w:r>
        <w:rPr>
          <w:rStyle w:val="VerbatimChar"/>
        </w:rPr>
        <w:t xml:space="preserve">@InclFillByNotReachedPriRxs</w:t>
      </w:r>
      <w:r>
        <w:t xml:space="preserve"> </w:t>
      </w:r>
      <w:r>
        <w:t xml:space="preserve">is sniffed once and cached. The 6,024x ratio reflects both pressures.</w:t>
      </w:r>
    </w:p>
    <w:p>
      <w:pPr>
        <w:numPr>
          <w:ilvl w:val="0"/>
          <w:numId w:val="1001"/>
        </w:numPr>
        <w:pStyle w:val="Compact"/>
      </w:pPr>
      <w:r>
        <w:t xml:space="preserve">Forced</w:t>
      </w:r>
      <w:r>
        <w:t xml:space="preserve"> </w:t>
      </w:r>
      <w:r>
        <w:rPr>
          <w:rStyle w:val="VerbatimChar"/>
        </w:rPr>
        <w:t xml:space="preserve">Index(ByOrderStatusFillTypeAddrBank)</w:t>
      </w:r>
      <w:r>
        <w:t xml:space="preserve"> </w:t>
      </w:r>
      <w:r>
        <w:t xml:space="preserve">hint on the main candidate scan. Freezes the plan choice and prevents the optimizer from adapting to statistics changes.</w:t>
      </w:r>
    </w:p>
    <w:p>
      <w:pPr>
        <w:numPr>
          <w:ilvl w:val="0"/>
          <w:numId w:val="1001"/>
        </w:numPr>
        <w:pStyle w:val="Compact"/>
      </w:pPr>
      <w:r>
        <w:t xml:space="preserve">Legacy</w:t>
      </w:r>
      <w:r>
        <w:t xml:space="preserve"> </w:t>
      </w:r>
      <w:r>
        <w:rPr>
          <w:rStyle w:val="VerbatimChar"/>
        </w:rPr>
        <w:t xml:space="preserve">If Object_Id</w:t>
      </w:r>
      <w:r>
        <w:t xml:space="preserve"> </w:t>
      </w:r>
      <w:r>
        <w:t xml:space="preserve">temp-table cleanup in three places.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If Exists (Select * From #temp)</w:t>
      </w:r>
      <w:r>
        <w:t xml:space="preserve"> </w:t>
      </w:r>
      <w:r>
        <w:t xml:space="preserve">after the INSERT that just populated</w:t>
      </w:r>
      <w:r>
        <w:t xml:space="preserve"> </w:t>
      </w:r>
      <w:r>
        <w:rPr>
          <w:rStyle w:val="VerbatimChar"/>
        </w:rPr>
        <w:t xml:space="preserve">#temp</w:t>
      </w:r>
      <w:r>
        <w:t xml:space="preserve">.</w:t>
      </w:r>
      <w:r>
        <w:t xml:space="preserve"> </w:t>
      </w:r>
      <w:r>
        <w:rPr>
          <w:rStyle w:val="VerbatimChar"/>
        </w:rPr>
        <w:t xml:space="preserve">@@ROWCOUNT</w:t>
      </w:r>
      <w:r>
        <w:t xml:space="preserve"> </w:t>
      </w:r>
      <w:r>
        <w:t xml:space="preserve">carries the same information without the second read.</w:t>
      </w:r>
    </w:p>
    <w:p>
      <w:pPr>
        <w:numPr>
          <w:ilvl w:val="0"/>
          <w:numId w:val="1001"/>
        </w:numPr>
        <w:pStyle w:val="Compact"/>
      </w:pPr>
      <w:r>
        <w:t xml:space="preserve">Duplicated sibling-OrderId inline derived table in two paths. Structurally awkward and harder to reason about than a CTE.</w:t>
      </w:r>
    </w:p>
    <w:p>
      <w:pPr>
        <w:numPr>
          <w:ilvl w:val="0"/>
          <w:numId w:val="1001"/>
        </w:numPr>
        <w:pStyle w:val="Compact"/>
      </w:pPr>
      <w:r>
        <w:t xml:space="preserve">Inner subquery in the group-together path returns one row per qualifying Rx, not one row per group. Joining on</w:t>
      </w:r>
      <w:r>
        <w:t xml:space="preserve"> </w:t>
      </w:r>
      <w:r>
        <w:rPr>
          <w:rStyle w:val="VerbatimChar"/>
        </w:rPr>
        <w:t xml:space="preserve">GroupNum</w:t>
      </w:r>
      <w:r>
        <w:t xml:space="preserve"> </w:t>
      </w:r>
      <w:r>
        <w:t xml:space="preserve">produces a cardinality explosion when a group has many counted Rxs.</w:t>
      </w:r>
    </w:p>
    <w:p>
      <w:pPr>
        <w:pStyle w:val="Heading2"/>
      </w:pPr>
      <w:bookmarkStart w:id="22" w:name="recommendation"/>
      <w:r>
        <w:t xml:space="preserve">Recommendation</w:t>
      </w:r>
      <w:bookmarkEnd w:id="22"/>
    </w:p>
    <w:p>
      <w:pPr>
        <w:pStyle w:val="FirstParagraph"/>
      </w:pPr>
      <w:r>
        <w:t xml:space="preserve">Apply the v10 package. The dominant lever is plan stability via the local-variable form combined with the explicit-branch rewrite of the catch-all Case predicate.</w:t>
      </w:r>
    </w:p>
    <w:p>
      <w:pPr>
        <w:numPr>
          <w:ilvl w:val="0"/>
          <w:numId w:val="1002"/>
        </w:numPr>
        <w:pStyle w:val="Compact"/>
      </w:pPr>
      <w:r>
        <w:t xml:space="preserve">Declare</w:t>
      </w:r>
      <w:r>
        <w:t xml:space="preserve"> </w:t>
      </w:r>
      <w:r>
        <w:rPr>
          <w:rStyle w:val="VerbatimChar"/>
        </w:rPr>
        <w:t xml:space="preserve">@LocalAddrBank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@LocalInclFillByNotReachedPriRxs</w:t>
      </w:r>
      <w:r>
        <w:t xml:space="preserve"> </w:t>
      </w:r>
      <w:r>
        <w:t xml:space="preserve">and use the locals throughout.</w:t>
      </w:r>
    </w:p>
    <w:p>
      <w:pPr>
        <w:numPr>
          <w:ilvl w:val="0"/>
          <w:numId w:val="1002"/>
        </w:numPr>
        <w:pStyle w:val="Compact"/>
      </w:pPr>
      <w:r>
        <w:t xml:space="preserve">Split the main path into two explicit branches selected by an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@LocalInclFillByNotReachedPriRxs</w:t>
      </w:r>
      <w:r>
        <w:t xml:space="preserve">. The</w:t>
      </w:r>
      <w:r>
        <w:t xml:space="preserve"> </w:t>
      </w:r>
      <w:r>
        <w:t xml:space="preserve">“</w:t>
      </w:r>
      <w:r>
        <w:t xml:space="preserve">include all priorities</w:t>
      </w:r>
      <w:r>
        <w:t xml:space="preserve">”</w:t>
      </w:r>
      <w:r>
        <w:t xml:space="preserve"> </w:t>
      </w:r>
      <w:r>
        <w:t xml:space="preserve">branch has no</w:t>
      </w:r>
      <w:r>
        <w:t xml:space="preserve"> </w:t>
      </w:r>
      <w:r>
        <w:rPr>
          <w:rStyle w:val="VerbatimChar"/>
        </w:rPr>
        <w:t xml:space="preserve">PriCodeSys</w:t>
      </w:r>
      <w:r>
        <w:t xml:space="preserve"> </w:t>
      </w:r>
      <w:r>
        <w:t xml:space="preserve">filter; the other branch carries</w:t>
      </w:r>
      <w:r>
        <w:t xml:space="preserve"> </w:t>
      </w:r>
      <w:r>
        <w:rPr>
          <w:rStyle w:val="VerbatimChar"/>
        </w:rPr>
        <w:t xml:space="preserve">O.PriCodeSys &lt;&gt; 60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Drop the</w:t>
      </w:r>
      <w:r>
        <w:t xml:space="preserve"> </w:t>
      </w:r>
      <w:r>
        <w:rPr>
          <w:rStyle w:val="VerbatimChar"/>
        </w:rPr>
        <w:t xml:space="preserve">Index(...)</w:t>
      </w:r>
      <w:r>
        <w:t xml:space="preserve"> </w:t>
      </w:r>
      <w:r>
        <w:t xml:space="preserve">hint. The optimizer will choose</w:t>
      </w:r>
      <w:r>
        <w:t xml:space="preserve"> </w:t>
      </w:r>
      <w:r>
        <w:rPr>
          <w:rStyle w:val="VerbatimChar"/>
        </w:rPr>
        <w:t xml:space="preserve">ByOrderStatusFillTypeAddrBank</w:t>
      </w:r>
      <w:r>
        <w:t xml:space="preserve"> </w:t>
      </w:r>
      <w:r>
        <w:t xml:space="preserve">naturally once the predicate is seekable.</w:t>
      </w:r>
    </w:p>
    <w:p>
      <w:pPr>
        <w:numPr>
          <w:ilvl w:val="0"/>
          <w:numId w:val="1002"/>
        </w:numPr>
        <w:pStyle w:val="Compact"/>
      </w:pPr>
      <w:r>
        <w:t xml:space="preserve">Replace the</w:t>
      </w:r>
      <w:r>
        <w:t xml:space="preserve"> </w:t>
      </w:r>
      <w:r>
        <w:rPr>
          <w:rStyle w:val="VerbatimChar"/>
        </w:rPr>
        <w:t xml:space="preserve">If Exists (Select * From #temp)</w:t>
      </w:r>
      <w:r>
        <w:t xml:space="preserve"> </w:t>
      </w:r>
      <w:r>
        <w:t xml:space="preserve">after the INSERT with</w:t>
      </w:r>
      <w:r>
        <w:t xml:space="preserve"> </w:t>
      </w:r>
      <w:r>
        <w:rPr>
          <w:rStyle w:val="VerbatimChar"/>
        </w:rPr>
        <w:t xml:space="preserve">If @@ROWCOUNT &gt; 0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Express the sibling-OrderId derivation once per branch as a</w:t>
      </w:r>
      <w:r>
        <w:t xml:space="preserve"> </w:t>
      </w:r>
      <w:r>
        <w:rPr>
          <w:rStyle w:val="VerbatimChar"/>
        </w:rPr>
        <w:t xml:space="preserve">CountedSiblings</w:t>
      </w:r>
      <w:r>
        <w:t xml:space="preserve"> </w:t>
      </w:r>
      <w:r>
        <w:t xml:space="preserve">CTE referenced from a Left Join on</w:t>
      </w:r>
      <w:r>
        <w:t xml:space="preserve"> </w:t>
      </w:r>
      <w:r>
        <w:rPr>
          <w:rStyle w:val="VerbatimChar"/>
        </w:rPr>
        <w:t xml:space="preserve">O.OrderId = CS.SiblingOrderId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Pre-aggregate the group-together inner subquery to one row per</w:t>
      </w:r>
      <w:r>
        <w:t xml:space="preserve"> </w:t>
      </w:r>
      <w:r>
        <w:rPr>
          <w:rStyle w:val="VerbatimChar"/>
        </w:rPr>
        <w:t xml:space="preserve">GroupNum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Max(DateFilled)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Min(LastStatusChgDtTm)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Convert the three legacy</w:t>
      </w:r>
      <w:r>
        <w:t xml:space="preserve"> </w:t>
      </w:r>
      <w:r>
        <w:rPr>
          <w:rStyle w:val="VerbatimChar"/>
        </w:rPr>
        <w:t xml:space="preserve">Object_Id</w:t>
      </w:r>
      <w:r>
        <w:t xml:space="preserve"> </w:t>
      </w:r>
      <w:r>
        <w:t xml:space="preserve">cleanup blocks to</w:t>
      </w:r>
      <w:r>
        <w:t xml:space="preserve"> </w:t>
      </w:r>
      <w:r>
        <w:rPr>
          <w:rStyle w:val="VerbatimChar"/>
        </w:rPr>
        <w:t xml:space="preserve">Drop Table If Exists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Add</w:t>
      </w:r>
      <w:r>
        <w:t xml:space="preserve"> </w:t>
      </w:r>
      <w:r>
        <w:rPr>
          <w:rStyle w:val="VerbatimChar"/>
        </w:rPr>
        <w:t xml:space="preserve">Option (Recompile)</w:t>
      </w:r>
      <w:r>
        <w:t xml:space="preserve"> </w:t>
      </w:r>
      <w:r>
        <w:t xml:space="preserve">to each branch’s final SELECT. Validate the compile cost against the tight-loop cadence post-deployment.</w:t>
      </w:r>
    </w:p>
    <w:p>
      <w:pPr>
        <w:pStyle w:val="FirstParagraph"/>
      </w:pPr>
      <w:r>
        <w:t xml:space="preserve">The full v10 body is in</w:t>
      </w:r>
      <w:r>
        <w:t xml:space="preserve"> </w:t>
      </w:r>
      <w:r>
        <w:rPr>
          <w:rStyle w:val="VerbatimChar"/>
        </w:rPr>
        <w:t xml:space="preserve">Refactored.sql</w:t>
      </w:r>
      <w:r>
        <w:t xml:space="preserve">. The v9 body is in</w:t>
      </w:r>
      <w:r>
        <w:t xml:space="preserve"> </w:t>
      </w:r>
      <w:r>
        <w:rPr>
          <w:rStyle w:val="VerbatimChar"/>
        </w:rPr>
        <w:t xml:space="preserve">Original.sql</w:t>
      </w:r>
      <w:r>
        <w:t xml:space="preserve"> </w:t>
      </w:r>
      <w:r>
        <w:t xml:space="preserve">for diff and rollback.</w:t>
      </w:r>
    </w:p>
    <w:p>
      <w:pPr>
        <w:pStyle w:val="Heading2"/>
      </w:pPr>
      <w:bookmarkStart w:id="23" w:name="first-principles"/>
      <w:r>
        <w:t xml:space="preserve">First Principles</w:t>
      </w:r>
      <w:bookmarkEnd w:id="23"/>
    </w:p>
    <w:p>
      <w:pPr>
        <w:pStyle w:val="FirstParagraph"/>
      </w:pPr>
      <w:r>
        <w:rPr>
          <w:b/>
        </w:rPr>
        <w:t xml:space="preserve">Plan stability via local variables.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masterclass/Parameter Sniffing.md</w:t>
      </w:r>
      <w:r>
        <w:t xml:space="preserve">:</w:t>
      </w:r>
    </w:p>
    <w:p>
      <w:pPr>
        <w:pStyle w:val="BlockText"/>
      </w:pPr>
      <w:r>
        <w:t xml:space="preserve">The classic fix is to assign input parameters to local variables and use only the locals in your queries.</w:t>
      </w:r>
    </w:p>
    <w:p>
      <w:pPr>
        <w:pStyle w:val="BlockText"/>
      </w:pPr>
      <w:r>
        <w:t xml:space="preserve">Local variables give you plan stability at the cost of plan optimality. You will never get the best possible plan for a specific value, but you will also never get a catastrophically bad plan. For high-frequency OLTP procedures, stability almost always wins.</w:t>
      </w:r>
    </w:p>
    <w:p>
      <w:pPr>
        <w:pStyle w:val="FirstParagraph"/>
      </w:pPr>
      <w:r>
        <w:rPr>
          <w:rStyle w:val="VerbatimChar"/>
        </w:rPr>
        <w:t xml:space="preserve">@LocalAddrBank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@LocalInclFillByNotReachedPriRxs</w:t>
      </w:r>
      <w:r>
        <w:t xml:space="preserve"> </w:t>
      </w:r>
      <w:r>
        <w:t xml:space="preserve">move parameter binding to local-variable assignment, which the optimizer plans against the density-based estimate rather than a sniffed value. The 6,024x worst-case ratio is exactly the failure mode this pattern prevents.</w:t>
      </w:r>
    </w:p>
    <w:p>
      <w:pPr>
        <w:pStyle w:val="BodyText"/>
      </w:pPr>
      <w:r>
        <w:rPr>
          <w:b/>
        </w:rPr>
        <w:t xml:space="preserve">Catch-all rewrite via explicit branching.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masterclass/Catch-All Query Anti-Pattern.md</w:t>
      </w:r>
      <w:r>
        <w:t xml:space="preserve">:</w:t>
      </w:r>
    </w:p>
    <w:p>
      <w:pPr>
        <w:pStyle w:val="BlockText"/>
      </w:pPr>
      <w:r>
        <w:t xml:space="preserve">The optimizer sees four separate queries. Each one compiles a plan suited to its actual filter, with no NULL guard interfering. Each branch caches its own plan and reuses it across calls. Index seeks become possible.</w:t>
      </w:r>
    </w:p>
    <w:p>
      <w:pPr>
        <w:pStyle w:val="FirstParagraph"/>
      </w:pPr>
      <w:r>
        <w:t xml:space="preserve">The procedure has two distinct operational modes selected by</w:t>
      </w:r>
      <w:r>
        <w:t xml:space="preserve"> </w:t>
      </w:r>
      <w:r>
        <w:rPr>
          <w:rStyle w:val="VerbatimChar"/>
        </w:rPr>
        <w:t xml:space="preserve">@InclFillByNotReachedPriRxs</w:t>
      </w:r>
      <w:r>
        <w:t xml:space="preserve">. Splitting them into two explicit branches lets the optimizer cache a tight plan per branch, with</w:t>
      </w:r>
      <w:r>
        <w:t xml:space="preserve"> </w:t>
      </w:r>
      <w:r>
        <w:rPr>
          <w:rStyle w:val="VerbatimChar"/>
        </w:rPr>
        <w:t xml:space="preserve">PriCodeSys</w:t>
      </w:r>
      <w:r>
        <w:t xml:space="preserve"> </w:t>
      </w:r>
      <w:r>
        <w:t xml:space="preserve">either filtered or unfiltered. The Case-in-WHERE form prevented index seek on</w:t>
      </w:r>
      <w:r>
        <w:t xml:space="preserve"> </w:t>
      </w:r>
      <w:r>
        <w:rPr>
          <w:rStyle w:val="VerbatimChar"/>
        </w:rPr>
        <w:t xml:space="preserve">PriCodeSys</w:t>
      </w:r>
      <w:r>
        <w:t xml:space="preserve"> </w:t>
      </w:r>
      <w:r>
        <w:t xml:space="preserve">and forced a single plan that served both modes badly.</w:t>
      </w:r>
    </w:p>
    <w:p>
      <w:pPr>
        <w:pStyle w:val="BodyText"/>
      </w:pPr>
      <w:r>
        <w:rPr>
          <w:b/>
        </w:rPr>
        <w:t xml:space="preserve">CTE in place of duplicated inline derivation.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masterclass/Correlated Subqueries to CTEs.md</w:t>
      </w:r>
      <w:r>
        <w:t xml:space="preserve">:</w:t>
      </w:r>
    </w:p>
    <w:p>
      <w:pPr>
        <w:pStyle w:val="BlockText"/>
      </w:pPr>
      <w:r>
        <w:t xml:space="preserve">The key insight: the CTE scans</w:t>
      </w:r>
      <w:r>
        <w:t xml:space="preserve"> </w:t>
      </w:r>
      <w:r>
        <w:rPr>
          <w:rStyle w:val="VerbatimChar"/>
        </w:rPr>
        <w:t xml:space="preserve">CfStoreDeliveryCourierCutOff</w:t>
      </w:r>
      <w:r>
        <w:t xml:space="preserve"> </w:t>
      </w:r>
      <w:r>
        <w:t xml:space="preserve">once, groups by pharmacy, and produces a small result set. The join back to the outer query is a simple lookup.</w:t>
      </w:r>
    </w:p>
    <w:p>
      <w:pPr>
        <w:pStyle w:val="FirstParagraph"/>
      </w:pPr>
      <w:r>
        <w:t xml:space="preserve">The sibling-OrderId derivation (a concatenation built from substrings of</w:t>
      </w:r>
      <w:r>
        <w:t xml:space="preserve"> </w:t>
      </w:r>
      <w:r>
        <w:rPr>
          <w:rStyle w:val="VerbatimChar"/>
        </w:rPr>
        <w:t xml:space="preserve">OrderId</w:t>
      </w:r>
      <w:r>
        <w:t xml:space="preserve">) appears twice in v9 as inline derived tables. Lifting it to a</w:t>
      </w:r>
      <w:r>
        <w:t xml:space="preserve"> </w:t>
      </w:r>
      <w:r>
        <w:rPr>
          <w:rStyle w:val="VerbatimChar"/>
        </w:rPr>
        <w:t xml:space="preserve">CountedSiblings</w:t>
      </w:r>
      <w:r>
        <w:t xml:space="preserve"> </w:t>
      </w:r>
      <w:r>
        <w:t xml:space="preserve">CTE expresses the derivation once per branch and makes</w:t>
      </w:r>
      <w:r>
        <w:t xml:space="preserve"> </w:t>
      </w:r>
      <w:r>
        <w:rPr>
          <w:rStyle w:val="VerbatimChar"/>
        </w:rPr>
        <w:t xml:space="preserve">O.OrderId = CS.SiblingOrderId</w:t>
      </w:r>
      <w:r>
        <w:t xml:space="preserve"> </w:t>
      </w:r>
      <w:r>
        <w:t xml:space="preserve">the visible join predicate rather than burying it inside an inline derived table. The CTE materializes once per call within each branch and the optimizer can plan the join cleanly.</w:t>
      </w:r>
    </w:p>
    <w:p>
      <w:pPr>
        <w:pStyle w:val="BodyText"/>
      </w:pPr>
      <w:r>
        <w:rPr>
          <w:b/>
        </w:rPr>
        <w:t xml:space="preserve">TOP-with-ORDER BY rowgoal and</w:t>
      </w:r>
      <w:r>
        <w:rPr>
          <w:b/>
        </w:rPr>
        <w:t xml:space="preserve"> </w:t>
      </w:r>
      <w:r>
        <w:rPr>
          <w:rStyle w:val="VerbatimChar"/>
          <w:b/>
        </w:rPr>
        <w:t xml:space="preserve">@@ROWCOUNT</w:t>
      </w:r>
      <w:r>
        <w:rPr>
          <w:b/>
        </w:rPr>
        <w:t xml:space="preserve">.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masterclass/TOP with ORDER BY Semantics.md</w:t>
      </w:r>
      <w:r>
        <w:t xml:space="preserve">:</w:t>
      </w:r>
    </w:p>
    <w:p>
      <w:pPr>
        <w:pStyle w:val="BlockText"/>
      </w:pPr>
      <w:r>
        <w:t xml:space="preserve">TOP combined with ORDER BY creates a rowgoal optimization. The optimizer knows it only needs N rows in a specific order, so it may […] use an ordered index scan. If an index on the ORDER BY column exists, it scans in order and stops after N rows. Very efficient.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If Exists (Select * From #temp)</w:t>
      </w:r>
      <w:r>
        <w:t xml:space="preserve"> </w:t>
      </w:r>
      <w:r>
        <w:t xml:space="preserve">after the INSERT re-reads the temp table that was just populated.</w:t>
      </w:r>
      <w:r>
        <w:t xml:space="preserve"> </w:t>
      </w:r>
      <w:r>
        <w:rPr>
          <w:rStyle w:val="VerbatimChar"/>
        </w:rPr>
        <w:t xml:space="preserve">@@ROWCOUNT &gt; 0</w:t>
      </w:r>
      <w:r>
        <w:t xml:space="preserve"> </w:t>
      </w:r>
      <w:r>
        <w:t xml:space="preserve">carries the same information without the second read. The rowgoal benefit is incidental; the larger win is one fewer scan per call on a tight-loop caller.</w:t>
      </w:r>
    </w:p>
    <w:p>
      <w:pPr>
        <w:pStyle w:val="Heading2"/>
      </w:pPr>
      <w:bookmarkStart w:id="24" w:name="ms-learn-citations"/>
      <w:r>
        <w:t xml:space="preserve">MS Learn Citations</w:t>
      </w:r>
      <w:bookmarkEnd w:id="24"/>
    </w:p>
    <w:p>
      <w:pPr>
        <w:pStyle w:val="FirstParagraph"/>
      </w:pPr>
      <w:r>
        <w:t xml:space="preserve">The techniques in this refactor anchor to the following Transact-SQL reference pages.</w:t>
      </w:r>
    </w:p>
    <w:p>
      <w:pPr>
        <w:numPr>
          <w:ilvl w:val="0"/>
          <w:numId w:val="1003"/>
        </w:numPr>
        <w:pStyle w:val="Compact"/>
      </w:pPr>
      <w:r>
        <w:t xml:space="preserve">Parameter sensitivity.</w:t>
      </w:r>
      <w:r>
        <w:t xml:space="preserve"> </w:t>
      </w:r>
      <w:hyperlink r:id="rId25">
        <w:r>
          <w:rPr>
            <w:rStyle w:val="Hyperlink"/>
          </w:rPr>
          <w:t xml:space="preserve">Parameter Sensitive Plan Optimization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Recompile a Stored Procedure</w:t>
        </w:r>
      </w:hyperlink>
      <w:r>
        <w:t xml:space="preserve"> </w:t>
      </w:r>
      <w:r>
        <w:t xml:space="preserve">cover the plan-stability mechanisms the local-variable form and Recompile use.</w:t>
      </w:r>
    </w:p>
    <w:p>
      <w:pPr>
        <w:numPr>
          <w:ilvl w:val="0"/>
          <w:numId w:val="1003"/>
        </w:numPr>
        <w:pStyle w:val="Compact"/>
      </w:pPr>
      <w:r>
        <w:t xml:space="preserve">Predicates and SARGability.</w:t>
      </w:r>
      <w:r>
        <w:t xml:space="preserve"> </w:t>
      </w:r>
      <w:hyperlink r:id="rId27">
        <w:r>
          <w:rPr>
            <w:rStyle w:val="Hyperlink"/>
          </w:rPr>
          <w:t xml:space="preserve">Predicates (Transact-SQL)</w:t>
        </w:r>
      </w:hyperlink>
      <w:r>
        <w:t xml:space="preserve"> </w:t>
      </w:r>
      <w:r>
        <w:t xml:space="preserve">documents the SARGable form that the catch-all rewrite restores.</w:t>
      </w:r>
    </w:p>
    <w:p>
      <w:pPr>
        <w:numPr>
          <w:ilvl w:val="0"/>
          <w:numId w:val="1003"/>
        </w:numPr>
        <w:pStyle w:val="Compact"/>
      </w:pPr>
      <w:r>
        <w:t xml:space="preserve">CTE and EXISTS.</w:t>
      </w:r>
      <w:r>
        <w:t xml:space="preserve"> </w:t>
      </w:r>
      <w:hyperlink r:id="rId28">
        <w:r>
          <w:rPr>
            <w:rStyle w:val="Hyperlink"/>
          </w:rPr>
          <w:t xml:space="preserve">WITH common_table_expression (CTE)</w:t>
        </w:r>
      </w:hyperlink>
      <w:r>
        <w:t xml:space="preserve"> </w:t>
      </w:r>
      <w:r>
        <w:t xml:space="preserve">documents the</w:t>
      </w:r>
      <w:r>
        <w:t xml:space="preserve"> </w:t>
      </w:r>
      <w:r>
        <w:rPr>
          <w:rStyle w:val="VerbatimChar"/>
        </w:rPr>
        <w:t xml:space="preserve">CountedSiblings</w:t>
      </w:r>
      <w:r>
        <w:t xml:space="preserve"> </w:t>
      </w:r>
      <w:r>
        <w:t xml:space="preserve">shape.</w:t>
      </w:r>
      <w:r>
        <w:t xml:space="preserve"> </w:t>
      </w:r>
      <w:hyperlink r:id="rId29">
        <w:r>
          <w:rPr>
            <w:rStyle w:val="Hyperlink"/>
          </w:rPr>
          <w:t xml:space="preserve">EXISTS (Transact-SQL)</w:t>
        </w:r>
      </w:hyperlink>
      <w:r>
        <w:t xml:space="preserve"> </w:t>
      </w:r>
      <w:r>
        <w:t xml:space="preserve">covers the existence semantics relevant to the</w:t>
      </w:r>
      <w:r>
        <w:t xml:space="preserve"> </w:t>
      </w:r>
      <w:r>
        <w:rPr>
          <w:rStyle w:val="VerbatimChar"/>
        </w:rPr>
        <w:t xml:space="preserve">@@ROWCOUNT</w:t>
      </w:r>
      <w:r>
        <w:t xml:space="preserve"> </w:t>
      </w:r>
      <w:r>
        <w:t xml:space="preserve">substitution.</w:t>
      </w:r>
    </w:p>
    <w:p>
      <w:pPr>
        <w:numPr>
          <w:ilvl w:val="0"/>
          <w:numId w:val="1003"/>
        </w:numPr>
        <w:pStyle w:val="Compact"/>
      </w:pPr>
      <w:r>
        <w:t xml:space="preserve">TOP rowgoal.</w:t>
      </w:r>
      <w:r>
        <w:t xml:space="preserve"> </w:t>
      </w:r>
      <w:hyperlink r:id="rId30">
        <w:r>
          <w:rPr>
            <w:rStyle w:val="Hyperlink"/>
          </w:rPr>
          <w:t xml:space="preserve">TOP (Transact-SQL)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ORDER BY clause</w:t>
        </w:r>
      </w:hyperlink>
      <w:r>
        <w:t xml:space="preserve"> </w:t>
      </w:r>
      <w:r>
        <w:t xml:space="preserve">describe the rowgoal optimization each branch’s</w:t>
      </w:r>
      <w:r>
        <w:t xml:space="preserve"> </w:t>
      </w:r>
      <w:r>
        <w:rPr>
          <w:rStyle w:val="VerbatimChar"/>
        </w:rPr>
        <w:t xml:space="preserve">Top 1</w:t>
      </w:r>
      <w:r>
        <w:t xml:space="preserve"> </w:t>
      </w:r>
      <w:r>
        <w:t xml:space="preserve">SELECT depends on.</w:t>
      </w:r>
    </w:p>
    <w:p>
      <w:pPr>
        <w:pStyle w:val="Heading2"/>
      </w:pPr>
      <w:bookmarkStart w:id="32" w:name="risk-note"/>
      <w:r>
        <w:t xml:space="preserve">Risk Note</w:t>
      </w:r>
      <w:bookmarkEnd w:id="32"/>
    </w:p>
    <w:p>
      <w:pPr>
        <w:pStyle w:val="FirstParagraph"/>
      </w:pPr>
      <w:r>
        <w:t xml:space="preserve">The local-variable plan-stabilization is generally safe but can produce a slightly worse plan than v9’s sniffed-and-lucky case at a specific MFC. Per-MFC monitoring is non-optional given the 6,024x baseline ratio. The Recompile hint accepts a per-call compile cost; on a tight-loop caller this is observable in CPU time. If post-deployment monitoring shows compile cost as dominant, drop Recompile and rely on the local-variable form alone. The pre-aggregation in the group-together inner subquery changes the cardinality estimate the optimizer sees for the inner join; semantic output is identical because the outer query filters by</w:t>
      </w:r>
      <w:r>
        <w:t xml:space="preserve"> </w:t>
      </w:r>
      <w:r>
        <w:rPr>
          <w:rStyle w:val="VerbatimChar"/>
        </w:rPr>
        <w:t xml:space="preserve">OrderStatus = 'Scheduled'</w:t>
      </w:r>
      <w:r>
        <w:t xml:space="preserve"> </w:t>
      </w:r>
      <w:r>
        <w:t xml:space="preserve">and the inner join only establishes group membership. In the first 24 hours watch plan variant count per site (expected to drop from many to one or two), max-vs-avg ratio (expected to drop from 6,024x to single or low double digits), and average duration. Rollback path: redeploy v9 from</w:t>
      </w:r>
      <w:r>
        <w:t xml:space="preserve"> </w:t>
      </w:r>
      <w:r>
        <w:rPr>
          <w:rStyle w:val="VerbatimChar"/>
        </w:rPr>
        <w:t xml:space="preserve">Original.sql</w:t>
      </w:r>
      <w:r>
        <w:t xml:space="preserve">. No schema change, no index change.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ptos" w:hAnsi="Aptos" w:cs="Aptos"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5" Target="https://learn.microsoft.com/en-us/sql/relational-databases/performance/parameter-sensitive-plan-optimization" TargetMode="External" /><Relationship Type="http://schemas.openxmlformats.org/officeDocument/2006/relationships/hyperlink" Id="rId26" Target="https://learn.microsoft.com/en-us/sql/relational-databases/stored-procedures/recompile-a-stored-procedure" TargetMode="External" /><Relationship Type="http://schemas.openxmlformats.org/officeDocument/2006/relationships/hyperlink" Id="rId29" Target="https://learn.microsoft.com/en-us/sql/t-sql/language-elements/exists-transact-sql" TargetMode="External" /><Relationship Type="http://schemas.openxmlformats.org/officeDocument/2006/relationships/hyperlink" Id="rId27" Target="https://learn.microsoft.com/en-us/sql/t-sql/queries/predicates" TargetMode="External" /><Relationship Type="http://schemas.openxmlformats.org/officeDocument/2006/relationships/hyperlink" Id="rId31" Target="https://learn.microsoft.com/en-us/sql/t-sql/queries/select-order-by-clause-transact-sql" TargetMode="External" /><Relationship Type="http://schemas.openxmlformats.org/officeDocument/2006/relationships/hyperlink" Id="rId30" Target="https://learn.microsoft.com/en-us/sql/t-sql/queries/top-transact-sql" TargetMode="External" /><Relationship Type="http://schemas.openxmlformats.org/officeDocument/2006/relationships/hyperlink" Id="rId28" Target="https://learn.microsoft.com/en-us/sql/t-sql/queries/with-common-table-expression-transact-sql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5" Target="https://learn.microsoft.com/en-us/sql/relational-databases/performance/parameter-sensitive-plan-optimization" TargetMode="External" /><Relationship Type="http://schemas.openxmlformats.org/officeDocument/2006/relationships/hyperlink" Id="rId26" Target="https://learn.microsoft.com/en-us/sql/relational-databases/stored-procedures/recompile-a-stored-procedure" TargetMode="External" /><Relationship Type="http://schemas.openxmlformats.org/officeDocument/2006/relationships/hyperlink" Id="rId29" Target="https://learn.microsoft.com/en-us/sql/t-sql/language-elements/exists-transact-sql" TargetMode="External" /><Relationship Type="http://schemas.openxmlformats.org/officeDocument/2006/relationships/hyperlink" Id="rId27" Target="https://learn.microsoft.com/en-us/sql/t-sql/queries/predicates" TargetMode="External" /><Relationship Type="http://schemas.openxmlformats.org/officeDocument/2006/relationships/hyperlink" Id="rId31" Target="https://learn.microsoft.com/en-us/sql/t-sql/queries/select-order-by-clause-transact-sql" TargetMode="External" /><Relationship Type="http://schemas.openxmlformats.org/officeDocument/2006/relationships/hyperlink" Id="rId30" Target="https://learn.microsoft.com/en-us/sql/t-sql/queries/top-transact-sql" TargetMode="External" /><Relationship Type="http://schemas.openxmlformats.org/officeDocument/2006/relationships/hyperlink" Id="rId28" Target="https://learn.microsoft.com/en-us/sql/t-sql/queries/with-common-table-expression-transact-sq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ptos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2026-05-14T14:42:09Z</dcterms:created>
  <dcterms:modified xsi:type="dcterms:W3CDTF">2026-05-14T14:42:09Z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